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AdjacentSeats</w:t>
        <w:tab/>
        <w:tab/>
        <w:tab/>
        <w:tab/>
        <w:tab/>
        <w:tab/>
        <w:tab/>
        <w:tab/>
        <w:t xml:space="preserve">                 APCS pd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Thomas Lin, Noah Tang, Jonathan Quang</w:t>
        <w:tab/>
        <w:tab/>
        <w:tab/>
        <w:tab/>
        <w:tab/>
        <w:tab/>
        <w:tab/>
        <w:t xml:space="preserve"> 1/9/17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9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tblGridChange w:id="0">
          <w:tblGrid>
            <w:gridCol w:w="399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Woo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Terrain[][] terrainLayer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Unit[][] unitLayer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void main(String[] args)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void start()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void runTurn()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void menu()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void playerParser()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42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tblGridChange w:id="0">
          <w:tblGrid>
            <w:gridCol w:w="429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Tiles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String name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 String symbol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getSymbol()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getName()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2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00"/>
              <w:tblGridChange w:id="0">
                <w:tblGrid>
                  <w:gridCol w:w="4200"/>
                </w:tblGrid>
              </w:tblGridChange>
            </w:tblGrid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Unit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int strength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int weapon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String[] viableTerrain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int attackRange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int moveRange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 getName()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 getStrength()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9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 attack(Unit beingAttacked)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 move(int direction)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 getSymbol()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3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90"/>
              <w:tblGridChange w:id="0">
                <w:tblGrid>
                  <w:gridCol w:w="3990"/>
                </w:tblGrid>
              </w:tblGridChange>
            </w:tblGrid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Terrain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</w:pPr>
                  <w:r w:rsidDel="00000000" w:rsidR="00000000" w:rsidRPr="00000000">
                    <w:rPr>
                      <w:rtl w:val="0"/>
                    </w:rPr>
                    <w:t xml:space="preserve"># String description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9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 getName()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4"/>
                    </w:numPr>
                    <w:spacing w:line="240" w:lineRule="auto"/>
                    <w:ind w:left="720" w:hanging="360"/>
                    <w:contextualSpacing w:val="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 getSymbol()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contextualSpacing w:val="1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String getDescription()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Infantry</w:t>
                  </w:r>
                </w:p>
              </w:tc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Navy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contextualSpacing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Infantry()</w:t>
                  </w:r>
                </w:p>
              </w:tc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spacing w:after="0" w:before="0" w:line="240" w:lineRule="auto"/>
                    <w:ind w:left="720" w:right="0" w:hanging="360"/>
                    <w:contextualSpacing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Navy()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Visual w:val="0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Land</w:t>
                  </w:r>
                </w:p>
              </w:tc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spacing w:after="0" w:before="0" w:line="240" w:lineRule="auto"/>
                    <w:ind w:left="0" w:right="0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Sea</w:t>
                  </w:r>
                </w:p>
              </w:tc>
            </w:tr>
            <w:tr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7"/>
                    </w:numPr>
                    <w:spacing w:after="0" w:before="0" w:line="240" w:lineRule="auto"/>
                    <w:ind w:left="720" w:right="0" w:hanging="360"/>
                    <w:contextualSpacing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Land()</w:t>
                  </w:r>
                </w:p>
              </w:tc>
              <w:tc>
                <w:tcPr>
                  <w:tcMar>
                    <w:top w:w="43.2" w:type="dxa"/>
                    <w:left w:w="43.2" w:type="dxa"/>
                    <w:bottom w:w="43.2" w:type="dxa"/>
                    <w:right w:w="43.2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numPr>
                      <w:ilvl w:val="0"/>
                      <w:numId w:val="10"/>
                    </w:numPr>
                    <w:spacing w:after="0" w:before="0" w:line="240" w:lineRule="auto"/>
                    <w:ind w:left="720" w:right="0" w:hanging="360"/>
                    <w:contextualSpacing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Sea()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“Infantry”, “Navy”, “Land”, and “Sea” are model subclasses. More units and terrain features will be added if time permits.</w:t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