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185B6">
      <w:pPr>
        <w:spacing w:after="100"/>
        <w:jc w:val="center"/>
        <w:rPr>
          <w:lang w:eastAsia="zh-CN"/>
        </w:rPr>
      </w:pPr>
      <w:bookmarkStart w:id="1" w:name="_GoBack"/>
      <w:bookmarkEnd w:id="1"/>
      <w:r>
        <w:rPr>
          <w:rFonts w:ascii="微软雅黑" w:hAnsi="微软雅黑" w:eastAsia="微软雅黑"/>
          <w:b/>
          <w:color w:val="123A72"/>
          <w:sz w:val="36"/>
          <w:lang w:eastAsia="zh-CN"/>
        </w:rPr>
        <w:t>国民经济行业分类企业信息采集表</w:t>
      </w:r>
    </w:p>
    <w:p w14:paraId="57635528">
      <w:pPr>
        <w:spacing w:after="160"/>
        <w:jc w:val="center"/>
        <w:rPr>
          <w:lang w:eastAsia="zh-CN"/>
        </w:rPr>
      </w:pPr>
      <w:r>
        <w:rPr>
          <w:rFonts w:ascii="微软雅黑" w:hAnsi="微软雅黑" w:eastAsia="微软雅黑"/>
          <w:color w:val="5C7392"/>
          <w:sz w:val="19"/>
          <w:lang w:eastAsia="zh-CN"/>
        </w:rPr>
        <w:t>单企业填写模板</w:t>
      </w:r>
    </w:p>
    <w:p w14:paraId="18C6C8A9">
      <w:pPr>
        <w:spacing w:after="180" w:line="300" w:lineRule="auto"/>
        <w:rPr>
          <w:lang w:eastAsia="zh-CN"/>
        </w:rPr>
      </w:pPr>
      <w:r>
        <w:rPr>
          <w:rFonts w:ascii="微软雅黑" w:hAnsi="微软雅黑" w:eastAsia="微软雅黑"/>
          <w:color w:val="4E6583"/>
          <w:sz w:val="18"/>
          <w:lang w:eastAsia="zh-CN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706"/>
        <w:gridCol w:w="2891"/>
      </w:tblGrid>
      <w:tr w14:paraId="5AB27D88">
        <w:tc>
          <w:tcPr>
            <w:tcW w:w="2608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CA8CE">
            <w:pPr>
              <w:spacing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字段名称</w:t>
            </w:r>
          </w:p>
        </w:tc>
        <w:tc>
          <w:tcPr>
            <w:tcW w:w="4706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49D2A">
            <w:pPr>
              <w:spacing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填写内容</w:t>
            </w:r>
          </w:p>
        </w:tc>
        <w:tc>
          <w:tcPr>
            <w:tcW w:w="2891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DFBD1">
            <w:pPr>
              <w:spacing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填写提示</w:t>
            </w:r>
          </w:p>
        </w:tc>
      </w:tr>
      <w:tr w14:paraId="0FC7F022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6A6F2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F51E8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中国航天科技集团有限公司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5E967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填写借款主体法定全称，与营业执照保持一致。</w:t>
            </w:r>
          </w:p>
        </w:tc>
      </w:tr>
      <w:tr w14:paraId="325F68CF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4086B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D3AFF6">
            <w:pPr>
              <w:spacing w:line="300" w:lineRule="auto"/>
            </w:pPr>
            <w:r>
              <w:t>91110000100014071Q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247F6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填写18位统一社会信用代码。</w:t>
            </w:r>
          </w:p>
        </w:tc>
      </w:tr>
      <w:tr w14:paraId="3FD3BCE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488C5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营业执照经营范围（全文）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FB08E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战略导弹武器系统、战术导弹武器系统、火箭武器系统、精确制导武器系统，各类空间飞行器、航天运输系统、临近空间飞行器系统、地效飞行器系统、无人装备系统，以及相关配套产品的研制、试验、生产销售及服务；军品贸易、各类商业卫星及宇航产品出口、商业卫星发射（含搭载）及卫星运营服务；卫星通信广播电视传输服务；国务院授权范围内的国有资产投资、经营管理；航天工程和技术的研究、试验、技术咨询与推广应用服务；各类卫星应用系统及相关产品的研发、销售与服务；地理信息测绘技术及产品研发、销售与服务；电器机械、仪器仪表、计算机、通信和其他电子信息设备的研发、销售与服务；化学原料、化学制品（不含危险化学品）和特种材料研发及应用；通用设备、专用设备及装备研发；销售汽车及零部件；进出口贸易及投资服务；组织文化艺术交流服务。（企业依法自主选择经营项目，开展经营活动；依法须经批准的项目，经相关部门批准后依批准的内容开展经营活动；不得从事本市产业政策禁止和限制类项目的经营活动。）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4F9E5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完整粘贴营业执照登记经营范围，不要删减。</w:t>
            </w:r>
          </w:p>
        </w:tc>
      </w:tr>
      <w:tr w14:paraId="1E61124B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01D2CA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05B10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战略导弹武器系统、战术导弹武器系统、火箭武器系统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B239D3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说明企业实际做什么、如何生产或提供服务、主要客户是谁。</w:t>
            </w:r>
          </w:p>
        </w:tc>
      </w:tr>
      <w:tr w14:paraId="5FA6C1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79B65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主营业务及营收占比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1247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战略导弹武器系统</w:t>
            </w:r>
            <w:r>
              <w:rPr>
                <w:rFonts w:hint="eastAsia" w:ascii="黑体" w:hAnsi="黑体" w:eastAsia="黑体"/>
                <w:lang w:eastAsia="zh-CN"/>
              </w:rPr>
              <w:t>65%</w:t>
            </w:r>
            <w:r>
              <w:rPr>
                <w:rFonts w:ascii="黑体" w:hAnsi="黑体" w:eastAsia="黑体"/>
                <w:lang w:eastAsia="zh-CN"/>
              </w:rPr>
              <w:t>、战术导弹武器系统</w:t>
            </w:r>
            <w:r>
              <w:rPr>
                <w:rFonts w:hint="eastAsia" w:ascii="黑体" w:hAnsi="黑体" w:eastAsia="黑体"/>
                <w:lang w:eastAsia="zh-CN"/>
              </w:rPr>
              <w:t>15%</w:t>
            </w:r>
            <w:r>
              <w:rPr>
                <w:rFonts w:ascii="黑体" w:hAnsi="黑体" w:eastAsia="黑体"/>
                <w:lang w:eastAsia="zh-CN"/>
              </w:rPr>
              <w:t>、火箭武器系统</w:t>
            </w:r>
            <w:r>
              <w:rPr>
                <w:rFonts w:hint="eastAsia" w:ascii="黑体" w:hAnsi="黑体" w:eastAsia="黑体"/>
                <w:lang w:eastAsia="zh-CN"/>
              </w:rPr>
              <w:t>20%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1D576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按收入从高到低填写前3项业务及占比，合计尽量为100%。</w:t>
            </w:r>
          </w:p>
        </w:tc>
      </w:tr>
      <w:tr w14:paraId="153FAF6D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619B7D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6CB60">
            <w:pPr>
              <w:spacing w:line="300" w:lineRule="auto"/>
              <w:rPr>
                <w:rFonts w:hint="eastAsia"/>
              </w:rPr>
            </w:pPr>
            <w:r>
              <w:rPr>
                <w:rFonts w:ascii="黑体" w:hAnsi="黑体" w:eastAsia="黑体"/>
                <w:lang w:eastAsia="zh-CN"/>
              </w:rPr>
              <w:t>战略导弹武器</w:t>
            </w:r>
            <w:r>
              <w:rPr>
                <w:rFonts w:hint="eastAsia" w:ascii="黑体" w:hAnsi="黑体" w:eastAsia="黑体"/>
                <w:lang w:eastAsia="zh-CN"/>
              </w:rPr>
              <w:t>制造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04E7DB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填写能够代表企业收入来源的具体产品或服务。</w:t>
            </w:r>
          </w:p>
        </w:tc>
      </w:tr>
      <w:tr w14:paraId="445A1F37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9AD88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31872">
            <w:pPr>
              <w:spacing w:line="300" w:lineRule="auto"/>
              <w:rPr>
                <w:rFonts w:eastAsia="宋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做</w:t>
            </w:r>
            <w:r>
              <w:rPr>
                <w:rFonts w:ascii="黑体" w:hAnsi="黑体" w:eastAsia="黑体"/>
                <w:lang w:eastAsia="zh-CN"/>
              </w:rPr>
              <w:t>汽车及零部件</w:t>
            </w:r>
            <w:r>
              <w:rPr>
                <w:rFonts w:hint="eastAsia" w:ascii="黑体" w:hAnsi="黑体" w:eastAsia="黑体"/>
                <w:lang w:eastAsia="zh-CN"/>
              </w:rPr>
              <w:t>采购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D7F50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写清资金投向、使用场景及对应业务，避免仅写“经营周转”。</w:t>
            </w:r>
          </w:p>
        </w:tc>
      </w:tr>
      <w:tr w14:paraId="61E48B40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C6443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贸易合同本次交易对手名称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4F2BAA">
            <w:pPr>
              <w:spacing w:line="300" w:lineRule="auto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国际贸易有限公司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4B03FC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填写主要上游供应商和下游客户全称；无贸易合同可写“无”。</w:t>
            </w:r>
          </w:p>
        </w:tc>
      </w:tr>
      <w:tr w14:paraId="5F918AF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EF2A4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交易对手主营业务 / 所属行业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F2FA2">
            <w:pPr>
              <w:spacing w:line="30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贸易类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831A37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说明交易对手实际经营活动或所属行业。</w:t>
            </w:r>
          </w:p>
        </w:tc>
      </w:tr>
      <w:tr w14:paraId="6B45EFAD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8C2D05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贸易合同核心交易品类 / 服务内容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A8011E">
            <w:pPr>
              <w:spacing w:line="300" w:lineRule="auto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采购汽车零部件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FAFBF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填写本次采购或销售的具体货物、服务。</w:t>
            </w:r>
          </w:p>
        </w:tc>
      </w:tr>
      <w:tr w14:paraId="0898623A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8B003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556025">
            <w:pPr>
              <w:spacing w:line="300" w:lineRule="auto"/>
              <w:rPr>
                <w:rFonts w:eastAsia="宋体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564B6E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填写上游供应商、中游生产商、</w:t>
            </w:r>
            <w:bookmarkStart w:id="0" w:name="OLE_LINK9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  <w:bookmarkEnd w:id="0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。</w:t>
            </w:r>
          </w:p>
        </w:tc>
      </w:tr>
      <w:tr w14:paraId="46CC6710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D0570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企业行业定位与核心竞争力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C8D58C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公司主要从事运载火箭、各类卫星、载人飞船、货运飞船、深空探测器等宇航产品的研究、设计、生产、试验和发射服务，同时发展商业航天、低空经济、氢能、高端装备、节能环保等领域。作为特大型国有企业，公司在航天技术领域拥有自主知识产权和创新能力。</w:t>
            </w:r>
          </w:p>
          <w:p w14:paraId="7DC686A1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中国航天科技集团有限公司在2025年获得国家级中央企业负责人经营业绩考核A级企业称号，并入选2024年中国航天创新创业大赛获奖名单（创新组）。公司在卫星互联网技术领域取得突破，成功发射技术试验卫星用于天地网络融合验证，展示了在航天技术研发和应用方面的领先地位。通过参与智能机器人等新兴产业，公司利用其人才、技术和设备优势拓展业务范围。在政策支持下，公司被纳入创建世界示范企业名单，体现了其在创新和治理方面的竞争力。</w:t>
            </w:r>
            <w:r>
              <w:rPr>
                <w:rFonts w:ascii="黑体" w:hAnsi="黑体" w:eastAsia="黑体"/>
                <w:lang w:eastAsia="zh-CN"/>
              </w:rPr>
              <w:t>近期在航天技术领域取得重要突破，成功完成长征十号乙运载火箭的全球首次海上网系回收，实现了大运力可回收火箭技术的重大进展。在卫星应用方面，通过陆地观测卫星为广西南宁洪涝灾害提供紧急遥感数据支持，助力应急救援决策。同时，与浙江省签署战略合作协议，将在太空人工智能、商业航天等领域开展深度合作。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27D2BD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说明细分赛道、规模、技术、渠道、资质或稳定订单等优势。</w:t>
            </w:r>
          </w:p>
        </w:tc>
      </w:tr>
      <w:tr w14:paraId="1B4D6413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AB8D1">
            <w:pPr>
              <w:spacing w:line="300" w:lineRule="auto"/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授信审批意见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4FAFF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综合客户主体资质优良、航天央企在手订单稳定、盈利现金流可持续、担保措施足值有效、资金用途真实合规，整体风险可控，契合科技制造、实体经济信贷政策导向，</w:t>
            </w:r>
            <w:r>
              <w:rPr>
                <w:b/>
                <w:bCs/>
                <w:lang w:eastAsia="zh-CN"/>
              </w:rPr>
              <w:t>建议同意授信</w:t>
            </w:r>
            <w:r>
              <w:rPr>
                <w:lang w:eastAsia="zh-CN"/>
              </w:rPr>
              <w:t>，具体方案如下：</w:t>
            </w:r>
          </w:p>
          <w:p w14:paraId="656DE5EC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授信品种：流动资金贷款</w:t>
            </w:r>
          </w:p>
          <w:p w14:paraId="441A6E0B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授信金额：人民币 2000 万元</w:t>
            </w:r>
          </w:p>
          <w:p w14:paraId="44FC77A2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授信期限：12 个月</w:t>
            </w:r>
          </w:p>
          <w:p w14:paraId="24866150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执行利率：制造业科技企业优惠年利率 XX%（按行内政策执行）</w:t>
            </w:r>
          </w:p>
          <w:p w14:paraId="524FFD46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还款方式：按月付息，到期一次性还本</w:t>
            </w:r>
          </w:p>
          <w:p w14:paraId="61B43DA5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担保方式：XX 厂房土地抵押 + 实控人夫妇连带责任保证（或政府融资担保全额担保）</w:t>
            </w:r>
          </w:p>
          <w:p w14:paraId="5AADCD43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强制管理要求：</w:t>
            </w:r>
          </w:p>
          <w:p w14:paraId="58A879E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（1）单笔支付 1000 万元以上全部受托支付，留存全套贸易佐证材料；</w:t>
            </w:r>
          </w:p>
          <w:p w14:paraId="52586DDA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（2）企业主要销售回款账户开立并归集我行，按月报送增值税纳税申报表、银行流水、在手订单明细表；</w:t>
            </w:r>
          </w:p>
          <w:p w14:paraId="257B181E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（3）每半年开展一次全面现场贷后检查，核查生产产能、存货、航天客户应收账款回款；</w:t>
            </w:r>
          </w:p>
          <w:p w14:paraId="7E58FB28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（4）授信存续期间，不得新增大额对外担保、民间借贷，核心经营、征信、订单出现重大负面，我行有权提前收回全部授信；</w:t>
            </w:r>
          </w:p>
          <w:p w14:paraId="36A81994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（5）持续跟踪原材料价格波动、整车行业政策变化，动态评估企业盈利稳定性。</w:t>
            </w:r>
          </w:p>
          <w:p w14:paraId="05599366">
            <w:pPr>
              <w:spacing w:line="300" w:lineRule="auto"/>
              <w:rPr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85478">
            <w:pPr>
              <w:spacing w:line="300" w:lineRule="auto"/>
              <w:rPr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填写审批结论、额度期限、资金用途和贷后管理要求。</w:t>
            </w:r>
          </w:p>
        </w:tc>
      </w:tr>
    </w:tbl>
    <w:p w14:paraId="0304F6A3">
      <w:pPr>
        <w:rPr>
          <w:lang w:eastAsia="zh-CN"/>
        </w:rPr>
      </w:pPr>
    </w:p>
    <w:p w14:paraId="024E6845">
      <w:pPr>
        <w:rPr>
          <w:rFonts w:hint="eastAsia"/>
          <w:lang w:eastAsia="zh-CN"/>
        </w:rPr>
      </w:pP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24144"/>
    <w:multiLevelType w:val="multilevel"/>
    <w:tmpl w:val="3D024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5F"/>
    <w:rsid w:val="0002275F"/>
    <w:rsid w:val="001D424E"/>
    <w:rsid w:val="001F272C"/>
    <w:rsid w:val="00381D5B"/>
    <w:rsid w:val="00387A05"/>
    <w:rsid w:val="0095567B"/>
    <w:rsid w:val="00B911A3"/>
    <w:rsid w:val="7E7FA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1009</Words>
  <Characters>1061</Characters>
  <Lines>81</Lines>
  <Paragraphs>86</Paragraphs>
  <TotalTime>57</TotalTime>
  <ScaleCrop>false</ScaleCrop>
  <LinksUpToDate>false</LinksUpToDate>
  <CharactersWithSpaces>1984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2026-07-11T21:47:00Z</dcterms:created>
  <dc:creator>佳颍 王</dc:creator>
  <cp:lastModifiedBy>来来</cp:lastModifiedBy>
  <dcterms:modified xsi:type="dcterms:W3CDTF">2026-07-11T23:31:03Z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08BF8258D2907E94B761526A0314D8D4_42</vt:lpwstr>
  </property>
</Properties>
</file>