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Microsoft YaHei" w:hAnsi="Microsoft YaHei" w:eastAsia="Microsoft YaHei"/>
          <w:b/>
          <w:color w:val="123A72"/>
          <w:sz w:val="36"/>
        </w:rPr>
        <w:t>国民经济行业分类企业信息采集表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C7392"/>
          <w:sz w:val="19"/>
        </w:rPr>
        <w:t>真实闭环验收场景（合成企业，不对应真实工商主体）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 w:val="0"/>
          <w:color w:val="4E6583"/>
          <w:sz w:val="18"/>
        </w:rPr>
        <w:t>填写说明：每份文件仅填写一家企业；请保留第一列字段名称，仅在第二列填写内容；第三列为填写提示。未掌握的信息可以留空，完成后保存为 .docx 文件上传。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608"/>
            <w:shd w:fill="DCEBFF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F76"/>
                <w:sz w:val="19"/>
              </w:rPr>
              <w:t>字段名称</w:t>
            </w:r>
          </w:p>
        </w:tc>
        <w:tc>
          <w:tcPr>
            <w:tcW w:type="dxa" w:w="4706"/>
            <w:shd w:fill="DCEBFF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F76"/>
                <w:sz w:val="19"/>
              </w:rPr>
              <w:t>填写内容</w:t>
            </w:r>
          </w:p>
        </w:tc>
        <w:tc>
          <w:tcPr>
            <w:tcW w:type="dxa" w:w="2891"/>
            <w:shd w:fill="DCEBFF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F76"/>
                <w:sz w:val="19"/>
              </w:rPr>
              <w:t>填写提示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企业名称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南京金穗水稻种植有限公司</w:t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填写借款主体法定全称，与营业执照保持一致。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统一社会信用代码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91320115MA7G6X2P4Q</w:t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填写18位统一社会信用代码。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营业执照经营范围（全文）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谷物种植；稻谷种植；农作物种子经营；农业机械服务；灌溉服务；初级农产品收购；食用农产品初加工；谷物销售；农业生产资料的购买、使用。</w:t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完整粘贴营业执照登记经营范围，不要删减。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主营业务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企业在南京市江宁区流转土地约3200亩，自营水稻育秧、插秧、田间管理和收割，向粮食储备企业销售未经碾米加工的自产稻谷。</w:t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说明企业实际做什么、如何生产或提供服务、主要客户是谁。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主营业务及营收占比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自产稻谷种植及销售占营业收入85%；水稻育秧及农机作业服务占10%；其他初级农产品销售占5%。</w:t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按收入从高到低填写前3项业务及占比，合计尽量为100%。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核心产品 / 服务名称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粳稻和籼稻等未经碾米加工的自产稻谷；配套水稻育秧、插秧和收割服务。</w:t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填写能够代表企业收入来源的具体产品或服务。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贷款用途详细描述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本次贷款用于2026年水稻种植季购买种子、复合肥和生物农药，支付土地流转租金、农机作业费及灌溉电费，全部用于自营水稻生产。</w:t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写清资金投向、使用场景及对应业务，避免仅写“经营周转”。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贸易合同本次交易对手名称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上游：南京绿禾种业有限公司、江苏沃田农业生产资料有限公司；下游：南京市江宁粮食储备有限公司。</w:t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填写主要上游供应商和下游客户全称；无贸易合同可写“无”。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交易对手主营业务 / 所属行业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上游分别从事水稻种子繁育销售和农业生产资料批发；下游从事粮食收购、仓储及储备管理。</w:t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说明交易对手实际经营活动或所属行业。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贸易合同核心交易品类 / 服务内容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采购水稻种子、复合肥和生物农药；销售企业自营基地收获的未经碾米加工粳稻及籼稻。</w:t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填写本次采购或销售的具体货物、服务。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企业产业链定位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农业产业链上游直接生产者，以自营水稻种植为核心，配套育秧和农机作业。</w:t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填写上游供应商、中游生产商、下游经销商或终端服务商。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企业行业定位与核心竞争力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企业定位为规模化水稻种植经营主体，具备集中连片土地、机械化育插秧与收割能力，并与地方粮食储备企业形成稳定订单。</w:t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说明细分赛道、规模、技术、渠道、资质或稳定订单等优势。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授信审批意见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同意给予一年期流动资金贷款，专项用于水稻种植季投入；以种植合同、土地流转合同和稻谷销售回款进行贷后跟踪，禁止挪用于大米加工或粮食贸易。</w:t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填写审批结论、额度期限、资金用途和贷后管理要求。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