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1B2A4A"/>
          <w:sz w:val="20"/>
          <w:szCs w:val="20"/>
        </w:rPr>
        <w:t xml:space="preserve">The Leopard Mark Brewing Co.</w:t>
      </w:r>
    </w:p>
    <w:p>
      <w:pPr>
        <w:spacing w:after="60"/>
      </w:pPr>
      <w:r>
        <w:rPr>
          <w:i/>
          <w:iCs/>
          <w:color w:val="555555"/>
          <w:sz w:val="18"/>
          <w:szCs w:val="18"/>
        </w:rPr>
        <w:t xml:space="preserve">Prepared for internal use — discussion draft</w:t>
      </w:r>
    </w:p>
    <w:p>
      <w:pPr>
        <w:pStyle w:val="Title"/>
        <w:spacing w:after="60" w:before="100"/>
      </w:pPr>
      <w:r>
        <w:rPr>
          <w:b/>
          <w:bCs/>
          <w:color w:val="1B2A4A"/>
          <w:sz w:val="34"/>
          <w:szCs w:val="34"/>
        </w:rPr>
        <w:t xml:space="preserve">SMS / WhatsApp Reorder Channel</w:t>
      </w:r>
    </w:p>
    <w:p>
      <w:pPr>
        <w:spacing w:after="60"/>
      </w:pPr>
      <w:r>
        <w:rPr>
          <w:b/>
          <w:bCs/>
          <w:color w:val="9A1750"/>
          <w:sz w:val="26"/>
          <w:szCs w:val="26"/>
        </w:rPr>
        <w:t xml:space="preserve">Legal &amp; Compliance Landscape</w:t>
      </w:r>
    </w:p>
    <w:p>
      <w:pPr>
        <w:spacing w:after="260"/>
      </w:pPr>
      <w:r>
        <w:rPr>
          <w:color w:val="555555"/>
          <w:sz w:val="18"/>
          <w:szCs w:val="18"/>
        </w:rPr>
        <w:t xml:space="preserve">Prepared August 27, 2026</w:t>
      </w:r>
    </w:p>
    <w:p>
      <w:pPr>
        <w:pBdr>
          <w:left w:val="single" w:color="9A1750" w:sz="24" w:space="8"/>
        </w:pBdr>
        <w:shd w:fill="F2E6EA" w:val="clear"/>
        <w:spacing w:after="200" w:before="120"/>
        <w:ind w:left="100"/>
      </w:pPr>
      <w:r>
        <w:rPr>
          <w:i/>
          <w:iCs/>
          <w:color w:val="5A1030"/>
          <w:sz w:val="21"/>
          <w:szCs w:val="21"/>
        </w:rPr>
        <w:t xml:space="preserve">This is not legal advice. It's a map of the compliance questions that need answers before this channel goes live — written so you can brief alcohol beverage counsel and telecom/TCPA counsel efficiently, not as a substitute for their review. Nothing here should be treated as final until counsel licensed in each state where you hold accounts has signed off, and until WhatsApp/carrier policies have been confirmed directly against their current published terms.</w:t>
      </w:r>
    </w:p>
    <w:p>
      <w:pPr>
        <w:pStyle w:val="Heading1"/>
        <w:spacing w:after="140" w:before="320"/>
      </w:pPr>
      <w:r>
        <w:rPr>
          <w:b/>
          <w:bCs/>
          <w:color w:val="1B2A4A"/>
          <w:sz w:val="27"/>
          <w:szCs w:val="27"/>
        </w:rPr>
        <w:t xml:space="preserve">The short answer</w:t>
      </w:r>
    </w:p>
    <w:p>
      <w:pPr>
        <w:spacing w:after="140" w:line="276"/>
      </w:pPr>
      <w:r>
        <w:rPr>
          <w:sz w:val="21"/>
          <w:szCs w:val="21"/>
        </w:rPr>
        <w:t xml:space="preserve">Paid up and in good standing is necessary, but it isn't sufficient. Account standing is one input into whether an order should be accepted — it says nothing about whether you're legally allowed to sell that account alcohol through this specific channel, whether the text message that placed the order is an enforceable contract, or whether WhatsApp and your SMS carrier will even deliver the message. Five mostly-independent risk layers sit underneath this project; a clean account can still trip any one of them.</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760"/>
      </w:tblGrid>
      <w:tr>
        <w:trPr>
          <w:tblHeader/>
        </w:trPr>
        <w:tc>
          <w:tcPr>
            <w:tcW w:type="dxa" w:w="0"/>
            <w:shd w:fill="1B2A4A" w:val="clear"/>
            <w:tcMar>
              <w:top w:type="dxa" w:w="80"/>
              <w:left w:type="dxa" w:w="100"/>
              <w:bottom w:type="dxa" w:w="80"/>
              <w:right w:type="dxa" w:w="100"/>
            </w:tcMar>
          </w:tcPr>
          <w:p>
            <w:r>
              <w:rPr>
                <w:b/>
                <w:bCs/>
                <w:color w:val="FFFFFF"/>
                <w:sz w:val="19"/>
                <w:szCs w:val="19"/>
              </w:rPr>
              <w:t xml:space="preserve">Risk Layer</w:t>
            </w:r>
          </w:p>
        </w:tc>
        <w:tc>
          <w:tcPr>
            <w:tcW w:type="dxa" w:w="0"/>
            <w:shd w:fill="1B2A4A" w:val="clear"/>
            <w:tcMar>
              <w:top w:type="dxa" w:w="80"/>
              <w:left w:type="dxa" w:w="100"/>
              <w:bottom w:type="dxa" w:w="80"/>
              <w:right w:type="dxa" w:w="100"/>
            </w:tcMar>
          </w:tcPr>
          <w:p>
            <w:r>
              <w:rPr>
                <w:b/>
                <w:bCs/>
                <w:color w:val="FFFFFF"/>
                <w:sz w:val="19"/>
                <w:szCs w:val="19"/>
              </w:rPr>
              <w:t xml:space="preserve">Governed By</w:t>
            </w:r>
          </w:p>
        </w:tc>
        <w:tc>
          <w:tcPr>
            <w:tcW w:type="dxa" w:w="0"/>
            <w:shd w:fill="1B2A4A" w:val="clear"/>
            <w:tcMar>
              <w:top w:type="dxa" w:w="80"/>
              <w:left w:type="dxa" w:w="100"/>
              <w:bottom w:type="dxa" w:w="80"/>
              <w:right w:type="dxa" w:w="100"/>
            </w:tcMar>
          </w:tcPr>
          <w:p>
            <w:r>
              <w:rPr>
                <w:b/>
                <w:bCs/>
                <w:color w:val="FFFFFF"/>
                <w:sz w:val="19"/>
                <w:szCs w:val="19"/>
              </w:rPr>
              <w:t xml:space="preserve">Independent of Account Payment Standing?</w:t>
            </w:r>
          </w:p>
        </w:tc>
      </w:tr>
      <w:tr>
        <w:tc>
          <w:tcPr>
            <w:tcW w:type="dxa" w:w="3200"/>
            <w:tcMar>
              <w:top w:type="dxa" w:w="80"/>
              <w:left w:type="dxa" w:w="100"/>
              <w:bottom w:type="dxa" w:w="80"/>
              <w:right w:type="dxa" w:w="100"/>
            </w:tcMar>
          </w:tcPr>
          <w:p>
            <w:r>
              <w:rPr>
                <w:sz w:val="19"/>
                <w:szCs w:val="19"/>
              </w:rPr>
              <w:t xml:space="preserve">Alcohol regulatory (state ABC law)</w:t>
            </w:r>
          </w:p>
        </w:tc>
        <w:tc>
          <w:tcPr>
            <w:tcW w:type="dxa" w:w="3600"/>
            <w:tcMar>
              <w:top w:type="dxa" w:w="80"/>
              <w:left w:type="dxa" w:w="100"/>
              <w:bottom w:type="dxa" w:w="80"/>
              <w:right w:type="dxa" w:w="100"/>
            </w:tcMar>
          </w:tcPr>
          <w:p>
            <w:r>
              <w:rPr>
                <w:sz w:val="19"/>
                <w:szCs w:val="19"/>
              </w:rPr>
              <w:t xml:space="preserve">Self-distribution limits, license-verification duty, record-keeping, franchise law — state by state</w:t>
            </w:r>
          </w:p>
        </w:tc>
        <w:tc>
          <w:tcPr>
            <w:tcW w:type="dxa" w:w="2760"/>
            <w:tcMar>
              <w:top w:type="dxa" w:w="80"/>
              <w:left w:type="dxa" w:w="100"/>
              <w:bottom w:type="dxa" w:w="80"/>
              <w:right w:type="dxa" w:w="100"/>
            </w:tcMar>
          </w:tcPr>
          <w:p>
            <w:r>
              <w:rPr>
                <w:sz w:val="19"/>
                <w:szCs w:val="19"/>
              </w:rPr>
              <w:t xml:space="preserve">Yes — applies even to a fully paid, active account</w:t>
            </w:r>
          </w:p>
        </w:tc>
      </w:tr>
      <w:tr>
        <w:tc>
          <w:tcPr>
            <w:tcW w:type="dxa" w:w="3200"/>
            <w:tcMar>
              <w:top w:type="dxa" w:w="80"/>
              <w:left w:type="dxa" w:w="100"/>
              <w:bottom w:type="dxa" w:w="80"/>
              <w:right w:type="dxa" w:w="100"/>
            </w:tcMar>
          </w:tcPr>
          <w:p>
            <w:r>
              <w:rPr>
                <w:sz w:val="19"/>
                <w:szCs w:val="19"/>
              </w:rPr>
              <w:t xml:space="preserve">Telecom / messaging (TCPA &amp; state analogs)</w:t>
            </w:r>
          </w:p>
        </w:tc>
        <w:tc>
          <w:tcPr>
            <w:tcW w:type="dxa" w:w="3600"/>
            <w:tcMar>
              <w:top w:type="dxa" w:w="80"/>
              <w:left w:type="dxa" w:w="100"/>
              <w:bottom w:type="dxa" w:w="80"/>
              <w:right w:type="dxa" w:w="100"/>
            </w:tcMar>
          </w:tcPr>
          <w:p>
            <w:r>
              <w:rPr>
                <w:sz w:val="19"/>
                <w:szCs w:val="19"/>
              </w:rPr>
              <w:t xml:space="preserve">Federal TCPA, state texting statutes, consent &amp; opt-out rules</w:t>
            </w:r>
          </w:p>
        </w:tc>
        <w:tc>
          <w:tcPr>
            <w:tcW w:type="dxa" w:w="2760"/>
            <w:tcMar>
              <w:top w:type="dxa" w:w="80"/>
              <w:left w:type="dxa" w:w="100"/>
              <w:bottom w:type="dxa" w:w="80"/>
              <w:right w:type="dxa" w:w="100"/>
            </w:tcMar>
          </w:tcPr>
          <w:p>
            <w:r>
              <w:rPr>
                <w:sz w:val="19"/>
                <w:szCs w:val="19"/>
              </w:rPr>
              <w:t xml:space="preserve">Yes — turns on consent captured, not on payment</w:t>
            </w:r>
          </w:p>
        </w:tc>
      </w:tr>
      <w:tr>
        <w:tc>
          <w:tcPr>
            <w:tcW w:type="dxa" w:w="3200"/>
            <w:tcMar>
              <w:top w:type="dxa" w:w="80"/>
              <w:left w:type="dxa" w:w="100"/>
              <w:bottom w:type="dxa" w:w="80"/>
              <w:right w:type="dxa" w:w="100"/>
            </w:tcMar>
          </w:tcPr>
          <w:p>
            <w:r>
              <w:rPr>
                <w:sz w:val="19"/>
                <w:szCs w:val="19"/>
              </w:rPr>
              <w:t xml:space="preserve">Platform / carrier policy</w:t>
            </w:r>
          </w:p>
        </w:tc>
        <w:tc>
          <w:tcPr>
            <w:tcW w:type="dxa" w:w="3600"/>
            <w:tcMar>
              <w:top w:type="dxa" w:w="80"/>
              <w:left w:type="dxa" w:w="100"/>
              <w:bottom w:type="dxa" w:w="80"/>
              <w:right w:type="dxa" w:w="100"/>
            </w:tcMar>
          </w:tcPr>
          <w:p>
            <w:r>
              <w:rPr>
                <w:sz w:val="19"/>
                <w:szCs w:val="19"/>
              </w:rPr>
              <w:t xml:space="preserve">Meta WhatsApp Business policy, wireless carrier AUPs via A2P 10DLC vetting</w:t>
            </w:r>
          </w:p>
        </w:tc>
        <w:tc>
          <w:tcPr>
            <w:tcW w:type="dxa" w:w="2760"/>
            <w:tcMar>
              <w:top w:type="dxa" w:w="80"/>
              <w:left w:type="dxa" w:w="100"/>
              <w:bottom w:type="dxa" w:w="80"/>
              <w:right w:type="dxa" w:w="100"/>
            </w:tcMar>
          </w:tcPr>
          <w:p>
            <w:r>
              <w:rPr>
                <w:sz w:val="19"/>
                <w:szCs w:val="19"/>
              </w:rPr>
              <w:t xml:space="preserve">Yes — platforms enforce their own policy regardless of your compliance</w:t>
            </w:r>
          </w:p>
        </w:tc>
      </w:tr>
      <w:tr>
        <w:tc>
          <w:tcPr>
            <w:tcW w:type="dxa" w:w="3200"/>
            <w:tcMar>
              <w:top w:type="dxa" w:w="80"/>
              <w:left w:type="dxa" w:w="100"/>
              <w:bottom w:type="dxa" w:w="80"/>
              <w:right w:type="dxa" w:w="100"/>
            </w:tcMar>
          </w:tcPr>
          <w:p>
            <w:r>
              <w:rPr>
                <w:sz w:val="19"/>
                <w:szCs w:val="19"/>
              </w:rPr>
              <w:t xml:space="preserve">Contract formation</w:t>
            </w:r>
          </w:p>
        </w:tc>
        <w:tc>
          <w:tcPr>
            <w:tcW w:type="dxa" w:w="3600"/>
            <w:tcMar>
              <w:top w:type="dxa" w:w="80"/>
              <w:left w:type="dxa" w:w="100"/>
              <w:bottom w:type="dxa" w:w="80"/>
              <w:right w:type="dxa" w:w="100"/>
            </w:tcMar>
          </w:tcPr>
          <w:p>
            <w:r>
              <w:rPr>
                <w:sz w:val="19"/>
                <w:szCs w:val="19"/>
              </w:rPr>
              <w:t xml:space="preserve">E-SIGN Act / UETA — whether a text actually creates a binding order</w:t>
            </w:r>
          </w:p>
        </w:tc>
        <w:tc>
          <w:tcPr>
            <w:tcW w:type="dxa" w:w="2760"/>
            <w:tcMar>
              <w:top w:type="dxa" w:w="80"/>
              <w:left w:type="dxa" w:w="100"/>
              <w:bottom w:type="dxa" w:w="80"/>
              <w:right w:type="dxa" w:w="100"/>
            </w:tcMar>
          </w:tcPr>
          <w:p>
            <w:r>
              <w:rPr>
                <w:sz w:val="19"/>
                <w:szCs w:val="19"/>
              </w:rPr>
              <w:t xml:space="preserve">Yes — goes to whether “binding” language is enforceable at all</w:t>
            </w:r>
          </w:p>
        </w:tc>
      </w:tr>
      <w:tr>
        <w:tc>
          <w:tcPr>
            <w:tcW w:type="dxa" w:w="3200"/>
            <w:tcMar>
              <w:top w:type="dxa" w:w="80"/>
              <w:left w:type="dxa" w:w="100"/>
              <w:bottom w:type="dxa" w:w="80"/>
              <w:right w:type="dxa" w:w="100"/>
            </w:tcMar>
          </w:tcPr>
          <w:p>
            <w:r>
              <w:rPr>
                <w:sz w:val="19"/>
                <w:szCs w:val="19"/>
              </w:rPr>
              <w:t xml:space="preserve">Fraud / authorization</w:t>
            </w:r>
          </w:p>
        </w:tc>
        <w:tc>
          <w:tcPr>
            <w:tcW w:type="dxa" w:w="3600"/>
            <w:tcMar>
              <w:top w:type="dxa" w:w="80"/>
              <w:left w:type="dxa" w:w="100"/>
              <w:bottom w:type="dxa" w:w="80"/>
              <w:right w:type="dxa" w:w="100"/>
            </w:tcMar>
          </w:tcPr>
          <w:p>
            <w:r>
              <w:rPr>
                <w:sz w:val="19"/>
                <w:szCs w:val="19"/>
              </w:rPr>
              <w:t xml:space="preserve">Whether the texter is actually authorized to bind the account</w:t>
            </w:r>
          </w:p>
        </w:tc>
        <w:tc>
          <w:tcPr>
            <w:tcW w:type="dxa" w:w="2760"/>
            <w:tcMar>
              <w:top w:type="dxa" w:w="80"/>
              <w:left w:type="dxa" w:w="100"/>
              <w:bottom w:type="dxa" w:w="80"/>
              <w:right w:type="dxa" w:w="100"/>
            </w:tcMar>
          </w:tcPr>
          <w:p>
            <w:r>
              <w:rPr>
                <w:sz w:val="19"/>
                <w:szCs w:val="19"/>
              </w:rPr>
              <w:t xml:space="preserve">Yes — an unpaid or paid account can both be spoofed</w:t>
            </w:r>
          </w:p>
        </w:tc>
      </w:tr>
    </w:tbl>
    <w:p>
      <w:pPr>
        <w:spacing w:after="200"/>
      </w:pPr>
    </w:p>
    <w:p>
      <w:pPr>
        <w:pStyle w:val="Heading1"/>
        <w:spacing w:after="140" w:before="320"/>
      </w:pPr>
      <w:r>
        <w:rPr>
          <w:b/>
          <w:bCs/>
          <w:color w:val="1B2A4A"/>
          <w:sz w:val="27"/>
          <w:szCs w:val="27"/>
        </w:rPr>
        <w:t xml:space="preserve">1. Alcohol regulatory layer — state by state</w:t>
      </w:r>
    </w:p>
    <w:p>
      <w:pPr>
        <w:spacing w:after="140" w:line="276"/>
      </w:pPr>
      <w:r>
        <w:rPr>
          <w:sz w:val="21"/>
          <w:szCs w:val="21"/>
        </w:rPr>
        <w:t xml:space="preserve">Because accounts span several states, this is the layer that most needs a state-by-state pass from alcohol beverage counsel rather than a single company-wide policy. Four questions to run per state:</w:t>
      </w:r>
    </w:p>
    <w:p>
      <w:pPr>
        <w:pStyle w:val="ListParagraph"/>
        <w:numPr>
          <w:ilvl w:val="0"/>
          <w:numId w:val="2"/>
        </w:numPr>
        <w:spacing w:after="100" w:line="270"/>
      </w:pPr>
      <w:r>
        <w:rPr>
          <w:sz w:val="21"/>
          <w:szCs w:val="21"/>
        </w:rPr>
        <w:t xml:space="preserve">Self-distribution limits. Many states cap how much a brewery can sell directly to retail accounts before a licensed wholesaler has to be in the chain, or bar brewer-to-retailer sales above a threshold entirely. Confirm current volume against each state's limit.</w:t>
      </w:r>
    </w:p>
    <w:p>
      <w:pPr>
        <w:pStyle w:val="ListParagraph"/>
        <w:numPr>
          <w:ilvl w:val="0"/>
          <w:numId w:val="2"/>
        </w:numPr>
        <w:spacing w:after="100" w:line="270"/>
      </w:pPr>
      <w:r>
        <w:rPr>
          <w:sz w:val="21"/>
          <w:szCs w:val="21"/>
        </w:rPr>
        <w:t xml:space="preserve">Retailer license verification duty. A number of states require the seller to confirm the retail license is currently active at or before the time of sale — not merely that the account's AR is current. “In good standing” in your books and “validly licensed” in the state's system are two different checks; the ordering system should perform both, and the license check should be able to block an order the payment check would let through.</w:t>
      </w:r>
    </w:p>
    <w:p>
      <w:pPr>
        <w:pStyle w:val="ListParagraph"/>
        <w:numPr>
          <w:ilvl w:val="0"/>
          <w:numId w:val="2"/>
        </w:numPr>
        <w:spacing w:after="100" w:line="270"/>
      </w:pPr>
      <w:r>
        <w:rPr>
          <w:sz w:val="21"/>
          <w:szCs w:val="21"/>
        </w:rPr>
        <w:t xml:space="preserve">Record-keeping. Most states require specific transaction records (invoice #, license #, date, product, quantity, price) for wholesale alcohol sales. The new channel needs to preserve an equivalent — or better — audit trail than the current spreadsheet, including the raw text, the system's interpretation of it, and the customer's confirmation.</w:t>
      </w:r>
    </w:p>
    <w:p>
      <w:pPr>
        <w:pStyle w:val="ListParagraph"/>
        <w:numPr>
          <w:ilvl w:val="0"/>
          <w:numId w:val="2"/>
        </w:numPr>
        <w:spacing w:after="100" w:line="270"/>
      </w:pPr>
      <w:r>
        <w:rPr>
          <w:sz w:val="21"/>
          <w:szCs w:val="21"/>
        </w:rPr>
        <w:t xml:space="preserve">Franchise / distribution-agreement law. Depending on how the brand is licensed and distributed in each state, beer franchise statutes can restrict how a distribution relationship is structured or unilaterally changed. Worth a specific confirmation per state, especially anywhere a separate wholesaler (rather than self-distribution) is involved.</w:t>
      </w:r>
    </w:p>
    <w:p>
      <w:pPr>
        <w:pBdr>
          <w:left w:val="single" w:color="9A1750" w:sz="24" w:space="8"/>
        </w:pBdr>
        <w:shd w:fill="F2E6EA" w:val="clear"/>
        <w:spacing w:after="200" w:before="120"/>
        <w:ind w:left="100"/>
      </w:pPr>
      <w:r>
        <w:rPr>
          <w:i/>
          <w:iCs/>
          <w:color w:val="5A1030"/>
          <w:sz w:val="21"/>
          <w:szCs w:val="21"/>
        </w:rPr>
        <w:t xml:space="preserve">Recommendation: ask alcohol beverage counsel for a state compliance matrix covering exactly these four questions for every state with active accounts, before this expands beyond a pilot.</w:t>
      </w:r>
    </w:p>
    <w:p>
      <w:pPr>
        <w:pStyle w:val="Heading1"/>
        <w:spacing w:after="140" w:before="320"/>
      </w:pPr>
      <w:r>
        <w:rPr>
          <w:b/>
          <w:bCs/>
          <w:color w:val="1B2A4A"/>
          <w:sz w:val="27"/>
          <w:szCs w:val="27"/>
        </w:rPr>
        <w:t xml:space="preserve">2. Telecom &amp; messaging compliance</w:t>
      </w:r>
    </w:p>
    <w:p>
      <w:pPr>
        <w:pStyle w:val="Heading2"/>
        <w:spacing w:after="100" w:before="240"/>
      </w:pPr>
      <w:r>
        <w:rPr>
          <w:b/>
          <w:bCs/>
          <w:color w:val="9A1750"/>
          <w:sz w:val="23"/>
          <w:szCs w:val="23"/>
        </w:rPr>
        <w:t xml:space="preserve">TCPA and state analogs</w:t>
      </w:r>
    </w:p>
    <w:p>
      <w:pPr>
        <w:spacing w:after="140" w:line="276"/>
      </w:pPr>
      <w:r>
        <w:rPr>
          <w:sz w:val="21"/>
          <w:szCs w:val="21"/>
        </w:rPr>
        <w:t xml:space="preserve">TCPA liability turns on consent and how messages are sent, not on the B2B/B2C label. Ordering contacts will often be reachable on personal cell numbers, so the safest posture is to treat every number as if TCPA's consent rules apply: capture an affirmative opt-in, identify the sender clearly, honor STOP immediately, and log consent (number, timestamp, what was agreed to). A handful of states (e.g. Florida, Oklahoma, Washington) layer their own texting statutes on top of TCPA, some with a private right of action — worth a specific check for the states in your account footprint.</w:t>
      </w:r>
    </w:p>
    <w:p>
      <w:pPr>
        <w:pStyle w:val="Heading2"/>
        <w:spacing w:after="100" w:before="240"/>
      </w:pPr>
      <w:r>
        <w:rPr>
          <w:b/>
          <w:bCs/>
          <w:color w:val="9A1750"/>
          <w:sz w:val="23"/>
          <w:szCs w:val="23"/>
        </w:rPr>
        <w:t xml:space="preserve">Carrier registration (A2P 10DLC)</w:t>
      </w:r>
    </w:p>
    <w:p>
      <w:pPr>
        <w:spacing w:after="140" w:line="276"/>
      </w:pPr>
      <w:r>
        <w:rPr>
          <w:sz w:val="21"/>
          <w:szCs w:val="21"/>
        </w:rPr>
        <w:t xml:space="preserve">Automated, high-volume SMS in the US generally has to run through a registered A2P 10DLC campaign with a declared use case. Alcohol-adjacent content commonly draws extra scrutiny in campaign vetting; unregistered or miscategorized traffic risks being filtered, throttled, or having the number shut down — independent of whether the underlying business practice is legal. Confirm the exact requirements directly with whichever SMS platform gets chosen (Twilio and similar providers publish current alcohol/age-gated-content guidance) before committing to a build.</w:t>
      </w:r>
    </w:p>
    <w:p>
      <w:pPr>
        <w:pStyle w:val="Heading2"/>
        <w:spacing w:after="100" w:before="240"/>
      </w:pPr>
      <w:r>
        <w:rPr>
          <w:b/>
          <w:bCs/>
          <w:color w:val="9A1750"/>
          <w:sz w:val="23"/>
          <w:szCs w:val="23"/>
        </w:rPr>
        <w:t xml:space="preserve">WhatsApp Business Platform — verified: not viable for US accounts</w:t>
      </w:r>
    </w:p>
    <w:p>
      <w:pPr>
        <w:spacing w:after="140" w:line="276"/>
      </w:pPr>
      <w:r>
        <w:rPr>
          <w:sz w:val="21"/>
          <w:szCs w:val="21"/>
        </w:rPr>
        <w:t xml:space="preserve">This one is now confirmed rather than open. Meta's WhatsApp Business Messaging Policy treats alcohol as a “Regulated Vertical,” and imposes three separate restrictions that together rule out the WhatsApp leg of this project for US accounts:</w:t>
      </w:r>
    </w:p>
    <w:p>
      <w:pPr>
        <w:pStyle w:val="ListParagraph"/>
        <w:numPr>
          <w:ilvl w:val="0"/>
          <w:numId w:val="3"/>
        </w:numPr>
        <w:spacing w:after="80" w:line="270"/>
      </w:pPr>
      <w:r>
        <w:rPr>
          <w:sz w:val="21"/>
          <w:szCs w:val="21"/>
        </w:rPr>
        <w:t xml:space="preserve">Alcohol messaging is prohibited outright on the WhatsApp Business App. It is permitted only on the WhatsApp Business Platform (the API product), and then only in a specific list of allowed countries.</w:t>
      </w:r>
    </w:p>
    <w:p>
      <w:pPr>
        <w:pStyle w:val="ListParagraph"/>
        <w:numPr>
          <w:ilvl w:val="0"/>
          <w:numId w:val="3"/>
        </w:numPr>
        <w:spacing w:after="80" w:line="270"/>
      </w:pPr>
      <w:r>
        <w:rPr>
          <w:b/>
          <w:bCs/>
          <w:sz w:val="21"/>
          <w:szCs w:val="21"/>
        </w:rPr>
        <w:t xml:space="preserve">The United States is not on that allowed-countries list.</w:t>
      </w:r>
      <w:r>
        <w:rPr>
          <w:sz w:val="21"/>
          <w:szCs w:val="21"/>
        </w:rPr>
        <w:t xml:space="preserve"> The policy names 54 jurisdictions where alcohol messaging is permitted. Several US territories do appear — American Samoa, Guam, the Northern Mariana Islands, Puerto Rico, and the US Virgin Islands — but the US mainland does not.</w:t>
      </w:r>
    </w:p>
    <w:p>
      <w:pPr>
        <w:pStyle w:val="ListParagraph"/>
        <w:numPr>
          <w:ilvl w:val="0"/>
          <w:numId w:val="3"/>
        </w:numPr>
        <w:spacing w:after="80" w:line="270"/>
      </w:pPr>
      <w:r>
        <w:rPr>
          <w:sz w:val="21"/>
          <w:szCs w:val="21"/>
        </w:rPr>
        <w:t xml:space="preserve">Even in permitted countries, Meta separately prohibits “providing any commerce experiences to buy or sell goods or services that are Regulated Verticals” — so catalog- and cart-style ordering for alcohol is barred even where promotional messaging is allowed.</w:t>
      </w:r>
    </w:p>
    <w:p>
      <w:pPr>
        <w:pBdr>
          <w:left w:val="single" w:color="9A1750" w:sz="24" w:space="8"/>
        </w:pBdr>
        <w:shd w:fill="F2E6EA" w:val="clear"/>
        <w:spacing w:after="200" w:before="120"/>
        <w:ind w:left="100"/>
      </w:pPr>
      <w:r>
        <w:rPr>
          <w:i/>
          <w:iCs/>
          <w:color w:val="5A1030"/>
          <w:sz w:val="21"/>
          <w:szCs w:val="21"/>
        </w:rPr>
        <w:t xml:space="preserve">Practical conclusion: build the SMS channel, and drop WhatsApp from the roadmap for mainland US accounts. Proceeding anyway risks the business account being suspended with little warning. Worth confirming with a WhatsApp Business Solution Provider before writing WhatsApp off permanently — policies do change, and an enterprise agreement may carry different terms — but the published policy as it currently stands does not permit this use case in the US.</w:t>
      </w:r>
    </w:p>
    <w:p>
      <w:pPr>
        <w:spacing w:after="140" w:line="276"/>
      </w:pPr>
      <w:r>
        <w:rPr>
          <w:sz w:val="21"/>
          <w:szCs w:val="21"/>
        </w:rPr>
        <w:t xml:space="preserve">Two narrow exceptions worth noting: if you ever hold accounts in Puerto Rico or the US Virgin Islands, conversational WhatsApp ordering there may be permissible on the Business Platform (though the commerce-experience prohibition still applies). And nothing here restricts SMS — this is a Meta platform policy, not a legal restriction on alcohol messaging generally.</w:t>
      </w:r>
    </w:p>
    <w:p>
      <w:pPr>
        <w:pStyle w:val="Heading1"/>
        <w:spacing w:after="140" w:before="320"/>
      </w:pPr>
      <w:r>
        <w:rPr>
          <w:b/>
          <w:bCs/>
          <w:color w:val="1B2A4A"/>
          <w:sz w:val="27"/>
          <w:szCs w:val="27"/>
        </w:rPr>
        <w:t xml:space="preserve">3. Does a text message actually form a binding order?</w:t>
      </w:r>
    </w:p>
    <w:p>
      <w:pPr>
        <w:spacing w:after="140" w:line="276"/>
      </w:pPr>
      <w:r>
        <w:rPr>
          <w:sz w:val="21"/>
          <w:szCs w:val="21"/>
        </w:rPr>
        <w:t xml:space="preserve">Generally yes, under the E-SIGN Act and state UETA equivalents — electronic records and signatures, including a confirming text reply, can form a valid contract, provided the parties have agreed to transact electronically and there's a reasonable basis to associate the confirming reply with someone authorized to bind the account.</w:t>
      </w:r>
    </w:p>
    <w:p>
      <w:pPr>
        <w:spacing w:after="140" w:line="276"/>
      </w:pPr>
      <w:r>
        <w:rPr>
          <w:sz w:val="21"/>
          <w:szCs w:val="21"/>
        </w:rPr>
        <w:t xml:space="preserve">Two build choices you've already made do real legal work here, not just UX polish:</w:t>
      </w:r>
    </w:p>
    <w:p>
      <w:pPr>
        <w:pStyle w:val="ListParagraph"/>
        <w:numPr>
          <w:ilvl w:val="0"/>
          <w:numId w:val="3"/>
        </w:numPr>
        <w:spacing w:after="80" w:line="270"/>
      </w:pPr>
      <w:r>
        <w:rPr>
          <w:sz w:val="21"/>
          <w:szCs w:val="21"/>
        </w:rPr>
        <w:t xml:space="preserve">Opt-in through the first text exchange means the binding-order language has to actually appear in that first exchange (and be easy to pull up again later) — courts look for genuine notice and a chance to review terms, not language posted somewhere the customer never saw.</w:t>
      </w:r>
    </w:p>
    <w:p>
      <w:pPr>
        <w:pStyle w:val="ListParagraph"/>
        <w:numPr>
          <w:ilvl w:val="0"/>
          <w:numId w:val="3"/>
        </w:numPr>
        <w:spacing w:after="80" w:line="270"/>
      </w:pPr>
      <w:r>
        <w:rPr>
          <w:sz w:val="21"/>
          <w:szCs w:val="21"/>
        </w:rPr>
        <w:t xml:space="preserve">The explicit confirm-back step — system summarizes the parsed order, the account replies to confirm — is the clearest evidence of mutual assent to the exact line items, and it's what makes a strict “no take-backs” clause defensible: the customer approved this specific order, not whatever the AI happened to parse.</w:t>
      </w:r>
    </w:p>
    <w:p>
      <w:pPr>
        <w:spacing w:after="140" w:line="276"/>
      </w:pPr>
      <w:r>
        <w:rPr>
          <w:sz w:val="21"/>
          <w:szCs w:val="21"/>
        </w:rPr>
        <w:t xml:space="preserve">“Cannot be undone” is generally enforceable in a B2B commercial relationship — far more so than in a consumer contract — but a few narrow, clearly-stated carve-outs are worth building in anyway, mainly to avoid disputes rather than because the clause would otherwise fail:</w:t>
      </w:r>
    </w:p>
    <w:p>
      <w:pPr>
        <w:pStyle w:val="ListParagraph"/>
        <w:numPr>
          <w:ilvl w:val="0"/>
          <w:numId w:val="3"/>
        </w:numPr>
        <w:spacing w:after="80" w:line="270"/>
      </w:pPr>
      <w:r>
        <w:rPr>
          <w:sz w:val="21"/>
          <w:szCs w:val="21"/>
        </w:rPr>
        <w:t xml:space="preserve">What happens if a confirmed line item is out of stock at fulfillment — decide and state the default (substitute, backorder, or drop the line and invoice the rest) rather than leaving it to be improvised per order.</w:t>
      </w:r>
    </w:p>
    <w:p>
      <w:pPr>
        <w:pStyle w:val="ListParagraph"/>
        <w:numPr>
          <w:ilvl w:val="0"/>
          <w:numId w:val="3"/>
        </w:numPr>
        <w:spacing w:after="80" w:line="270"/>
      </w:pPr>
      <w:r>
        <w:rPr>
          <w:sz w:val="21"/>
          <w:szCs w:val="21"/>
        </w:rPr>
        <w:t xml:space="preserve">A short, explicitly time-boxed correction window before dispatch (e.g. “changes must reach your rep before the order leaves the warehouse”) keeps the policy strict while giving a narrow, defensible safety valve.</w:t>
      </w:r>
    </w:p>
    <w:p>
      <w:pPr>
        <w:pStyle w:val="ListParagraph"/>
        <w:numPr>
          <w:ilvl w:val="0"/>
          <w:numId w:val="3"/>
        </w:numPr>
        <w:spacing w:after="80" w:line="270"/>
      </w:pPr>
      <w:r>
        <w:rPr>
          <w:sz w:val="21"/>
          <w:szCs w:val="21"/>
        </w:rPr>
        <w:t xml:space="preserve">Reserve the brewery's own right to hold or reject an order even after confirmation (credit hold, license lapse, order well outside normal pattern). A clause that binds only the customer while giving the brewery unlimited discretion is more exposed to an unconscionability argument than one that's asymmetric but still mutual.</w:t>
      </w:r>
    </w:p>
    <w:p>
      <w:pPr>
        <w:pStyle w:val="Heading1"/>
        <w:spacing w:after="140" w:before="320"/>
      </w:pPr>
      <w:r>
        <w:rPr>
          <w:b/>
          <w:bCs/>
          <w:color w:val="1B2A4A"/>
          <w:sz w:val="27"/>
          <w:szCs w:val="27"/>
        </w:rPr>
        <w:t xml:space="preserve">4. “Pulled directly from their account”</w:t>
      </w:r>
    </w:p>
    <w:p>
      <w:pPr>
        <w:spacing w:after="140" w:line="276"/>
      </w:pPr>
      <w:r>
        <w:rPr>
          <w:sz w:val="21"/>
          <w:szCs w:val="21"/>
        </w:rPr>
        <w:t xml:space="preserve">As the current system is built — Net terms, ACH, and per-account “Fintech” payment methods recorded and invoiced after the fact — this reads as ordinary wholesale accounts-receivable: a confirmed order becomes an invoice against the account's existing credit terms, not a live card or bank charge. Worth saying that explicitly in the customer-facing terms, so “pulled directly from your account” isn't read as authorizing a real-time debit if that's not actually what happens. If this ever becomes an automatic stored-card or auto-ACH-debit flow, card network rules on stored-credential transactions and NACHA's ACH authorization requirements come into play and need different consent language than what's appropriate for standing AR terms.</w:t>
      </w:r>
    </w:p>
    <w:p>
      <w:pPr>
        <w:pStyle w:val="Heading1"/>
        <w:spacing w:after="140" w:before="320"/>
      </w:pPr>
      <w:r>
        <w:rPr>
          <w:b/>
          <w:bCs/>
          <w:color w:val="1B2A4A"/>
          <w:sz w:val="27"/>
          <w:szCs w:val="27"/>
        </w:rPr>
        <w:t xml:space="preserve">5. Operational controls the legal position depends on</w:t>
      </w:r>
    </w:p>
    <w:p>
      <w:pPr>
        <w:spacing w:after="140" w:line="276"/>
      </w:pPr>
      <w:r>
        <w:rPr>
          <w:sz w:val="21"/>
          <w:szCs w:val="21"/>
        </w:rPr>
        <w:t xml:space="preserve">These aren't legal requirements on their own, but the enforceability of a strict, binding, no-cancellation policy leans on them being real:</w:t>
      </w:r>
    </w:p>
    <w:p>
      <w:pPr>
        <w:pStyle w:val="ListParagraph"/>
        <w:numPr>
          <w:ilvl w:val="0"/>
          <w:numId w:val="3"/>
        </w:numPr>
        <w:spacing w:after="80" w:line="270"/>
      </w:pPr>
      <w:r>
        <w:rPr>
          <w:sz w:val="21"/>
          <w:szCs w:val="21"/>
        </w:rPr>
        <w:t xml:space="preserve">Authorized-sender check: match the inbound number against the on-file ordering contact for that account before treating a message as an order attempt; unrecognized numbers get routed to a human rep, never auto-processed.</w:t>
      </w:r>
    </w:p>
    <w:p>
      <w:pPr>
        <w:pStyle w:val="ListParagraph"/>
        <w:numPr>
          <w:ilvl w:val="0"/>
          <w:numId w:val="3"/>
        </w:numPr>
        <w:spacing w:after="80" w:line="270"/>
      </w:pPr>
      <w:r>
        <w:rPr>
          <w:sz w:val="21"/>
          <w:szCs w:val="21"/>
        </w:rPr>
        <w:t xml:space="preserve">Full audit trail: keep the raw inbound message, the system's parsed interpretation, the confirmation exchange, and the final order together — likely required for state record-keeping, and it's your best evidence if an order is ever disputed.</w:t>
      </w:r>
    </w:p>
    <w:p>
      <w:pPr>
        <w:pStyle w:val="ListParagraph"/>
        <w:numPr>
          <w:ilvl w:val="0"/>
          <w:numId w:val="3"/>
        </w:numPr>
        <w:spacing w:after="80" w:line="270"/>
      </w:pPr>
      <w:r>
        <w:rPr>
          <w:sz w:val="21"/>
          <w:szCs w:val="21"/>
        </w:rPr>
        <w:t xml:space="preserve">Confirmation is the actual moment of contract formation: the build has to treat the customer's reply — not the AI's first parse — as what makes the order binding.</w:t>
      </w:r>
    </w:p>
    <w:p>
      <w:pPr>
        <w:pStyle w:val="ListParagraph"/>
        <w:numPr>
          <w:ilvl w:val="0"/>
          <w:numId w:val="3"/>
        </w:numPr>
        <w:spacing w:after="80" w:line="270"/>
      </w:pPr>
      <w:r>
        <w:rPr>
          <w:sz w:val="21"/>
          <w:szCs w:val="21"/>
        </w:rPr>
        <w:t xml:space="preserve">A real, staffed escalation path behind “contact your sales rep,” especially in the window right after confirmation and before dispatch.</w:t>
      </w:r>
    </w:p>
    <w:p>
      <w:pPr>
        <w:pStyle w:val="Heading1"/>
        <w:spacing w:after="140" w:before="320"/>
      </w:pPr>
      <w:r>
        <w:rPr>
          <w:b/>
          <w:bCs/>
          <w:color w:val="1B2A4A"/>
          <w:sz w:val="27"/>
          <w:szCs w:val="27"/>
        </w:rPr>
        <w:t xml:space="preserve">Suggested next steps</w:t>
      </w:r>
    </w:p>
    <w:p>
      <w:pPr>
        <w:pStyle w:val="ListParagraph"/>
        <w:numPr>
          <w:ilvl w:val="0"/>
          <w:numId w:val="4"/>
        </w:numPr>
        <w:spacing w:after="100" w:line="270"/>
      </w:pPr>
      <w:r>
        <w:rPr>
          <w:sz w:val="21"/>
          <w:szCs w:val="21"/>
        </w:rPr>
        <w:t xml:space="preserve">Get a state-by-state alcohol distribution compliance check (the four questions in Section 1) for every state with active accounts.</w:t>
      </w:r>
    </w:p>
    <w:p>
      <w:pPr>
        <w:pStyle w:val="ListParagraph"/>
        <w:numPr>
          <w:ilvl w:val="0"/>
          <w:numId w:val="4"/>
        </w:numPr>
        <w:spacing w:after="100" w:line="270"/>
      </w:pPr>
      <w:r>
        <w:rPr>
          <w:sz w:val="21"/>
          <w:szCs w:val="21"/>
        </w:rPr>
        <w:t xml:space="preserve">Get TCPA/telecom counsel sign-off on the consent flow and the specific SMS platform before it's wired up.</w:t>
      </w:r>
    </w:p>
    <w:p>
      <w:pPr>
        <w:pStyle w:val="ListParagraph"/>
        <w:numPr>
          <w:ilvl w:val="0"/>
          <w:numId w:val="4"/>
        </w:numPr>
        <w:spacing w:after="100" w:line="270"/>
      </w:pPr>
      <w:r>
        <w:rPr>
          <w:sz w:val="21"/>
          <w:szCs w:val="21"/>
        </w:rPr>
        <w:t xml:space="preserve">Confirm the 10DLC campaign classification with the chosen SMS vendor before building against it. The WhatsApp question is already answered — see Section 2; treat WhatsApp as out of scope for US accounts unless a Solution Provider confirms otherwise in writing.</w:t>
      </w:r>
    </w:p>
    <w:p>
      <w:pPr>
        <w:pStyle w:val="ListParagraph"/>
        <w:numPr>
          <w:ilvl w:val="0"/>
          <w:numId w:val="4"/>
        </w:numPr>
        <w:spacing w:after="100" w:line="270"/>
      </w:pPr>
      <w:r>
        <w:rPr>
          <w:sz w:val="21"/>
          <w:szCs w:val="21"/>
        </w:rPr>
        <w:t xml:space="preserve">Have counsel review the accompanying draft Terms &amp; Conditions before it's presented to any account, and before the first opt-in text goes out.</w:t>
      </w:r>
    </w:p>
    <w:p>
      <w:pPr>
        <w:pStyle w:val="ListParagraph"/>
        <w:numPr>
          <w:ilvl w:val="0"/>
          <w:numId w:val="4"/>
        </w:numPr>
        <w:spacing w:after="100" w:line="270"/>
      </w:pPr>
      <w:r>
        <w:rPr>
          <w:sz w:val="21"/>
          <w:szCs w:val="21"/>
        </w:rPr>
        <w:t xml:space="preserve">Consider piloting in one or two states while the full compliance matrix is underway, rather than flipping this on everywhere at once.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450" w:hanging="270"/>
      </w:pPr>
    </w:lvl>
  </w:abstractNum>
  <w:abstractNum w:abstractNumId="4" w15:restartNumberingAfterBreak="0">
    <w:multiLevelType w:val="hybridMultilevel"/>
    <w:lvl w:ilvl="0" w15:tentative="1">
      <w:start w:val="1"/>
      <w:numFmt w:val="decimal"/>
      <w:lvlText w:val="%1."/>
      <w:lvlJc w:val="left"/>
      <w:pPr>
        <w:ind w:left="450" w:hanging="27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2026-08-27T19:33:10.388Z</dcterms:created>
  <dcterms:modified xsi:type="dcterms:W3CDTF">2026-08-27T19:33:10.388Z</dcterms:modified>
</cp:coreProperties>
</file>

<file path=docProps/custom.xml><?xml version="1.0" encoding="utf-8"?>
<Properties xmlns="http://schemas.openxmlformats.org/officeDocument/2006/custom-properties" xmlns:vt="http://schemas.openxmlformats.org/officeDocument/2006/docPropsVTypes"/>
</file>