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69695AC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Pr>
          <w:rFonts w:ascii="Georgia" w:eastAsia="Georgia" w:hAnsi="Georgia" w:cs="Georgia"/>
          <w:color w:val="1155CC"/>
          <w:u w:val="single"/>
        </w:rPr>
        <w:t>https://github.com/tlockhart/SuperHeroMatch/</w:t>
      </w:r>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2234391A"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r w:rsidR="000C603A" w:rsidRPr="006D62FF">
        <w:rPr>
          <w:rFonts w:ascii="Georgia" w:eastAsia="Georgia" w:hAnsi="Georgia" w:cs="Georgia"/>
          <w:color w:val="1155CC"/>
          <w:u w:val="single"/>
        </w:rPr>
        <w:t>https://salty-plains-27692.herokuapp.com/display-store-front/1</w:t>
      </w:r>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6C5E7FA4"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xml:space="preserve">, 2011 - </w:t>
      </w:r>
      <w:r w:rsidR="003F1903">
        <w:rPr>
          <w:rFonts w:ascii="Georgia" w:eastAsia="Georgia" w:hAnsi="Georgia" w:cs="Georgia"/>
        </w:rPr>
        <w:t>present</w:t>
      </w:r>
      <w:bookmarkStart w:id="0" w:name="_GoBack"/>
      <w:bookmarkEnd w:id="0"/>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3F1903"/>
    <w:rsid w:val="00466479"/>
    <w:rsid w:val="005D7DA2"/>
    <w:rsid w:val="0063626C"/>
    <w:rsid w:val="006D62FF"/>
    <w:rsid w:val="006F2005"/>
    <w:rsid w:val="00730316"/>
    <w:rsid w:val="007D3043"/>
    <w:rsid w:val="0089417A"/>
    <w:rsid w:val="00930008"/>
    <w:rsid w:val="00A47CCB"/>
    <w:rsid w:val="00A673F8"/>
    <w:rsid w:val="00AA72C2"/>
    <w:rsid w:val="00CB0B9A"/>
    <w:rsid w:val="00D45853"/>
    <w:rsid w:val="00DD52C1"/>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9CDF-E489-4275-8ADE-E1026DE4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5</cp:revision>
  <cp:lastPrinted>2019-02-23T00:58:00Z</cp:lastPrinted>
  <dcterms:created xsi:type="dcterms:W3CDTF">2019-02-24T22:50:00Z</dcterms:created>
  <dcterms:modified xsi:type="dcterms:W3CDTF">2019-03-04T21:45:00Z</dcterms:modified>
</cp:coreProperties>
</file>