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50" w:rsidRDefault="001D7C50" w:rsidP="001D7C50">
      <w:pPr>
        <w:pStyle w:val="Titel"/>
        <w:rPr>
          <w:sz w:val="48"/>
          <w:szCs w:val="48"/>
        </w:rPr>
      </w:pPr>
      <w:r w:rsidRPr="00997A1F">
        <w:rPr>
          <w:sz w:val="48"/>
          <w:szCs w:val="48"/>
        </w:rPr>
        <w:t>Labor I</w:t>
      </w:r>
      <w:r>
        <w:rPr>
          <w:sz w:val="48"/>
          <w:szCs w:val="48"/>
        </w:rPr>
        <w:t>I</w:t>
      </w:r>
      <w:r w:rsidRPr="00997A1F">
        <w:rPr>
          <w:sz w:val="48"/>
          <w:szCs w:val="48"/>
        </w:rPr>
        <w:t>: Algorithmen und Datenstrukturen</w:t>
      </w:r>
    </w:p>
    <w:p w:rsidR="001D7C50" w:rsidRDefault="001D7C50" w:rsidP="001D7C50">
      <w:pPr>
        <w:pStyle w:val="Untertitel"/>
      </w:pPr>
      <w:r>
        <w:t>Dokumentation Gruppe 27</w:t>
      </w:r>
    </w:p>
    <w:p w:rsidR="001D7C50" w:rsidRDefault="001D7C50" w:rsidP="001D7C50">
      <w:pPr>
        <w:pStyle w:val="berschrift1"/>
      </w:pPr>
      <w:proofErr w:type="spellStart"/>
      <w:r>
        <w:t>Ergebnissdokumentation</w:t>
      </w:r>
      <w:proofErr w:type="spellEnd"/>
    </w:p>
    <w:p w:rsidR="001D7C50" w:rsidRDefault="001D7C50" w:rsidP="001D7C50"/>
    <w:p w:rsidR="005214DA" w:rsidRDefault="005214DA" w:rsidP="001D7C50">
      <w:r>
        <w:t>1.</w:t>
      </w:r>
    </w:p>
    <w:p w:rsidR="005214DA" w:rsidRDefault="005214DA" w:rsidP="005214DA">
      <w:pPr>
        <w:pStyle w:val="KeinLeerraum"/>
      </w:pPr>
      <w:r>
        <w:t>Theoretisch größter Binomialkoeffizient:</w:t>
      </w:r>
    </w:p>
    <w:p w:rsidR="005214DA" w:rsidRDefault="005214DA" w:rsidP="005214DA">
      <w:pPr>
        <w:pStyle w:val="KeinLeerraum"/>
      </w:pPr>
    </w:p>
    <w:p w:rsidR="005214DA" w:rsidRPr="005214DA" w:rsidRDefault="005214DA" w:rsidP="005214DA">
      <w:pPr>
        <w:pStyle w:val="KeinLeerraum"/>
        <w:jc w:val="center"/>
        <w:rPr>
          <w:b/>
        </w:rPr>
      </w:pPr>
      <w:r w:rsidRPr="005214DA">
        <w:rPr>
          <w:b/>
        </w:rPr>
        <w:t>33 über 16 = 1.166.803.110 &lt; 2</w:t>
      </w:r>
      <w:r w:rsidRPr="005214DA">
        <w:rPr>
          <w:b/>
          <w:vertAlign w:val="superscript"/>
        </w:rPr>
        <w:t>31</w:t>
      </w:r>
      <w:r w:rsidRPr="005214DA">
        <w:rPr>
          <w:b/>
        </w:rPr>
        <w:t>-1</w:t>
      </w:r>
    </w:p>
    <w:p w:rsidR="005214DA" w:rsidRPr="005214DA" w:rsidRDefault="005214DA" w:rsidP="005214DA">
      <w:pPr>
        <w:pStyle w:val="KeinLeerraum"/>
        <w:jc w:val="center"/>
        <w:rPr>
          <w:b/>
        </w:rPr>
      </w:pPr>
      <w:r w:rsidRPr="005214DA">
        <w:rPr>
          <w:b/>
        </w:rPr>
        <w:t>34 über 17 = 2.333.606.220 &gt; 2</w:t>
      </w:r>
      <w:r w:rsidRPr="005214DA">
        <w:rPr>
          <w:b/>
          <w:vertAlign w:val="superscript"/>
        </w:rPr>
        <w:t>31</w:t>
      </w:r>
      <w:r w:rsidRPr="005214DA">
        <w:rPr>
          <w:b/>
          <w:vertAlign w:val="superscript"/>
        </w:rPr>
        <w:softHyphen/>
      </w:r>
      <w:r w:rsidRPr="005214DA">
        <w:rPr>
          <w:b/>
          <w:vertAlign w:val="superscript"/>
        </w:rPr>
        <w:softHyphen/>
      </w:r>
      <w:r w:rsidRPr="005214DA">
        <w:rPr>
          <w:b/>
        </w:rPr>
        <w:t>-1</w:t>
      </w:r>
    </w:p>
    <w:p w:rsidR="005214DA" w:rsidRDefault="005214DA" w:rsidP="005214DA">
      <w:pPr>
        <w:pStyle w:val="KeinLeerraum"/>
      </w:pPr>
      <w:r>
        <w:t>33 über 16 ist nur dann der größtmögliche Koeffizient wenn die Berechnung für jedes k gültig ist.</w:t>
      </w:r>
    </w:p>
    <w:p w:rsidR="005214DA" w:rsidRDefault="005214DA" w:rsidP="005214DA">
      <w:pPr>
        <w:pStyle w:val="KeinLeerraum"/>
      </w:pPr>
      <w:r>
        <w:t xml:space="preserve">K muss n/2 sein um den größtmöglichen Koeffizienten von n zu erhalten. </w:t>
      </w:r>
      <w:r>
        <w:tab/>
      </w:r>
      <w:r>
        <w:tab/>
      </w:r>
      <w:r>
        <w:tab/>
      </w:r>
      <w:r>
        <w:tab/>
      </w:r>
      <w:r>
        <w:tab/>
      </w:r>
    </w:p>
    <w:p w:rsidR="005214DA" w:rsidRDefault="005214DA" w:rsidP="001D7C50">
      <w:r>
        <w:t>2.</w:t>
      </w:r>
    </w:p>
    <w:p w:rsidR="00CC4768" w:rsidRDefault="001D7C50" w:rsidP="00CC4768">
      <w:pPr>
        <w:pStyle w:val="Listenabsatz"/>
        <w:numPr>
          <w:ilvl w:val="0"/>
          <w:numId w:val="1"/>
        </w:numPr>
      </w:pPr>
      <w:r>
        <w:t>Bei der Berechnung des Binomialkoeffizienten besteht eine Fakultät über n. Zu bestimmen ist nun der maximal Wert für n des Typs Integer. Ein Integer besteht aus</w:t>
      </w:r>
      <w:r w:rsidR="00EA7C2A">
        <w:t xml:space="preserve"> 32 Bits</w:t>
      </w:r>
      <w:r w:rsidR="00916AD2">
        <w:t>. Da es in Java leider keine Möglichkeit eines „</w:t>
      </w:r>
      <w:proofErr w:type="spellStart"/>
      <w:r w:rsidR="00916AD2">
        <w:t>unsigned</w:t>
      </w:r>
      <w:proofErr w:type="spellEnd"/>
      <w:r w:rsidR="00916AD2">
        <w:t xml:space="preserve"> </w:t>
      </w:r>
      <w:proofErr w:type="spellStart"/>
      <w:r w:rsidR="00916AD2">
        <w:t>int</w:t>
      </w:r>
      <w:proofErr w:type="spellEnd"/>
      <w:r w:rsidR="00916AD2">
        <w:t>“ gibt, ist der Wertebereich nicht 2</w:t>
      </w:r>
      <w:r w:rsidR="00916AD2" w:rsidRPr="00916AD2">
        <w:rPr>
          <w:vertAlign w:val="superscript"/>
        </w:rPr>
        <w:t>32</w:t>
      </w:r>
      <w:r w:rsidR="00916AD2">
        <w:rPr>
          <w:vertAlign w:val="superscript"/>
        </w:rPr>
        <w:t xml:space="preserve">  </w:t>
      </w:r>
      <w:r w:rsidR="00916AD2">
        <w:t>wie zuerst vermutet sondern nur die Hälfte. Somit ist der positive Wertebereich 0 &lt;= x &lt;= 2.147.483.647</w:t>
      </w:r>
      <w:r w:rsidR="00CC4768">
        <w:t xml:space="preserve">. Den maximalen Wertebereich haben wir nun mittels einer Methode </w:t>
      </w:r>
      <w:proofErr w:type="spellStart"/>
      <w:r w:rsidR="00CC4768">
        <w:t>fakultaet</w:t>
      </w:r>
      <w:proofErr w:type="spellEnd"/>
      <w:r w:rsidR="00CC4768">
        <w:t xml:space="preserve">() durch ausprobieren auf 12 eingrenzen können. </w:t>
      </w:r>
      <w:proofErr w:type="gramStart"/>
      <w:r w:rsidR="00CC4768">
        <w:t>Bei !</w:t>
      </w:r>
      <w:proofErr w:type="gramEnd"/>
      <w:r w:rsidR="00CC4768">
        <w:t>13 ist das Ergebnis aufgrund eines Überlaufs nicht mehr korrekt.</w:t>
      </w:r>
      <w:r w:rsidR="00EC7166">
        <w:t xml:space="preserve"> </w:t>
      </w:r>
    </w:p>
    <w:tbl>
      <w:tblPr>
        <w:tblStyle w:val="Tabellenraster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87"/>
        <w:gridCol w:w="2127"/>
        <w:gridCol w:w="2127"/>
      </w:tblGrid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Fakultät !n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proofErr w:type="spellStart"/>
            <w:r>
              <w:t>Fakultaet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n)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proofErr w:type="spellStart"/>
            <w:r>
              <w:t>Fakultaet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!0</w:t>
            </w:r>
          </w:p>
        </w:tc>
        <w:tc>
          <w:tcPr>
            <w:tcW w:w="2127" w:type="dxa"/>
          </w:tcPr>
          <w:p w:rsidR="00EC7166" w:rsidRDefault="00801A65" w:rsidP="00801A65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EC7166" w:rsidRDefault="00EC7166" w:rsidP="00EC71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</w:tr>
      <w:tr w:rsidR="00EC7166" w:rsidTr="00801A65">
        <w:trPr>
          <w:trHeight w:val="288"/>
        </w:trPr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!1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127" w:type="dxa"/>
          </w:tcPr>
          <w:p w:rsidR="00EC7166" w:rsidRDefault="00EC7166" w:rsidP="00801A65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!2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t>2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!3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t>6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t>6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!4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t>24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!5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t>120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120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!6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720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!7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5040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5040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!8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40320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40320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!9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362880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362880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!10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3628800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3628800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!11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39916800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39916800</w:t>
            </w:r>
          </w:p>
        </w:tc>
      </w:tr>
      <w:tr w:rsidR="00EC7166" w:rsidTr="00801A65">
        <w:tc>
          <w:tcPr>
            <w:tcW w:w="2187" w:type="dxa"/>
          </w:tcPr>
          <w:p w:rsidR="00EC7166" w:rsidRDefault="00EC7166" w:rsidP="00EC7166">
            <w:pPr>
              <w:pStyle w:val="Listenabsatz"/>
              <w:ind w:left="0"/>
            </w:pPr>
            <w:r>
              <w:t>!12</w:t>
            </w:r>
          </w:p>
        </w:tc>
        <w:tc>
          <w:tcPr>
            <w:tcW w:w="2127" w:type="dxa"/>
          </w:tcPr>
          <w:p w:rsidR="00EC7166" w:rsidRDefault="00801A65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479001600</w:t>
            </w:r>
          </w:p>
        </w:tc>
        <w:tc>
          <w:tcPr>
            <w:tcW w:w="2127" w:type="dxa"/>
          </w:tcPr>
          <w:p w:rsidR="00EC7166" w:rsidRDefault="00EC7166" w:rsidP="00EC7166">
            <w:pPr>
              <w:pStyle w:val="Listenabsatz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479001600</w:t>
            </w:r>
          </w:p>
        </w:tc>
      </w:tr>
      <w:tr w:rsidR="00EC7166" w:rsidTr="00801A65">
        <w:tc>
          <w:tcPr>
            <w:tcW w:w="2187" w:type="dxa"/>
          </w:tcPr>
          <w:p w:rsidR="00EC7166" w:rsidRPr="00801A65" w:rsidRDefault="00EC7166" w:rsidP="00EC7166">
            <w:pPr>
              <w:pStyle w:val="Listenabsatz"/>
              <w:ind w:left="0"/>
              <w:rPr>
                <w:color w:val="FF0000"/>
              </w:rPr>
            </w:pPr>
            <w:r w:rsidRPr="00801A65">
              <w:rPr>
                <w:color w:val="FF0000"/>
              </w:rPr>
              <w:t>!13</w:t>
            </w:r>
          </w:p>
        </w:tc>
        <w:tc>
          <w:tcPr>
            <w:tcW w:w="2127" w:type="dxa"/>
          </w:tcPr>
          <w:p w:rsidR="00EC7166" w:rsidRPr="00801A65" w:rsidRDefault="00801A65" w:rsidP="00EC7166">
            <w:pPr>
              <w:pStyle w:val="Listenabsatz"/>
              <w:ind w:left="0"/>
              <w:rPr>
                <w:color w:val="FF0000"/>
              </w:rPr>
            </w:pPr>
            <w:r w:rsidRPr="00801A65">
              <w:rPr>
                <w:rFonts w:ascii="Consolas" w:hAnsi="Consolas" w:cs="Consolas"/>
                <w:color w:val="FF0000"/>
                <w:sz w:val="20"/>
                <w:szCs w:val="20"/>
              </w:rPr>
              <w:t>6227020800</w:t>
            </w:r>
          </w:p>
        </w:tc>
        <w:tc>
          <w:tcPr>
            <w:tcW w:w="2127" w:type="dxa"/>
          </w:tcPr>
          <w:p w:rsidR="00EC7166" w:rsidRPr="00801A65" w:rsidRDefault="00EC7166" w:rsidP="00EC7166">
            <w:pPr>
              <w:pStyle w:val="Listenabsatz"/>
              <w:ind w:left="0"/>
              <w:rPr>
                <w:color w:val="FF0000"/>
              </w:rPr>
            </w:pPr>
            <w:r w:rsidRPr="00801A65">
              <w:rPr>
                <w:rFonts w:ascii="Consolas" w:hAnsi="Consolas" w:cs="Consolas"/>
                <w:color w:val="FF0000"/>
                <w:sz w:val="20"/>
                <w:szCs w:val="20"/>
              </w:rPr>
              <w:t>1932053504</w:t>
            </w:r>
          </w:p>
        </w:tc>
      </w:tr>
      <w:tr w:rsidR="00EC7166" w:rsidTr="00801A65">
        <w:tc>
          <w:tcPr>
            <w:tcW w:w="2187" w:type="dxa"/>
          </w:tcPr>
          <w:p w:rsidR="00EC7166" w:rsidRPr="00801A65" w:rsidRDefault="00EC7166" w:rsidP="00EC7166">
            <w:pPr>
              <w:pStyle w:val="Listenabsatz"/>
              <w:ind w:left="0"/>
              <w:rPr>
                <w:color w:val="FF0000"/>
              </w:rPr>
            </w:pPr>
            <w:r w:rsidRPr="00801A65">
              <w:rPr>
                <w:color w:val="FF0000"/>
              </w:rPr>
              <w:t>!14</w:t>
            </w:r>
          </w:p>
        </w:tc>
        <w:tc>
          <w:tcPr>
            <w:tcW w:w="2127" w:type="dxa"/>
          </w:tcPr>
          <w:p w:rsidR="00EC7166" w:rsidRPr="00801A65" w:rsidRDefault="00801A65" w:rsidP="00EC7166">
            <w:pPr>
              <w:pStyle w:val="Listenabsatz"/>
              <w:ind w:left="0"/>
              <w:rPr>
                <w:color w:val="FF0000"/>
              </w:rPr>
            </w:pPr>
            <w:r w:rsidRPr="00801A65">
              <w:rPr>
                <w:rFonts w:ascii="Consolas" w:hAnsi="Consolas" w:cs="Consolas"/>
                <w:color w:val="FF0000"/>
                <w:sz w:val="20"/>
                <w:szCs w:val="20"/>
              </w:rPr>
              <w:t>87178291200</w:t>
            </w:r>
          </w:p>
        </w:tc>
        <w:tc>
          <w:tcPr>
            <w:tcW w:w="2127" w:type="dxa"/>
          </w:tcPr>
          <w:p w:rsidR="00EC7166" w:rsidRPr="00801A65" w:rsidRDefault="00EC7166" w:rsidP="00EC7166">
            <w:pPr>
              <w:pStyle w:val="Listenabsatz"/>
              <w:ind w:left="0"/>
              <w:rPr>
                <w:color w:val="FF0000"/>
              </w:rPr>
            </w:pPr>
            <w:r w:rsidRPr="00801A65">
              <w:rPr>
                <w:rFonts w:ascii="Consolas" w:hAnsi="Consolas" w:cs="Consolas"/>
                <w:color w:val="FF0000"/>
                <w:sz w:val="20"/>
                <w:szCs w:val="20"/>
              </w:rPr>
              <w:t>1278945280</w:t>
            </w:r>
          </w:p>
        </w:tc>
      </w:tr>
    </w:tbl>
    <w:p w:rsidR="00EC7166" w:rsidRDefault="00EC7166" w:rsidP="00EC7166">
      <w:pPr>
        <w:pStyle w:val="Listenabsatz"/>
      </w:pPr>
    </w:p>
    <w:p w:rsidR="005214DA" w:rsidRDefault="005214DA" w:rsidP="00EC7166">
      <w:pPr>
        <w:pStyle w:val="Listenabsatz"/>
      </w:pPr>
      <w:r>
        <w:t xml:space="preserve">Bei der Iterativen Berechnung ist es wichtig zwischen </w:t>
      </w:r>
      <w:proofErr w:type="spellStart"/>
      <w:r>
        <w:t>Worst</w:t>
      </w:r>
      <w:proofErr w:type="spellEnd"/>
      <w:r>
        <w:t xml:space="preserve"> Case und Best Case zu unterscheiden. Die Methode iterativ() entspricht dem </w:t>
      </w:r>
      <w:proofErr w:type="spellStart"/>
      <w:r>
        <w:t>Worst</w:t>
      </w:r>
      <w:proofErr w:type="spellEnd"/>
      <w:r>
        <w:t xml:space="preserve"> Case da nicht gekürzt wird.</w:t>
      </w:r>
    </w:p>
    <w:p w:rsidR="005214DA" w:rsidRDefault="005214DA" w:rsidP="005214DA">
      <w:pPr>
        <w:pStyle w:val="Listenabsatz"/>
      </w:pPr>
      <w:r>
        <w:t xml:space="preserve">Der </w:t>
      </w:r>
      <w:proofErr w:type="spellStart"/>
      <w:r>
        <w:t>Worst</w:t>
      </w:r>
      <w:proofErr w:type="spellEnd"/>
      <w:r>
        <w:t xml:space="preserve"> Case in Abhängigkeit von k wäre k = n. Somit wäre der Wertebereich wieder bei 12.</w:t>
      </w:r>
    </w:p>
    <w:p w:rsidR="005214DA" w:rsidRDefault="005214DA" w:rsidP="005214DA">
      <w:pPr>
        <w:pStyle w:val="Listenabsatz"/>
      </w:pPr>
    </w:p>
    <w:p w:rsidR="005214DA" w:rsidRDefault="005214DA" w:rsidP="005214DA">
      <w:pPr>
        <w:pStyle w:val="Listenabsatz"/>
      </w:pPr>
      <w:r>
        <w:t>Mithilfe der Verbesserung der Methode durch Kürzen ist es möglich den maximalen Binomialkoeffizienten (Aufgabe a</w:t>
      </w:r>
      <w:proofErr w:type="gramStart"/>
      <w:r>
        <w:t>) )</w:t>
      </w:r>
      <w:proofErr w:type="gramEnd"/>
      <w:r>
        <w:t xml:space="preserve"> zu berechnen, d.h. n = 33.</w:t>
      </w:r>
    </w:p>
    <w:p w:rsidR="005214DA" w:rsidRDefault="005214DA" w:rsidP="005214DA">
      <w:pPr>
        <w:pStyle w:val="Listenabsatz"/>
      </w:pPr>
      <w:r>
        <w:t>Bei der Rekursiven Variante ist der Wertebereich ebenfalls n = 33.</w:t>
      </w:r>
    </w:p>
    <w:p w:rsidR="005214DA" w:rsidRDefault="005214DA" w:rsidP="00EC7166">
      <w:pPr>
        <w:pStyle w:val="Listenabsatz"/>
      </w:pPr>
    </w:p>
    <w:p w:rsidR="005214DA" w:rsidRDefault="005214DA" w:rsidP="005214DA">
      <w:pPr>
        <w:pStyle w:val="Listenabsatz"/>
        <w:numPr>
          <w:ilvl w:val="0"/>
          <w:numId w:val="1"/>
        </w:numPr>
      </w:pPr>
      <w:r>
        <w:t xml:space="preserve">Um den Wertebereich zu vergrößern ist es nötig den Wertebereich von Nenner und Zähler zu minimieren. Wir erreichen dies durch Kürzen mit dem </w:t>
      </w:r>
      <w:proofErr w:type="spellStart"/>
      <w:r>
        <w:t>ggT</w:t>
      </w:r>
      <w:proofErr w:type="spellEnd"/>
      <w:r>
        <w:t xml:space="preserve">. Der </w:t>
      </w:r>
      <w:proofErr w:type="spellStart"/>
      <w:r>
        <w:t>ggT</w:t>
      </w:r>
      <w:proofErr w:type="spellEnd"/>
      <w:r>
        <w:t xml:space="preserve"> lässt sich am einfachsten durch den </w:t>
      </w:r>
      <w:proofErr w:type="spellStart"/>
      <w:r>
        <w:t>Euklidschen</w:t>
      </w:r>
      <w:proofErr w:type="spellEnd"/>
      <w:r>
        <w:t xml:space="preserve"> Algorithmus finden. Die Multiplikationen im Nenner und Zähler wird vor dem ausmultiplizieren in einem Array gespeichert und mit der </w:t>
      </w:r>
      <w:proofErr w:type="spellStart"/>
      <w:r>
        <w:t>Mehtode</w:t>
      </w:r>
      <w:proofErr w:type="spellEnd"/>
      <w:r>
        <w:t xml:space="preserve"> kürzen(), gekürzt. Nach dem Kürzen werden die Werte in den Arrays  ausmultipliziert.</w:t>
      </w:r>
    </w:p>
    <w:p w:rsidR="005214DA" w:rsidRDefault="005214DA" w:rsidP="005214DA"/>
    <w:p w:rsidR="005214DA" w:rsidRDefault="005214DA" w:rsidP="005214DA">
      <w:pPr>
        <w:pStyle w:val="Listenabsatz"/>
        <w:numPr>
          <w:ilvl w:val="0"/>
          <w:numId w:val="1"/>
        </w:numPr>
      </w:pPr>
      <w:r>
        <w:t>Komplexitäten:</w:t>
      </w:r>
    </w:p>
    <w:p w:rsidR="005214DA" w:rsidRDefault="005214DA" w:rsidP="005214DA">
      <w:pPr>
        <w:pStyle w:val="Listenabsatz"/>
      </w:pPr>
      <w:r>
        <w:t xml:space="preserve">Berechnung über Fakultäten: </w:t>
      </w:r>
    </w:p>
    <w:p w:rsidR="005214DA" w:rsidRDefault="005214DA" w:rsidP="005214DA">
      <w:pPr>
        <w:pStyle w:val="Listenabsatz"/>
        <w:jc w:val="center"/>
        <w:rPr>
          <w:b/>
        </w:rPr>
      </w:pPr>
      <w:r>
        <w:rPr>
          <w:rFonts w:ascii="Arial" w:hAnsi="Arial" w:cs="Arial"/>
          <w:color w:val="444444"/>
          <w:shd w:val="clear" w:color="auto" w:fill="FFFFFF"/>
        </w:rPr>
        <w:t>Θ</w:t>
      </w:r>
      <w:r w:rsidRPr="005214DA">
        <w:rPr>
          <w:b/>
        </w:rPr>
        <w:t xml:space="preserve"> (n)</w:t>
      </w:r>
    </w:p>
    <w:p w:rsidR="005214DA" w:rsidRDefault="005214DA" w:rsidP="005214DA">
      <w:pPr>
        <w:pStyle w:val="Listenabsatz"/>
      </w:pPr>
      <w:r>
        <w:t>Berechnung Iterative Berechnung:</w:t>
      </w:r>
    </w:p>
    <w:p w:rsidR="005214DA" w:rsidRDefault="005214DA" w:rsidP="005214DA">
      <w:pPr>
        <w:pStyle w:val="Listenabsatz"/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Θ</w:t>
      </w:r>
      <w:r>
        <w:rPr>
          <w:rFonts w:ascii="Arial" w:hAnsi="Arial" w:cs="Arial"/>
          <w:color w:val="444444"/>
          <w:shd w:val="clear" w:color="auto" w:fill="FFFFFF"/>
        </w:rPr>
        <w:t>(1), falls k = n</w:t>
      </w:r>
    </w:p>
    <w:p w:rsidR="005214DA" w:rsidRDefault="005214DA" w:rsidP="005214DA">
      <w:pPr>
        <w:pStyle w:val="Listenabsatz"/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Θ</w:t>
      </w:r>
      <w:r>
        <w:rPr>
          <w:rFonts w:ascii="Arial" w:hAnsi="Arial" w:cs="Arial"/>
          <w:color w:val="444444"/>
          <w:shd w:val="clear" w:color="auto" w:fill="FFFFFF"/>
        </w:rPr>
        <w:t xml:space="preserve">(1), falls k = 0 </w:t>
      </w:r>
    </w:p>
    <w:p w:rsidR="005214DA" w:rsidRPr="005214DA" w:rsidRDefault="005214DA" w:rsidP="005214DA">
      <w:pPr>
        <w:pStyle w:val="Listenabsatz"/>
        <w:jc w:val="center"/>
      </w:pPr>
      <w:r>
        <w:rPr>
          <w:rFonts w:ascii="Arial" w:hAnsi="Arial" w:cs="Arial"/>
          <w:color w:val="444444"/>
          <w:shd w:val="clear" w:color="auto" w:fill="FFFFFF"/>
        </w:rPr>
        <w:t xml:space="preserve">sonst </w:t>
      </w:r>
      <w:r>
        <w:rPr>
          <w:rFonts w:ascii="Arial" w:hAnsi="Arial" w:cs="Arial"/>
          <w:color w:val="444444"/>
          <w:shd w:val="clear" w:color="auto" w:fill="FFFFFF"/>
        </w:rPr>
        <w:t>Θ</w:t>
      </w:r>
      <w:r>
        <w:rPr>
          <w:rFonts w:ascii="Arial" w:hAnsi="Arial" w:cs="Arial"/>
          <w:color w:val="444444"/>
          <w:shd w:val="clear" w:color="auto" w:fill="FFFFFF"/>
        </w:rPr>
        <w:t xml:space="preserve">(k) </w:t>
      </w:r>
    </w:p>
    <w:p w:rsidR="005214DA" w:rsidRDefault="005214DA" w:rsidP="005214DA">
      <w:pPr>
        <w:pStyle w:val="Listenabsatz"/>
      </w:pPr>
      <w:r>
        <w:t>Rekursive Berechnung:</w:t>
      </w:r>
    </w:p>
    <w:p w:rsidR="005214DA" w:rsidRDefault="005214DA" w:rsidP="005214DA">
      <w:pPr>
        <w:pStyle w:val="Listenabsatz"/>
      </w:pPr>
      <w:r>
        <w:tab/>
      </w:r>
      <w:r>
        <w:tab/>
        <w:t>Abhängig vom Binomialkoeffizienten und daher nicht vorhersagbar.</w:t>
      </w:r>
    </w:p>
    <w:p w:rsidR="005214DA" w:rsidRDefault="005214DA" w:rsidP="005214DA">
      <w:pPr>
        <w:pStyle w:val="Listenabsatz"/>
        <w:jc w:val="center"/>
      </w:pPr>
      <w:r>
        <w:rPr>
          <w:rFonts w:ascii="Arial" w:hAnsi="Arial" w:cs="Arial"/>
          <w:color w:val="444444"/>
          <w:shd w:val="clear" w:color="auto" w:fill="FFFFFF"/>
        </w:rPr>
        <w:t>Θ</w:t>
      </w:r>
      <w:r>
        <w:rPr>
          <w:rFonts w:ascii="Arial" w:hAnsi="Arial" w:cs="Arial"/>
          <w:color w:val="444444"/>
          <w:shd w:val="clear" w:color="auto" w:fill="FFFFFF"/>
        </w:rPr>
        <w:t>(2</w:t>
      </w:r>
      <w:r w:rsidRPr="005214DA">
        <w:rPr>
          <w:rFonts w:ascii="Arial" w:hAnsi="Arial" w:cs="Arial"/>
          <w:color w:val="444444"/>
          <w:shd w:val="clear" w:color="auto" w:fill="FFFFFF"/>
          <w:vertAlign w:val="superscript"/>
        </w:rPr>
        <w:t>n</w:t>
      </w:r>
      <w:r>
        <w:rPr>
          <w:rFonts w:ascii="Arial" w:hAnsi="Arial" w:cs="Arial"/>
          <w:color w:val="444444"/>
          <w:shd w:val="clear" w:color="auto" w:fill="FFFFFF"/>
        </w:rPr>
        <w:t>)</w:t>
      </w:r>
    </w:p>
    <w:p w:rsidR="005214DA" w:rsidRDefault="005214DA" w:rsidP="005214DA"/>
    <w:p w:rsidR="005214DA" w:rsidRDefault="005214DA" w:rsidP="00EC7166">
      <w:pPr>
        <w:pStyle w:val="Listenabsatz"/>
      </w:pPr>
    </w:p>
    <w:sectPr w:rsidR="005214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042B4"/>
    <w:multiLevelType w:val="hybridMultilevel"/>
    <w:tmpl w:val="8D28B67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E73E6"/>
    <w:multiLevelType w:val="hybridMultilevel"/>
    <w:tmpl w:val="59F693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36"/>
    <w:rsid w:val="001D7C50"/>
    <w:rsid w:val="0034136F"/>
    <w:rsid w:val="005056B2"/>
    <w:rsid w:val="005214DA"/>
    <w:rsid w:val="006F2B36"/>
    <w:rsid w:val="00801A65"/>
    <w:rsid w:val="00916AD2"/>
    <w:rsid w:val="00CC4768"/>
    <w:rsid w:val="00EA7C2A"/>
    <w:rsid w:val="00EC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7C50"/>
  </w:style>
  <w:style w:type="paragraph" w:styleId="berschrift1">
    <w:name w:val="heading 1"/>
    <w:basedOn w:val="Standard"/>
    <w:next w:val="Standard"/>
    <w:link w:val="berschrift1Zchn"/>
    <w:uiPriority w:val="9"/>
    <w:qFormat/>
    <w:rsid w:val="001D7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7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7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7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D7C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7C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7C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7C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1D7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D7C50"/>
    <w:pPr>
      <w:ind w:left="720"/>
      <w:contextualSpacing/>
    </w:pPr>
  </w:style>
  <w:style w:type="paragraph" w:styleId="KeinLeerraum">
    <w:name w:val="No Spacing"/>
    <w:uiPriority w:val="1"/>
    <w:qFormat/>
    <w:rsid w:val="005214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7C50"/>
  </w:style>
  <w:style w:type="paragraph" w:styleId="berschrift1">
    <w:name w:val="heading 1"/>
    <w:basedOn w:val="Standard"/>
    <w:next w:val="Standard"/>
    <w:link w:val="berschrift1Zchn"/>
    <w:uiPriority w:val="9"/>
    <w:qFormat/>
    <w:rsid w:val="001D7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7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7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7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D7C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7C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7C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7C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1D7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D7C50"/>
    <w:pPr>
      <w:ind w:left="720"/>
      <w:contextualSpacing/>
    </w:pPr>
  </w:style>
  <w:style w:type="paragraph" w:styleId="KeinLeerraum">
    <w:name w:val="No Spacing"/>
    <w:uiPriority w:val="1"/>
    <w:qFormat/>
    <w:rsid w:val="005214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Löb</dc:creator>
  <cp:lastModifiedBy>Tobias Löb</cp:lastModifiedBy>
  <cp:revision>4</cp:revision>
  <dcterms:created xsi:type="dcterms:W3CDTF">2013-10-29T08:45:00Z</dcterms:created>
  <dcterms:modified xsi:type="dcterms:W3CDTF">2013-11-12T08:10:00Z</dcterms:modified>
</cp:coreProperties>
</file>