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color w:val="1A1A1A"/>
          <w:sz w:val="48"/>
        </w:rPr>
        <w:t>Sound of Stars</w:t>
      </w:r>
    </w:p>
    <w:p>
      <w:pPr>
        <w:spacing w:after="40"/>
      </w:pPr>
      <w:r>
        <w:rPr>
          <w:color w:val="707070"/>
          <w:sz w:val="26"/>
        </w:rPr>
        <w:t>Sonifying Gaia Stellar Data as Music</w:t>
      </w:r>
    </w:p>
    <w:p>
      <w:pPr>
        <w:spacing w:after="200"/>
        <w:pBdr>
          <w:bottom w:val="single" w:sz="10" w:space="4" w:color="BFBFBF"/>
        </w:pBdr>
      </w:pPr>
      <w:r>
        <w:rPr>
          <w:b/>
          <w:color w:val="404040"/>
          <w:sz w:val="22"/>
        </w:rPr>
        <w:t>Progress Report — Hawaii Aspiring Aerospace Engineers Academy (HAAEA)</w:t>
      </w:r>
    </w:p>
    <w:tbl>
      <w:tblPr>
        <w:tblW w:type="auto" w:w="0"/>
        <w:jc w:val="left"/>
        <w:tblLook w:firstColumn="1" w:firstRow="1" w:lastColumn="0" w:lastRow="0" w:noHBand="0" w:noVBand="1" w:val="04A0"/>
      </w:tblPr>
      <w:tblGrid>
        <w:gridCol w:w="1872"/>
        <w:gridCol w:w="6912"/>
      </w:tblGrid>
      <w:tr>
        <w:tc>
          <w:tcPr>
            <w:tcW w:type="dxa" w:w="1872"/>
            <w:vAlign w:val="center"/>
            <w:tcMar>
              <w:top w:w="40" w:type="dxa"/>
              <w:bottom w:w="40" w:type="dxa"/>
            </w:tcMar>
          </w:tcPr>
          <w:p>
            <w:r>
              <w:rPr>
                <w:b/>
                <w:color w:val="707070"/>
                <w:sz w:val="18"/>
              </w:rPr>
              <w:t>AUTHORS</w:t>
            </w:r>
          </w:p>
        </w:tc>
        <w:tc>
          <w:tcPr>
            <w:tcW w:type="dxa" w:w="6912"/>
            <w:vAlign w:val="center"/>
            <w:tcMar>
              <w:top w:w="40" w:type="dxa"/>
              <w:bottom w:w="40" w:type="dxa"/>
            </w:tcMar>
          </w:tcPr>
          <w:p>
            <w:r>
              <w:rPr>
                <w:color w:val="1A1A1A"/>
                <w:sz w:val="21"/>
              </w:rPr>
              <w:t>Tata Li and Agnes Tang</w:t>
            </w:r>
          </w:p>
        </w:tc>
      </w:tr>
      <w:tr>
        <w:tc>
          <w:tcPr>
            <w:tcW w:type="dxa" w:w="1872"/>
            <w:vAlign w:val="center"/>
            <w:tcMar>
              <w:top w:w="40" w:type="dxa"/>
              <w:bottom w:w="40" w:type="dxa"/>
            </w:tcMar>
          </w:tcPr>
          <w:p>
            <w:r>
              <w:rPr>
                <w:b/>
                <w:color w:val="707070"/>
                <w:sz w:val="18"/>
              </w:rPr>
              <w:t>DATE</w:t>
            </w:r>
          </w:p>
        </w:tc>
        <w:tc>
          <w:tcPr>
            <w:tcW w:type="dxa" w:w="6912"/>
            <w:vAlign w:val="center"/>
            <w:tcMar>
              <w:top w:w="40" w:type="dxa"/>
              <w:bottom w:w="40" w:type="dxa"/>
            </w:tcMar>
          </w:tcPr>
          <w:p>
            <w:r>
              <w:rPr>
                <w:color w:val="1A1A1A"/>
                <w:sz w:val="21"/>
              </w:rPr>
              <w:t>July 14, 2026</w:t>
            </w:r>
          </w:p>
        </w:tc>
      </w:tr>
      <w:tr>
        <w:tc>
          <w:tcPr>
            <w:tcW w:type="dxa" w:w="1872"/>
            <w:vAlign w:val="center"/>
            <w:tcMar>
              <w:top w:w="40" w:type="dxa"/>
              <w:bottom w:w="40" w:type="dxa"/>
            </w:tcMar>
          </w:tcPr>
          <w:p>
            <w:r>
              <w:rPr>
                <w:b/>
                <w:color w:val="707070"/>
                <w:sz w:val="18"/>
              </w:rPr>
              <w:t>MENTOR</w:t>
            </w:r>
          </w:p>
        </w:tc>
        <w:tc>
          <w:tcPr>
            <w:tcW w:type="dxa" w:w="6912"/>
            <w:vAlign w:val="center"/>
            <w:tcMar>
              <w:top w:w="40" w:type="dxa"/>
              <w:bottom w:w="40" w:type="dxa"/>
            </w:tcMar>
          </w:tcPr>
          <w:p>
            <w:r>
              <w:rPr>
                <w:color w:val="1A1A1A"/>
                <w:sz w:val="21"/>
              </w:rPr>
              <w:t>Mitch McLean, Graduate Student, University of Hawai'i at Mānoa</w:t>
            </w:r>
          </w:p>
        </w:tc>
      </w:tr>
      <w:tr>
        <w:tc>
          <w:tcPr>
            <w:tcW w:type="dxa" w:w="1872"/>
            <w:vAlign w:val="center"/>
            <w:tcMar>
              <w:top w:w="40" w:type="dxa"/>
              <w:bottom w:w="40" w:type="dxa"/>
            </w:tcMar>
          </w:tcPr>
          <w:p>
            <w:r>
              <w:rPr>
                <w:b/>
                <w:color w:val="707070"/>
                <w:sz w:val="18"/>
              </w:rPr>
              <w:t>INSTITUTION</w:t>
            </w:r>
          </w:p>
        </w:tc>
        <w:tc>
          <w:tcPr>
            <w:tcW w:type="dxa" w:w="6912"/>
            <w:vAlign w:val="center"/>
            <w:tcMar>
              <w:top w:w="40" w:type="dxa"/>
              <w:bottom w:w="40" w:type="dxa"/>
            </w:tcMar>
          </w:tcPr>
          <w:p>
            <w:r>
              <w:rPr>
                <w:color w:val="1A1A1A"/>
                <w:sz w:val="21"/>
              </w:rPr>
              <w:t>'Iolani School (rising seniors)</w:t>
            </w:r>
          </w:p>
        </w:tc>
      </w:tr>
    </w:tbl>
    <w:p>
      <w:pPr>
        <w:spacing w:after="40"/>
      </w:pPr>
    </w:p>
    <w:p>
      <w:pPr>
        <w:pStyle w:val="Heading1"/>
        <w:pBdr>
          <w:bottom w:val="single" w:sz="6" w:space="4" w:color="BFBFBF"/>
        </w:pBdr>
      </w:pPr>
      <w:r>
        <w:t>1. Project Overview</w:t>
      </w:r>
    </w:p>
    <w:p>
      <w:r>
        <w:rPr>
          <w:b w:val="0"/>
          <w:i w:val="0"/>
        </w:rPr>
        <w:t>We are rising seniors at 'Iolani School with a shared interest in astronomy and public science communication. Our project, Sound of Stars, explores how real astronomical measurements from the European Space Agency's Gaia mission can be translated into music — an approachable, emotionally resonant way for a general audience to grasp the scale and character of the galaxy. Rather than presenting stellar data as charts and tables, we are building a pipeline that converts raw star catalog entries into a MIDI composition that can be listened to, shared, and felt.</w:t>
      </w:r>
    </w:p>
    <w:p>
      <w:r>
        <w:rPr>
          <w:b w:val="0"/>
          <w:i w:val="0"/>
        </w:rPr>
        <w:t>Our motivation is simple: the numbers describing the galaxy (distances in the thousands of light-years, brightnesses spanning many orders of magnitude, positions scattered across the sky) are difficult to internalize as tables of numbers. Music is a format nearly everyone already knows how to listen to. If we can map real stellar properties onto pitch, rhythm, and texture in a way that still sounds intentional, we give the public an intuitive, sensory way to experience the immensity and structure of space.</w:t>
      </w:r>
    </w:p>
    <w:p>
      <w:pPr>
        <w:pStyle w:val="Heading2"/>
      </w:pPr>
      <w:r>
        <w:t>Meeting Schedule</w:t>
      </w:r>
    </w:p>
    <w:p>
      <w:r>
        <w:rPr>
          <w:b w:val="0"/>
          <w:i w:val="0"/>
        </w:rPr>
        <w:t>We have met weekly on Sundays for 30 minutes over Zoom between June and July 2026 with our mentor, Mitch McLean, a graduate student at the University of Hawai'i at Mānoa. These sessions have been used to define the research problem, review Gaia data structure, evaluate software approaches, and check in on prototype progress.</w:t>
      </w:r>
    </w:p>
    <w:p>
      <w:pPr>
        <w:pStyle w:val="Heading1"/>
        <w:pBdr>
          <w:bottom w:val="single" w:sz="6" w:space="4" w:color="BFBFBF"/>
        </w:pBdr>
      </w:pPr>
      <w:r>
        <w:t>2. Project Stages</w:t>
      </w:r>
    </w:p>
    <w:p>
      <w:pPr>
        <w:pStyle w:val="Heading2"/>
      </w:pPr>
      <w:r>
        <w:t>Stage 1 — Defining the Research Problem</w:t>
      </w:r>
    </w:p>
    <w:p>
      <w:r>
        <w:rPr>
          <w:b w:val="0"/>
          <w:i w:val="0"/>
        </w:rPr>
        <w:t>We started by asking: what does it mean to “hear” a part of the galaxy? We settled on a research problem centered on using and visualizing real astronomical data about stars — positions, distances, brightness, and variability — to generate music, rather than static plots. Our motivation is that sonification is a compelling, underused way to help a general audience grasp the immensity of space: a listener does not need to understand parallax or magnitude to feel that a piece of music is vast, sparse, or dense, and that feeling can be a genuine (if impressionistic) reflection of real data.</w:t>
      </w:r>
    </w:p>
    <w:p>
      <w:pPr>
        <w:pStyle w:val="Heading2"/>
      </w:pPr>
      <w:r>
        <w:t>Stage 2 — Researching the Gaia Dataset</w:t>
      </w:r>
    </w:p>
    <w:p>
      <w:r>
        <w:rPr>
          <w:b w:val="0"/>
          <w:i w:val="0"/>
        </w:rPr>
        <w:t>Gaia is a European Space Agency space observatory that has measured the positions, distances, motions, and brightness of over 1.8 billion stars in our galaxy, released to the public through Gaia Data Release 3 (DR3). We spent several sessions learning the structure of the Gaia catalog and identifying which columns are both scientifically meaningful and usable for sonification. Key columns we studied:</w:t>
      </w:r>
    </w:p>
    <w:p>
      <w:pPr>
        <w:pStyle w:val="ListBullet"/>
      </w:pPr>
      <w:r>
        <w:rPr>
          <w:b/>
        </w:rPr>
        <w:t>source_id</w:t>
      </w:r>
      <w:r>
        <w:t xml:space="preserve"> — a unique identifier for each star in the catalog, used to join across Gaia's tables.</w:t>
      </w:r>
    </w:p>
    <w:p>
      <w:pPr>
        <w:pStyle w:val="ListBullet"/>
      </w:pPr>
      <w:r>
        <w:rPr>
          <w:b/>
        </w:rPr>
        <w:t>ra / dec</w:t>
      </w:r>
      <w:r>
        <w:t xml:space="preserve"> — right ascension and declination: the star's position on the sky in degrees, the celestial equivalent of longitude and latitude. We use ra to order stars sequentially, giving our music a sense of “traversing” a slice of sky.</w:t>
      </w:r>
    </w:p>
    <w:p>
      <w:pPr>
        <w:pStyle w:val="ListBullet"/>
      </w:pPr>
      <w:r>
        <w:rPr>
          <w:b/>
        </w:rPr>
        <w:t>parallax</w:t>
      </w:r>
      <w:r>
        <w:t xml:space="preserve"> — the tiny apparent shift in a star's position as Earth orbits the Sun, measured in milliarcseconds (mas). Parallax is inversely proportional to distance, so it is our primary proxy for how far away a star is. We map parallax to pitch: stars with larger parallax (closer, brighter-sounding) map toward higher, and smaller parallax (farther) toward lower, ends of our frequency range.</w:t>
      </w:r>
    </w:p>
    <w:p>
      <w:pPr>
        <w:pStyle w:val="ListBullet"/>
      </w:pPr>
      <w:r>
        <w:rPr>
          <w:b/>
        </w:rPr>
        <w:t>phot_g_mean_mag</w:t>
      </w:r>
      <w:r>
        <w:t xml:space="preserve"> — the star's mean apparent brightness in Gaia's broad G photometric band. We use this to rank and select which stars are included, favoring brighter, better-measured sources.</w:t>
      </w:r>
    </w:p>
    <w:p>
      <w:pPr>
        <w:pStyle w:val="ListBullet"/>
      </w:pPr>
      <w:r>
        <w:rPr>
          <w:b/>
        </w:rPr>
        <w:t>pf (period, from vari_rrlyrae)</w:t>
      </w:r>
      <w:r>
        <w:t xml:space="preserve"> — for RR Lyrae variable stars, the pulsation period in days: RR Lyrae are stars whose brightness oscillates on a regular cycle, making them natural candidates for rhythm.</w:t>
      </w:r>
    </w:p>
    <w:p>
      <w:pPr>
        <w:pStyle w:val="ListBullet"/>
      </w:pPr>
      <w:r>
        <w:rPr>
          <w:b/>
        </w:rPr>
        <w:t>int_average_g (intensity, from vari_rrlyrae)</w:t>
      </w:r>
      <w:r>
        <w:t xml:space="preserve"> — the average intensity of an RR Lyrae star's brightness variation, a candidate for dynamics/loudness in a future version.</w:t>
      </w:r>
    </w:p>
    <w:p>
      <w:r>
        <w:rPr>
          <w:b w:val="0"/>
          <w:i w:val="0"/>
        </w:rPr>
        <w:t>As a first exploratory step (main.py), we queried 2,000 RR Lyrae variable stars — stars whose brightness pulses on a regular, well-defined cycle — joining Gaia's main source table with its variable-star table (vari_rrlyrae) to pull parallax, period, and intensity together. We plotted histograms of the parallax and period distributions and a parallax-vs-period scatter plot colored by intensity (see Figure 1) to build intuition for how these values are distributed before deciding how to map them to sound.</w:t>
      </w:r>
    </w:p>
    <w:p>
      <w:pPr>
        <w:pStyle w:val="Heading2"/>
      </w:pPr>
      <w:r>
        <w:t>Stage 3 — Identifying a Software Approach</w:t>
      </w:r>
    </w:p>
    <w:p>
      <w:r>
        <w:rPr>
          <w:b w:val="0"/>
          <w:i w:val="0"/>
        </w:rPr>
        <w:t>With a working understanding of the dataset, we evaluated tools for both querying the data and generating audio. We settled on the following stack:</w:t>
      </w:r>
    </w:p>
    <w:p>
      <w:pPr>
        <w:pStyle w:val="ListBullet"/>
      </w:pPr>
      <w:r>
        <w:rPr>
          <w:b/>
        </w:rPr>
        <w:t>Gaia archive access via astroquery</w:t>
      </w:r>
      <w:r>
        <w:t xml:space="preserve"> — the astroquery.gaia Python module lets us send Astronomical Data Query Language (ADQL, a SQL-like query language) directly to the Gaia archive and pull results into memory, without manually downloading catalog files.</w:t>
      </w:r>
    </w:p>
    <w:p>
      <w:pPr>
        <w:pStyle w:val="ListBullet"/>
      </w:pPr>
      <w:r>
        <w:rPr>
          <w:b/>
        </w:rPr>
        <w:t>ADQL / SQL-style queries</w:t>
      </w:r>
      <w:r>
        <w:t xml:space="preserve"> — we filter and sort directly in the query (e.g., by right ascension range, requiring a valid positive parallax, ordering by brightness) so we only pull the rows we need.</w:t>
      </w:r>
    </w:p>
    <w:p>
      <w:pPr>
        <w:pStyle w:val="ListBullet"/>
      </w:pPr>
      <w:r>
        <w:rPr>
          <w:b/>
        </w:rPr>
        <w:t>NumPy</w:t>
      </w:r>
      <w:r>
        <w:t xml:space="preserve"> — for numeric processing of returned columns, such as computing the minimum and maximum parallax across a result set for normalization.</w:t>
      </w:r>
    </w:p>
    <w:p>
      <w:pPr>
        <w:pStyle w:val="ListBullet"/>
      </w:pPr>
      <w:r>
        <w:rPr>
          <w:b/>
        </w:rPr>
        <w:t>MIDI via mido</w:t>
      </w:r>
      <w:r>
        <w:t xml:space="preserve"> — rather than synthesizing raw audio directly, we generate a MIDI file. MIDI stores musical instructions (which note, when, how long) rather than sound waveforms, which keeps our files small, keeps the pitch mapping exact and inspectable, and lets the piece be played back or re-orchestrated with any MIDI-compatible instrument or synthesizer.</w:t>
      </w:r>
    </w:p>
    <w:p>
      <w:pPr>
        <w:pStyle w:val="ListBullet"/>
      </w:pPr>
      <w:r>
        <w:rPr>
          <w:b/>
        </w:rPr>
        <w:t>Native macOS playback (Swift + AVFoundation)</w:t>
      </w:r>
      <w:r>
        <w:t xml:space="preserve"> — a small Swift script (play_midi.swift) uses Apple's AVMIDIPlayer with the built-in General MIDI sound bank to audition our generated files quickly without third-party software.</w:t>
      </w:r>
    </w:p>
    <w:p>
      <w:pPr>
        <w:pStyle w:val="ListBullet"/>
      </w:pPr>
      <w:r>
        <w:rPr>
          <w:b/>
        </w:rPr>
        <w:t>matplotlib</w:t>
      </w:r>
      <w:r>
        <w:t xml:space="preserve"> — for the exploratory distribution plots described in Stage 2.</w:t>
      </w:r>
    </w:p>
    <w:p>
      <w:pPr>
        <w:pStyle w:val="Heading2"/>
      </w:pPr>
      <w:r>
        <w:t>Stage 4 — Coding a Prototype</w:t>
      </w:r>
    </w:p>
    <w:p>
      <w:r>
        <w:rPr>
          <w:b w:val="0"/>
          <w:i w:val="0"/>
        </w:rPr>
        <w:t>Our current prototype (music.py) implements an end-to-end pipeline from Gaia query to playable MIDI file. At a high level:</w:t>
      </w:r>
    </w:p>
    <w:p>
      <w:pPr>
        <w:pStyle w:val="ListNumber"/>
      </w:pPr>
      <w:r>
        <w:rPr>
          <w:b/>
        </w:rPr>
        <w:t xml:space="preserve">Query. </w:t>
      </w:r>
      <w:r>
        <w:t xml:space="preserve"> We query Gaia DR3 for the 1,000 brightest stars within a narrow right-ascension slice (0.000° to 0.100°) that have a valid, positive parallax, using an ADQL query executed through astroquery.</w:t>
      </w:r>
    </w:p>
    <w:p>
      <w:pPr>
        <w:pStyle w:val="ListNumber"/>
      </w:pPr>
      <w:r>
        <w:rPr>
          <w:b/>
        </w:rPr>
        <w:t xml:space="preserve">Normalize. </w:t>
      </w:r>
      <w:r>
        <w:t xml:space="preserve"> We compute the minimum and maximum parallax across the returned stars and linearly normalize each star's parallax into the range [0, 1].</w:t>
      </w:r>
    </w:p>
    <w:p>
      <w:pPr>
        <w:pStyle w:val="ListNumber"/>
      </w:pPr>
      <w:r>
        <w:rPr>
          <w:b/>
        </w:rPr>
        <w:t xml:space="preserve">Map to pitch. </w:t>
      </w:r>
      <w:r>
        <w:t xml:space="preserve"> The normalized parallax is mapped onto a frequency between 27.5 Hz and 4186.0 Hz — the range of a standard 88-key piano — and that frequency is converted to the nearest MIDI note number using the standard equal-tempered pitch formula (A4 = 440 Hz = MIDI note 69).</w:t>
      </w:r>
    </w:p>
    <w:p>
      <w:pPr>
        <w:pStyle w:val="ListNumber"/>
      </w:pPr>
      <w:r>
        <w:rPr>
          <w:b/>
        </w:rPr>
        <w:t xml:space="preserve">Bin by position. </w:t>
      </w:r>
      <w:r>
        <w:t xml:space="preserve"> Right ascension is divided into 100 bins of width 0.001°. Each bin represents one 0.1-second time step in the composition. All stars falling in the same RA bin sound as a chord (simultaneous notes) at that step; empty bins become a rest.</w:t>
      </w:r>
    </w:p>
    <w:p>
      <w:pPr>
        <w:pStyle w:val="ListNumber"/>
      </w:pPr>
      <w:r>
        <w:rPr>
          <w:b/>
        </w:rPr>
        <w:t xml:space="preserve">Sequence. </w:t>
      </w:r>
      <w:r>
        <w:t xml:space="preserve"> We build a MIDI file at 120 BPM using mido, writing note-on and note-off events for each bin in sequence, and save it to gaia_ra_music.mid.</w:t>
      </w:r>
    </w:p>
    <w:p>
      <w:pPr>
        <w:pStyle w:val="ListNumber"/>
      </w:pPr>
      <w:r>
        <w:rPr>
          <w:b/>
        </w:rPr>
        <w:t xml:space="preserve">Playback. </w:t>
      </w:r>
      <w:r>
        <w:t xml:space="preserve"> The Swift utility loads the resulting MIDI file with AVFoundation's AVMIDIPlayer and plays it through macOS's built-in instrument bank, so we can listen to each iteration immediately.</w:t>
      </w:r>
    </w:p>
    <w:p>
      <w:pPr>
        <w:pStyle w:val="Heading2"/>
      </w:pPr>
      <w:r>
        <w:t>Architecture Snapshot</w:t>
      </w:r>
    </w:p>
    <w:p>
      <w:pPr>
        <w:spacing w:before="80" w:after="200"/>
        <w:ind w:left="360"/>
        <w:shd w:val="clear" w:color="auto" w:fill="F2F2F2"/>
      </w:pPr>
      <w:r>
        <w:rPr>
          <w:rFonts w:ascii="Consolas" w:hAnsi="Consolas"/>
          <w:color w:val="303030"/>
          <w:sz w:val="19"/>
        </w:rPr>
        <w:t>Gaia DR3 archive (ESA)</w:t>
      </w:r>
      <w:r>
        <w:br/>
      </w:r>
      <w:r>
        <w:rPr>
          <w:rFonts w:ascii="Consolas" w:hAnsi="Consolas"/>
          <w:color w:val="303030"/>
          <w:sz w:val="19"/>
        </w:rPr>
        <w:t xml:space="preserve">    |  ADQL query via astroquery.gaia</w:t>
      </w:r>
      <w:r>
        <w:br/>
      </w:r>
      <w:r>
        <w:rPr>
          <w:rFonts w:ascii="Consolas" w:hAnsi="Consolas"/>
          <w:color w:val="303030"/>
          <w:sz w:val="19"/>
        </w:rPr>
        <w:t xml:space="preserve">    v</w:t>
      </w:r>
      <w:r>
        <w:br/>
      </w:r>
      <w:r>
        <w:rPr>
          <w:rFonts w:ascii="Consolas" w:hAnsi="Consolas"/>
          <w:color w:val="303030"/>
          <w:sz w:val="19"/>
        </w:rPr>
        <w:t>Star records: source_id, ra, parallax, phot_g_mean_mag</w:t>
      </w:r>
      <w:r>
        <w:br/>
      </w:r>
      <w:r>
        <w:rPr>
          <w:rFonts w:ascii="Consolas" w:hAnsi="Consolas"/>
          <w:color w:val="303030"/>
          <w:sz w:val="19"/>
        </w:rPr>
        <w:t xml:space="preserve">    |  NumPy: normalize parallax across the result set</w:t>
      </w:r>
      <w:r>
        <w:br/>
      </w:r>
      <w:r>
        <w:rPr>
          <w:rFonts w:ascii="Consolas" w:hAnsi="Consolas"/>
          <w:color w:val="303030"/>
          <w:sz w:val="19"/>
        </w:rPr>
        <w:t xml:space="preserve">    v</w:t>
      </w:r>
      <w:r>
        <w:br/>
      </w:r>
      <w:r>
        <w:rPr>
          <w:rFonts w:ascii="Consolas" w:hAnsi="Consolas"/>
          <w:color w:val="303030"/>
          <w:sz w:val="19"/>
        </w:rPr>
        <w:t>parallax_to_frequency()  -&gt;  27.5 - 4186.0 Hz  (88-key piano range)</w:t>
      </w:r>
      <w:r>
        <w:br/>
      </w:r>
      <w:r>
        <w:rPr>
          <w:rFonts w:ascii="Consolas" w:hAnsi="Consolas"/>
          <w:color w:val="303030"/>
          <w:sz w:val="19"/>
        </w:rPr>
        <w:t xml:space="preserve">    |</w:t>
      </w:r>
      <w:r>
        <w:br/>
      </w:r>
      <w:r>
        <w:rPr>
          <w:rFonts w:ascii="Consolas" w:hAnsi="Consolas"/>
          <w:color w:val="303030"/>
          <w:sz w:val="19"/>
        </w:rPr>
        <w:t>frequency_to_midi_note()  -&gt;  MIDI note number (A4 = 440 Hz = note 69)</w:t>
      </w:r>
      <w:r>
        <w:br/>
      </w:r>
      <w:r>
        <w:rPr>
          <w:rFonts w:ascii="Consolas" w:hAnsi="Consolas"/>
          <w:color w:val="303030"/>
          <w:sz w:val="19"/>
        </w:rPr>
        <w:t xml:space="preserve">    |</w:t>
      </w:r>
      <w:r>
        <w:br/>
      </w:r>
      <w:r>
        <w:rPr>
          <w:rFonts w:ascii="Consolas" w:hAnsi="Consolas"/>
          <w:color w:val="303030"/>
          <w:sz w:val="19"/>
        </w:rPr>
        <w:t>Bin stars by right ascension (100 bins, 0.001 deg wide = 0.1s each)</w:t>
      </w:r>
      <w:r>
        <w:br/>
      </w:r>
      <w:r>
        <w:rPr>
          <w:rFonts w:ascii="Consolas" w:hAnsi="Consolas"/>
          <w:color w:val="303030"/>
          <w:sz w:val="19"/>
        </w:rPr>
        <w:t xml:space="preserve">    |  mido: write note_on / note_off events per bin (chords for co-located stars)</w:t>
      </w:r>
      <w:r>
        <w:br/>
      </w:r>
      <w:r>
        <w:rPr>
          <w:rFonts w:ascii="Consolas" w:hAnsi="Consolas"/>
          <w:color w:val="303030"/>
          <w:sz w:val="19"/>
        </w:rPr>
        <w:t xml:space="preserve">    v</w:t>
      </w:r>
      <w:r>
        <w:br/>
      </w:r>
      <w:r>
        <w:rPr>
          <w:rFonts w:ascii="Consolas" w:hAnsi="Consolas"/>
          <w:color w:val="303030"/>
          <w:sz w:val="19"/>
        </w:rPr>
        <w:t>gaia_ra_music.mid  (120 BPM MIDI file)</w:t>
      </w:r>
      <w:r>
        <w:br/>
      </w:r>
      <w:r>
        <w:rPr>
          <w:rFonts w:ascii="Consolas" w:hAnsi="Consolas"/>
          <w:color w:val="303030"/>
          <w:sz w:val="19"/>
        </w:rPr>
        <w:t xml:space="preserve">    |  play_midi.swift  -&gt;  AVFoundation + General MIDI sound bank</w:t>
      </w:r>
      <w:r>
        <w:br/>
      </w:r>
      <w:r>
        <w:rPr>
          <w:rFonts w:ascii="Consolas" w:hAnsi="Consolas"/>
          <w:color w:val="303030"/>
          <w:sz w:val="19"/>
        </w:rPr>
        <w:t xml:space="preserve">    v</w:t>
      </w:r>
      <w:r>
        <w:br/>
      </w:r>
      <w:r>
        <w:rPr>
          <w:rFonts w:ascii="Consolas" w:hAnsi="Consolas"/>
          <w:color w:val="303030"/>
          <w:sz w:val="19"/>
        </w:rPr>
        <w:t>Audible playback</w:t>
      </w:r>
    </w:p>
    <w:p>
      <w:pPr>
        <w:pStyle w:val="Heading2"/>
      </w:pPr>
      <w:r>
        <w:t>Use of AI Tooling</w:t>
      </w:r>
    </w:p>
    <w:p>
      <w:r>
        <w:rPr>
          <w:b w:val="0"/>
          <w:i w:val="0"/>
        </w:rPr>
        <w:t>We used Claude Opus 4.8 as a coding assistant during implementation. We kept ourselves responsible for the high-level design decisions — which Gaia columns to use, how to justify the parallax-to-pitch mapping scientifically, and how to structure the pipeline into stages — while using Opus 4.8 to accelerate lower-level implementation tasks: writing and debugging the MIDI note on/off sequencing logic, converting frequency to the correct MIDI note number, and structuring the binning logic that turns a list of stars into a time-ordered sequence of chords. This let us iterate on the prototype more quickly while keeping ownership of the scientific and musical reasoning behind the project ourselves.</w:t>
      </w:r>
    </w:p>
    <w:p>
      <w:pPr>
        <w:pStyle w:val="Heading1"/>
        <w:pBdr>
          <w:bottom w:val="single" w:sz="6" w:space="4" w:color="BFBFBF"/>
        </w:pBdr>
      </w:pPr>
      <w:r>
        <w:t>3. Current Results</w:t>
      </w:r>
    </w:p>
    <w:p>
      <w:r>
        <w:rPr>
          <w:b w:val="0"/>
          <w:i w:val="0"/>
        </w:rPr>
        <w:t>The prototype successfully queries live data from the Gaia DR3 archive, deterministically maps each star's parallax to a musical pitch, and produces a valid, playable MIDI file (gaia_ra_music.mid) that represents a real slice of the sky as a sequence of notes and chords ordered by position. We can already play back a full run end-to-end: query, transform, render, and listen.</w:t>
      </w:r>
    </w:p>
    <w:p>
      <w:r>
        <w:rPr>
          <w:b w:val="0"/>
          <w:i w:val="0"/>
        </w:rPr>
        <w:t>Honest assessment: in its current form, the output is closer to an audible representation of noisy, densely packed data than to a musical piece a general listener would describe as pleasant or evocative. Because every qualifying star in a right-ascension bin sounds simultaneously with no regard for musical consonance, dense bins can produce large, dissonant chords, and the fixed 120 BPM grid gives the piece a mechanical, unvarying rhythm. Recognizing this gap between “data sonification” and “music a person would want to listen to” is the central motivation for our next phase of work.</w:t>
      </w:r>
    </w:p>
    <w:p>
      <w:pPr>
        <w:pStyle w:val="Heading1"/>
        <w:pBdr>
          <w:bottom w:val="single" w:sz="6" w:space="4" w:color="BFBFBF"/>
        </w:pBdr>
      </w:pPr>
      <w:r>
        <w:t>4. Future Goals</w:t>
      </w:r>
    </w:p>
    <w:p>
      <w:r>
        <w:rPr>
          <w:b w:val="0"/>
          <w:i w:val="0"/>
        </w:rPr>
        <w:t>Our central goal going forward is to find a smarter, more intentional approach for converting star data into music that genuinely reflects the galaxy's character to a general audience — emotionally, not just numerically — and that reads as music rather than noise. We plan to pursue this along two tracks: incorporating more of the Gaia dataset's available metrics, and applying more deliberate music composition techniques.</w:t>
      </w:r>
    </w:p>
    <w:p>
      <w:pPr>
        <w:pStyle w:val="Heading2"/>
      </w:pPr>
      <w:r>
        <w:t>Additional Gaia Metrics to Incorporate</w:t>
      </w:r>
    </w:p>
    <w:p>
      <w:pPr>
        <w:pStyle w:val="ListBullet"/>
      </w:pPr>
      <w:r>
        <w:rPr>
          <w:b/>
        </w:rPr>
        <w:t>bp_rp (color index)</w:t>
      </w:r>
      <w:r>
        <w:t xml:space="preserve"> — the difference between a star's blue and red photometric magnitudes, which correlates strongly with surface temperature. Cooler, redder stars could shift toward warmer timbres or lower registers; hotter, bluer stars toward brighter timbres or upper registers, giving listeners an intuitive temperature-to-timbre mapping.</w:t>
      </w:r>
    </w:p>
    <w:p>
      <w:pPr>
        <w:pStyle w:val="ListBullet"/>
      </w:pPr>
      <w:r>
        <w:rPr>
          <w:b/>
        </w:rPr>
        <w:t>radial_velocity</w:t>
      </w:r>
      <w:r>
        <w:t xml:space="preserve"> — a star's speed toward or away from us along our line of sight, in km/s. This could drive pitch bend, vibrato, or Doppler-style glissando effects, tying a genuinely relativistic-adjacent phenomenon to an audible musical gesture.</w:t>
      </w:r>
    </w:p>
    <w:p>
      <w:pPr>
        <w:pStyle w:val="ListBullet"/>
      </w:pPr>
      <w:r>
        <w:rPr>
          <w:b/>
        </w:rPr>
        <w:t>pmra / pmdec (proper motion)</w:t>
      </w:r>
      <w:r>
        <w:t xml:space="preserve"> — a star's apparent angular motion across the sky per year. This could control panning or gradual pitch drift over the course of a piece, giving a sense of real stellar motion over time.</w:t>
      </w:r>
    </w:p>
    <w:p>
      <w:pPr>
        <w:pStyle w:val="ListBullet"/>
      </w:pPr>
      <w:r>
        <w:rPr>
          <w:b/>
        </w:rPr>
        <w:t>radius_gspphot / lum_gspphot</w:t>
      </w:r>
      <w:r>
        <w:t xml:space="preserve"> — model-derived stellar radius and luminosity. Larger or more luminous stars could be given longer note durations or greater dynamic emphasis, so the piece foregrounds astrophysically significant stars rather than treating every star identically.</w:t>
      </w:r>
    </w:p>
    <w:p>
      <w:pPr>
        <w:pStyle w:val="ListBullet"/>
      </w:pPr>
      <w:r>
        <w:rPr>
          <w:b/>
        </w:rPr>
        <w:t>RR Lyrae period and intensity (pf, int_average_g)</w:t>
      </w:r>
      <w:r>
        <w:t xml:space="preserve"> — already explored in Stage 2; period could set a rhythmic pulse for variable stars, and intensity could drive velocity/loudness, so variable stars audibly “breathe” in tempo with their real pulsation cycles.</w:t>
      </w:r>
    </w:p>
    <w:p>
      <w:pPr>
        <w:pStyle w:val="ListBullet"/>
      </w:pPr>
      <w:r>
        <w:rPr>
          <w:b/>
        </w:rPr>
        <w:t>Sky region / galactic latitude</w:t>
      </w:r>
      <w:r>
        <w:t xml:space="preserve"> — grouping by galactic coordinates rather than raw right ascension alone could let us structure a piece around recognizable regions (e.g., toward the galactic plane versus away from it), giving movements of a composition real astronomical meaning.</w:t>
      </w:r>
    </w:p>
    <w:p>
      <w:pPr>
        <w:pStyle w:val="Heading2"/>
      </w:pPr>
      <w:r>
        <w:t>Music Techniques to Explore</w:t>
      </w:r>
    </w:p>
    <w:p>
      <w:pPr>
        <w:pStyle w:val="ListBullet"/>
      </w:pPr>
      <w:r>
        <w:rPr>
          <w:b/>
        </w:rPr>
        <w:t>Scale quantization</w:t>
      </w:r>
      <w:r>
        <w:t xml:space="preserve"> — instead of mapping frequency continuously onto any of the 128 MIDI notes, snap notes to a chosen musical scale or mode (e.g., pentatonic or a diatonic mode) so simultaneous notes are more consistently consonant, directly reducing the dissonant-chord problem we observed in Stage 4.</w:t>
      </w:r>
    </w:p>
    <w:p>
      <w:pPr>
        <w:pStyle w:val="ListBullet"/>
      </w:pPr>
      <w:r>
        <w:rPr>
          <w:b/>
        </w:rPr>
        <w:t>Voice-leading and note limiting</w:t>
      </w:r>
      <w:r>
        <w:t xml:space="preserve"> — cap the number of simultaneous notes per time step and choose which stars to voice using nearest-neighbor pitch selection, avoiding large indiscriminate chords when many stars fall in one bin.</w:t>
      </w:r>
    </w:p>
    <w:p>
      <w:pPr>
        <w:pStyle w:val="ListBullet"/>
      </w:pPr>
      <w:r>
        <w:rPr>
          <w:b/>
        </w:rPr>
        <w:t>Variable tempo and rhythm</w:t>
      </w:r>
      <w:r>
        <w:t xml:space="preserve"> — replace the fixed 0.1-second grid with tempo or note-length variation driven by a data property (e.g., stellar density or period), so the piece breathes rather than ticking uniformly.</w:t>
      </w:r>
    </w:p>
    <w:p>
      <w:pPr>
        <w:pStyle w:val="ListBullet"/>
      </w:pPr>
      <w:r>
        <w:rPr>
          <w:b/>
        </w:rPr>
        <w:t>Timbre / instrumentation mapping</w:t>
      </w:r>
      <w:r>
        <w:t xml:space="preserve"> — assign different MIDI instrument patches (e.g., strings, winds, pads) based on stellar type or color index, adding a second, immediately audible dimension beyond pitch.</w:t>
      </w:r>
    </w:p>
    <w:p>
      <w:pPr>
        <w:pStyle w:val="ListBullet"/>
      </w:pPr>
      <w:r>
        <w:rPr>
          <w:b/>
        </w:rPr>
        <w:t>Dynamics and articulation</w:t>
      </w:r>
      <w:r>
        <w:t xml:space="preserve"> — use MIDI velocity and note length, driven by brightness or luminosity, to add expressive shaping rather than uniform velocity-90 notes throughout.</w:t>
      </w:r>
    </w:p>
    <w:p>
      <w:pPr>
        <w:pStyle w:val="ListBullet"/>
      </w:pPr>
      <w:r>
        <w:rPr>
          <w:b/>
        </w:rPr>
        <w:t>Structured form</w:t>
      </w:r>
      <w:r>
        <w:t xml:space="preserve"> — organize a full piece into sections corresponding to different sky regions or star populations, giving the listener a sense of narrative or journey rather than one continuous undifferentiated stream.</w:t>
      </w:r>
    </w:p>
    <w:p>
      <w:r>
        <w:rPr>
          <w:b w:val="0"/>
          <w:i w:val="0"/>
        </w:rPr>
        <w:t>Combining these two tracks — pulling in richer, scientifically meaningful metrics and applying deliberate composition techniques on top of them — is how we intend to move from an audible data dump toward a piece of music that a general audience can listen to and genuinely feel something of the galaxy's scale and character.</w:t>
      </w:r>
    </w:p>
    <w:p>
      <w:pPr>
        <w:pStyle w:val="Heading1"/>
        <w:pBdr>
          <w:bottom w:val="single" w:sz="6" w:space="4" w:color="BFBFBF"/>
        </w:pBdr>
      </w:pPr>
      <w:r>
        <w:t>5. Acknowledgments</w:t>
      </w:r>
    </w:p>
    <w:p>
      <w:r>
        <w:rPr>
          <w:b w:val="0"/>
          <w:i w:val="0"/>
        </w:rPr>
        <w:t>We are grateful to Mitch McLean for his weekly mentorship and guidance throughout this project, and to HAAEA for the opportunity to pursue this research over the summer.</w:t>
      </w:r>
    </w:p>
    <w:p/>
    <w:p>
      <w:pPr>
        <w:jc w:val="center"/>
      </w:pPr>
      <w:r>
        <w:rPr>
          <w:i/>
          <w:color w:val="707070"/>
          <w:sz w:val="18"/>
        </w:rPr>
        <w:t>Sound of Stars · HAAEA Progress Report · July 2026</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ap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4040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