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t>Request for Quote (RFQ): 75FCMC26Q0068</w:t>
      </w:r>
      <w:r w:rsidRPr="00C7269A"/>
      <w:r w:rsidR="00C32A3C"/>
      <w:r w:rsidRPr="00C7269A"/>
      <w:r w:rsidR="00C32A3C"/>
      <w:r w:rsidRPr="00C7269A"/>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szCs w:val="24"/>
        </w:rPr>
        <w:fldChar w:fldCharType="begin"/>
      </w:r>
      <w:r w:rsidRPr="00390AB5">
        <w:rPr>
          <w:rStyle w:val="CoverFSSEntityName"/>
          <w:szCs w:val="24"/>
        </w:rPr>
        <w:instrText xml:space="preserve"> FILLIN  "FSS Entity Name"  \* MERGEFORMAT </w:instrText>
      </w:r>
      <w:r w:rsidRPr="00390AB5">
        <w:rPr>
          <w:rStyle w:val="CoverFSSEntityName"/>
          <w:szCs w:val="24"/>
        </w:rPr>
        <w:fldChar w:fldCharType="separate"/>
      </w:r>
      <w:r w:rsidR="0023659D">
        <w:rPr>
          <w:rStyle w:val="CoverFSSEntityName"/>
          <w:szCs w:val="24"/>
        </w:rPr>
        <w:t>Deloitte Consulting LLP</w:t>
      </w:r>
      <w:r w:rsidRPr="00390AB5">
        <w:rPr>
          <w:rStyle w:val="CoverFSSEntityName"/>
          <w:szCs w:val="24"/>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sz w:val="24"/>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szCs w:val="24"/>
        </w:rPr>
        <w:fldChar w:fldCharType="begin"/>
      </w:r>
      <w:r w:rsidRPr="00174AA8">
        <w:rPr>
          <w:rStyle w:val="CoverFSSEntityName"/>
          <w:szCs w:val="24"/>
        </w:rPr>
        <w:instrText xml:space="preserve"> FILLIN  "FSS Entity Name"  \* MERGEFORMAT </w:instrText>
      </w:r>
      <w:r w:rsidRPr="00174AA8">
        <w:rPr>
          <w:rStyle w:val="CoverFSSEntityName"/>
          <w:szCs w:val="24"/>
        </w:rPr>
        <w:fldChar w:fldCharType="separate"/>
      </w:r>
      <w:r w:rsidR="0023659D">
        <w:rPr>
          <w:rStyle w:val="CoverFSSEntityName"/>
          <w:szCs w:val="24"/>
        </w:rPr>
        <w:t xml:space="preserve">Deloitte Consulting LLP </w:t>
      </w:r>
      <w:r w:rsidRPr="00174AA8">
        <w:rPr>
          <w:rStyle w:val="CoverFSSEntityName"/>
          <w:szCs w:val="24"/>
        </w:rPr>
        <w:fldChar w:fldCharType="end"/>
      </w:r>
      <w:r w:rsidRPr="00174AA8">
        <w:rPr>
          <w:szCs w:val="24"/>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sz w:val="24"/>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szCs w:val="24"/>
              </w:rPr>
              <w:t>Amberly Kovalick</w:t>
            </w:r>
            <w:r w:rsidR="00E779D3">
              <w:rPr>
                <w:szCs w:val="24"/>
              </w:rPr>
              <w:t xml:space="preserve">, </w:t>
            </w:r>
            <w:r w:rsidR="00E779D3" w:rsidRPr="00E779D3">
              <w:rPr>
                <w:szCs w:val="24"/>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szCs w:val="24"/>
              </w:rPr>
              <w:t xml:space="preserve"> Amberly.Kovalick@cms.hhs.gov.</w:t>
            </w:r>
          </w:p>
          <w:p w14:paraId="7A550B1F" w14:textId="6C73CA53" w:rsidR="00E779D3" w:rsidRDefault="00BF7FB9" w:rsidP="00037792">
            <w:pPr>
              <w:pStyle w:val="Cover2DeloitteAddress"/>
              <w:ind w:left="-105"/>
              <w:rPr>
                <w:szCs w:val="24"/>
              </w:rPr>
            </w:pPr>
            <w:r w:rsidRPr="00BF7FB9">
              <w:rPr>
                <w:szCs w:val="24"/>
              </w:rPr>
              <w:t>Megan Famodu</w:t>
            </w:r>
            <w:r>
              <w:rPr>
                <w:szCs w:val="24"/>
              </w:rPr>
              <w:t xml:space="preserve">, </w:t>
            </w:r>
            <w:r w:rsidR="00670C67" w:rsidRPr="00670C67">
              <w:rPr>
                <w:szCs w:val="24"/>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szCs w:val="24"/>
              </w:rPr>
              <w:t xml:space="preserve"> </w:t>
            </w:r>
            <w:r w:rsidRPr="009E4AA8">
              <w:rPr>
                <w:szCs w:val="24"/>
              </w:rPr>
              <w:t>Megan.Famodu @cms.hhs.gov</w:t>
            </w:r>
          </w:p>
          <w:p w14:paraId="01F51C04" w14:textId="77777777" w:rsidR="009260D8" w:rsidRPr="009260D8" w:rsidRDefault="009260D8" w:rsidP="009260D8">
            <w:pPr>
              <w:pStyle w:val="Cover2DeloitteAddress"/>
              <w:ind w:left="-105"/>
              <w:rPr>
                <w:szCs w:val="24"/>
              </w:rPr>
            </w:pPr>
            <w:r w:rsidRPr="009260D8">
              <w:rPr>
                <w:szCs w:val="24"/>
              </w:rPr>
              <w:t>DIV OF MEDICARE &amp; MARKETPLACE CONTRACTS,</w:t>
            </w:r>
          </w:p>
          <w:p w14:paraId="334085AB" w14:textId="77777777" w:rsidR="009260D8" w:rsidRPr="009260D8" w:rsidRDefault="009260D8" w:rsidP="009260D8">
            <w:pPr>
              <w:pStyle w:val="Cover2DeloitteAddress"/>
              <w:ind w:left="-105"/>
              <w:rPr>
                <w:szCs w:val="24"/>
              </w:rPr>
            </w:pPr>
            <w:r w:rsidRPr="009260D8">
              <w:rPr>
                <w:szCs w:val="24"/>
              </w:rPr>
              <w:t>CMS - OAGM</w:t>
            </w:r>
          </w:p>
          <w:p w14:paraId="4D54BE26" w14:textId="77777777" w:rsidR="009260D8" w:rsidRPr="009260D8" w:rsidRDefault="009260D8" w:rsidP="009260D8">
            <w:pPr>
              <w:pStyle w:val="Cover2DeloitteAddress"/>
              <w:ind w:left="-105"/>
              <w:rPr>
                <w:szCs w:val="24"/>
              </w:rPr>
            </w:pPr>
            <w:r w:rsidRPr="009260D8">
              <w:rPr>
                <w:szCs w:val="24"/>
              </w:rPr>
              <w:t>7500 SECURITY BOULEVARD, MS: B3-30-03</w:t>
            </w:r>
          </w:p>
          <w:p w14:paraId="2418D10C" w14:textId="7379D6D8" w:rsidR="00E42ECE" w:rsidRPr="00E371CA" w:rsidRDefault="009260D8" w:rsidP="006104BE">
            <w:pPr>
              <w:pStyle w:val="Cover2DeloitteAddress"/>
              <w:ind w:left="-105"/>
              <w:rPr>
                <w:szCs w:val="24"/>
              </w:rPr>
            </w:pPr>
            <w:r w:rsidRPr="009260D8">
              <w:rPr>
                <w:szCs w:val="24"/>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sz w:val="24"/>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sz w:val="24"/>
              </w:rPr>
              <w:t xml:space="preserve">Technical POC and </w:t>
            </w:r>
            <w:r w:rsidRPr="00E371CA">
              <w:rPr>
                <w:sz w:val="24"/>
              </w:rPr>
              <w:br/>
              <w:t>Authorized Negotiator:</w:t>
            </w:r>
          </w:p>
          <w:p w14:paraId="14377F7E" w14:textId="2BFB0448" w:rsidR="00E42ECE" w:rsidRPr="00E371CA" w:rsidRDefault="0023659D" w:rsidP="00B90E6C">
            <w:pPr>
              <w:pStyle w:val="Cover2DeloitteAddress"/>
              <w:rPr>
                <w:szCs w:val="24"/>
              </w:rPr>
            </w:pPr>
            <w:r w:rsidRPr="0023659D">
              <w:rPr>
                <w:szCs w:val="24"/>
              </w:rPr>
              <w:t>Matt Siegel</w:t>
            </w:r>
            <w:r w:rsidR="00E42ECE" w:rsidRPr="00E371CA">
              <w:rPr>
                <w:szCs w:val="24"/>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szCs w:val="24"/>
              </w:rPr>
              <w:t xml:space="preserve">Email: </w:t>
            </w:r>
            <w:r w:rsidR="0023659D" w:rsidRPr="0023659D">
              <w:rPr>
                <w:szCs w:val="24"/>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sz w:val="24"/>
              </w:rPr>
              <w:t>Contracts POC:</w:t>
            </w:r>
          </w:p>
          <w:p w14:paraId="7B90B93F" w14:textId="5D8021B0" w:rsidR="00E42ECE" w:rsidRPr="00E371CA" w:rsidRDefault="0023659D" w:rsidP="00B90E6C">
            <w:pPr>
              <w:pStyle w:val="Cover2DeloitteAddress"/>
              <w:rPr>
                <w:szCs w:val="24"/>
              </w:rPr>
            </w:pPr>
            <w:r w:rsidRPr="009C1BFC">
              <w:rPr>
                <w:noProof/>
                <w:szCs w:val="14"/>
              </w:rPr>
              <w:t>Teresa Sage</w:t>
            </w:r>
            <w:r w:rsidR="00E42ECE" w:rsidRPr="00E371CA">
              <w:rPr>
                <w:szCs w:val="24"/>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szCs w:val="24"/>
              </w:rPr>
              <w:t xml:space="preserve">Email: </w:t>
            </w:r>
            <w:r w:rsidR="00CA68EF" w:rsidRPr="00CA68EF">
              <w:rPr>
                <w:szCs w:val="24"/>
              </w:rPr>
              <w:t>tsage@deloitte.com</w:t>
            </w:r>
          </w:p>
          <w:p w14:paraId="11119EB1" w14:textId="76ECAD8E" w:rsidR="00E42ECE" w:rsidRPr="00E371CA" w:rsidRDefault="00E42ECE" w:rsidP="00B90E6C">
            <w:pPr>
              <w:pStyle w:val="Cover2DeloitteAddress"/>
              <w:rPr>
                <w:szCs w:val="24"/>
              </w:rPr>
            </w:pPr>
            <w:r w:rsidRPr="00E371CA">
              <w:rPr>
                <w:szCs w:val="24"/>
              </w:rPr>
              <w:t xml:space="preserve">Reference Number: </w:t>
            </w:r>
            <w:r w:rsidR="00CA68EF">
              <w:rPr>
                <w:szCs w:val="24"/>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all of the requirements of the request, and demonstrates that Deloitte possesses the required level of skill and experience to perform the Statement of Work (SOW). </w:t>
      </w:r>
      <w:r>
        <w:rPr>
          <w:rStyle w:val="FootnoteReference"/>
        </w:rPr>
      </w:r>
      <w:r/>
      <w:r w:rsidR="00E67541" w:rsidRPr="00E67541"/>
      <w:r w:rsidRPr="00072882"/>
      <w:fldSimple w:instr="STYLEREF  &quot;Cover title&quot;  \* MERGEFORMAT">
        <w:r w:rsidR="00C73A0E">
          <w:rPr>
            <w:noProof/>
          </w:rPr>
          <w:t>Centers for Medicare &amp; Medicaid Services (CMS)</w:t>
        </w:r>
      </w:fldSimple>
      <w:r w:rsidRPr="00072882"/>
      <w:r/>
      <w:r w:rsidRPr="000421FB"/>
      <w:r/>
    </w:p>
    <w:p w14:paraId="2943984D" w14:textId="1AA7F928" w:rsidR="00744B4B" w:rsidRDefault="00744B4B" w:rsidP="00744B4B">
      <w:pPr>
        <w:pStyle w:val="Lettertext"/>
      </w:pPr>
      <w:commentRangeStart w:id="0"/>
      <w:r>
        <w:t>We</w:t>
      </w:r>
      <w:commentRangeEnd w:id="0"/>
      <w:r>
        <w:rPr>
          <w:rStyle w:val="CommentReference"/>
          <w:sz w:val="24"/>
          <w:szCs w:val="22"/>
        </w:rPr>
        <w:commentReference w:id="0"/>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r w:rsidRPr="00072882"/>
      <w:fldSimple w:instr="STYLEREF  &quot;Cover title&quot;  \* MERGEFORMAT">
        <w:r w:rsidR="00E67541">
          <w:rPr>
            <w:noProof/>
          </w:rPr>
          <w:t>Centers for Medicare &amp; Medicaid Services (CMS)</w:t>
        </w:r>
      </w:fldSimple>
      <w:r w:rsidRPr="00072882"/>
      <w:r/>
      <w:r w:rsidR="00E67541" w:rsidRPr="00E67541"/>
      <w:r/>
      <w:r w:rsidR="00E67541" w:rsidRPr="00E67541"/>
      <w:r/>
      <w:r w:rsidR="00E67541" w:rsidRPr="00E67541"/>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color w:val="002776"/>
        </w:rPr>
        <w:fldChar w:fldCharType="begin"/>
      </w:r>
      <w:r w:rsidR="00C024BF">
        <w:instrText xml:space="preserve"> TOC \o "1-3" \h \z \u </w:instrText>
      </w:r>
      <w:r>
        <w:rPr>
          <w:b/>
          <w:color w:val="002776"/>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commentRangeStart w:id="2"/>
      <w:r>
        <w:t>1</w:t>
      </w:r>
      <w:commentRangeEnd w:id="2"/>
      <w:r>
        <w:rPr>
          <w:rStyle w:val="CommentReference"/>
          <w:sz w:val="28"/>
          <w:szCs w:val="28"/>
        </w:rPr>
        <w:commentReference w:id="2"/>
      </w:r>
      <w:r>
        <w:t>.0</w:t>
      </w:r>
      <w:r>
        <w:tab/>
      </w:r>
      <w:commentRangeStart w:id="3"/>
      <w:r w:rsidRPr="001F29D8">
        <w:t>Section 1</w:t>
      </w:r>
      <w:r w:rsidR="0001573B">
        <w:t xml:space="preserve">: </w:t>
      </w:r>
      <w:r w:rsidRPr="001F29D8">
        <w:t>Technical Understanding and Approach</w:t>
      </w:r>
      <w:commentRangeEnd w:id="3"/>
      <w:r w:rsidR="00486D0C">
        <w:rPr>
          <w:rStyle w:val="CommentReference"/>
          <w:sz w:val="28"/>
          <w:szCs w:val="28"/>
        </w:rPr>
        <w:commentReference w:id="3"/>
      </w:r>
      <w:r w:rsidR="00562A40">
        <w:t xml:space="preserve"> </w:t>
      </w:r>
      <w:r w:rsidR="00562A40" w:rsidRPr="00562A40">
        <w:rPr>
          <w:color w:val="FF0000"/>
        </w:rPr>
        <w:t>(</w:t>
      </w:r>
      <w:commentRangeStart w:id="4"/>
      <w:r w:rsidR="00562A40" w:rsidRPr="00562A40">
        <w:rPr>
          <w:color w:val="FF0000"/>
        </w:rPr>
        <w:t xml:space="preserve">Total </w:t>
      </w:r>
      <w:commentRangeEnd w:id="4"/>
      <w:r w:rsidR="00577FD6" w:rsidRPr="00562A40">
        <w:rPr>
          <w:rStyle w:val="CommentReference"/>
          <w:color w:val="FF0000"/>
          <w:sz w:val="28"/>
          <w:szCs w:val="28"/>
        </w:rPr>
        <w:commentReference w:id="4"/>
      </w:r>
      <w:r w:rsidR="00562A40" w:rsidRPr="00562A40">
        <w:rPr>
          <w:color w:val="FF0000"/>
        </w:rPr>
        <w:t xml:space="preserve">40 </w:t>
      </w:r>
      <w:commentRangeStart w:id="5"/>
      <w:r w:rsidR="00562A40" w:rsidRPr="00562A40">
        <w:rPr>
          <w:color w:val="FF0000"/>
        </w:rPr>
        <w:t>Pages</w:t>
      </w:r>
      <w:commentRangeEnd w:id="5"/>
      <w:r w:rsidR="00AC5460" w:rsidRPr="00562A40">
        <w:rPr>
          <w:rStyle w:val="CommentReference"/>
          <w:color w:val="FF0000"/>
          <w:sz w:val="28"/>
          <w:szCs w:val="28"/>
        </w:rPr>
        <w:commentReference w:id="5"/>
      </w:r>
      <w:r w:rsidR="00562A40" w:rsidRPr="00562A40">
        <w:rPr>
          <w:color w:val="FF0000"/>
        </w:rPr>
        <w:t>)</w:t>
      </w:r>
      <w:bookmarkEnd w:id="1"/>
    </w:p>
    <w:p w14:paraId="7FEF247C" w14:textId="03C5AEBF" w:rsidR="009E3656" w:rsidRDefault="009E3656" w:rsidP="009E3656">
      <w:pPr>
        <w:pStyle w:val="Heading2"/>
        <w:rPr>
          <w:color w:val="FF0000"/>
        </w:rPr>
      </w:pPr>
      <w:bookmarkStart w:id="6" w:name="_Toc227883175"/>
      <w:r>
        <w:t>1.1</w:t>
      </w:r>
      <w:r>
        <w:tab/>
      </w:r>
      <w:commentRangeStart w:id="7"/>
      <w:r w:rsidRPr="0069296D">
        <w:t>Sub-Section 1A: Understanding of CMS’ Program and Acquisition Objectives</w:t>
      </w:r>
      <w:bookmarkEnd w:id="6"/>
      <w:commentRangeEnd w:id="7"/>
      <w:r w:rsidR="005A229D">
        <w:rPr>
          <w:rStyle w:val="CommentReference"/>
          <w:sz w:val="26"/>
          <w:szCs w:val="26"/>
        </w:rPr>
        <w:commentReference w:id="7"/>
      </w:r>
      <w:r w:rsidR="00C36647">
        <w:t xml:space="preserve"> </w:t>
      </w:r>
      <w:r w:rsidR="00C36647" w:rsidRPr="002548B6">
        <w:rPr>
          <w:color w:val="FF0000"/>
        </w:rPr>
        <w:t>(</w:t>
      </w:r>
      <w:r w:rsidR="002548B6" w:rsidRPr="002548B6">
        <w:rPr>
          <w:color w:val="FF0000"/>
        </w:rPr>
        <w:t>1 Page)</w:t>
      </w:r>
    </w:p>
    <w:p w14:paraId="11407351" w14:textId="38498F6F" w:rsidR="00A757CF" w:rsidRPr="00A757CF" w:rsidRDefault="2A470EA5" w:rsidP="04281253">
      <w:pPr>
        <w:pStyle w:val="BodyText"/>
        <w:rPr>
          <w:b/>
          <w:bCs/>
        </w:rPr>
      </w:pPr>
      <w:commentRangeStart w:id="8"/>
      <w:r>
        <w:t>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commentRangeEnd w:id="8"/>
      <w:r>
        <w:rPr>
          <w:rStyle w:val="CommentReference"/>
          <w:sz w:val="24"/>
          <w:szCs w:val="22"/>
        </w:rPr>
      </w:r>
      <w:r/>
      <w:commentRangeStart w:id="9"/>
      <w:r w:rsidR="0B4081CF" w:rsidRPr="04281253">
        <w:rPr>
          <w:i/>
          <w:iCs/>
          <w:color w:val="7030A0"/>
        </w:rPr>
      </w:r>
      <w:commentRangeEnd w:id="9"/>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commentRangeStart w:id="10"/>
      <w:r w:rsidRPr="04281253">
        <w:rPr>
          <w:i/>
          <w:iCs/>
          <w:color w:val="7030A0"/>
        </w:rPr>
      </w:r>
      <w:commentRangeEnd w:id="10"/>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del w:id="11" w:author="Bowman, Kelly" w:date="2026-04-27T08:01:00Z" w16du:dateUtc="2026-04-27T12:01:00Z">
        <w:r w:rsidRPr="00374692">
          <w:delText>that CMS's</w:delText>
        </w:r>
      </w:del>
      <w:ins w:id="12" w:author="Bowman, Kelly" w:date="2026-04-27T08:01:00Z" w16du:dateUtc="2026-04-27T12:01:00Z">
        <w:r w:rsidR="00BC00D8">
          <w:t>a</w:t>
        </w:r>
      </w:ins>
      <w:r w:rsidRPr="00374692"/>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rFonts w:ascii="Arial" w:eastAsia="Arial" w:hAnsi="Arial" w:cs="Arial"/>
              </w:rPr>
              <w:t>Objective</w:t>
            </w:r>
            <w:commentRangeStart w:id="13"/>
            <w:commentRangeEnd w:id="13"/>
            <w:r w:rsidR="005C2E45">
              <w:rPr>
                <w:rStyle w:val="CommentReference"/>
                <w:rFonts w:ascii="Arial" w:eastAsia="Arial" w:hAnsi="Arial" w:cs="Arial"/>
                <w:sz w:val="20"/>
                <w:szCs w:val="22"/>
              </w:rPr>
              <w:commentReference w:id="13"/>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commentRangeStart w:id="14"/>
            <w:r w:rsidRPr="005C2E45">
              <w:t xml:space="preserve">Uncompromising </w:t>
            </w:r>
            <w:commentRangeEnd w:id="14"/>
            <w:r w:rsidR="00CA3896" w:rsidRPr="005C2E45">
              <w:rPr>
                <w:rStyle w:val="CommentReference"/>
                <w:sz w:val="20"/>
                <w:szCs w:val="22"/>
              </w:rPr>
              <w:commentReference w:id="14"/>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ulletlevel1"/>
      </w:pPr>
      <w:r>
        <w:t>Deliver uninterrupted operations across all three workstreams — Enrollment Resolution &amp; Reconciliation (ER&amp;R), Form 1095-A Data Reporting, and the Complex Case Help Center (CCHC) — protecting the more than 24 million Marketplace consumers who depend on accurate enrollment, payment, and tax data from the first day of contract performance.</w:t>
      </w:r>
    </w:p>
    <w:p>
      <w:pPr>
        <w:pStyle w:val="Bulletlevel1"/>
      </w:pPr>
      <w:r>
        <w:t>Modernize the operating model through automation, AI-assisted casework, governed business-rule lifecycle management, and program-integrity-by-design controls — reducing manual effort, accelerating dispute resolution, and detecting fraud, waste, and abuse before improper payments and tax errors propagate downstream.</w:t>
      </w:r>
    </w:p>
    <w:p>
      <w:pPr>
        <w:pStyle w:val="Bulletlevel1"/>
      </w:pPr>
      <w:r>
        <w:t>Strengthen the FFE/SBE issuer ecosystem through transparent reporting, structured technical assistance, and proactive program intelligence — turning each dispute, casework trend, and 834 anomaly into a CMS-actionable recommendation rather than a backward-looking trend observation.</w:t>
      </w:r>
    </w:p>
    <w:p w14:paraId="464B9BD2" w14:textId="77777777" w:rsidR="008A2E01" w:rsidRDefault="008A2E01" w:rsidP="008A2E01">
      <w:pPr>
        <w:pStyle w:val="Heading2"/>
      </w:pPr>
      <w:r>
        <w:t>1.2</w:t>
      </w:r>
      <w:r>
        <w:tab/>
      </w:r>
      <w:commentRangeStart w:id="19"/>
      <w:r w:rsidRPr="00122D2C">
        <w:t>Sub-Section 1B: Approach to Performing the Requirements in the SOW</w:t>
      </w:r>
      <w:commentRangeEnd w:id="19"/>
      <w:r>
        <w:rPr>
          <w:rStyle w:val="CommentReference"/>
          <w:sz w:val="26"/>
          <w:szCs w:val="26"/>
        </w:rPr>
        <w:commentReference w:id="19"/>
      </w:r>
      <w:r>
        <w:t xml:space="preserve"> </w:t>
      </w:r>
      <w:r w:rsidRPr="00806273">
        <w:rPr>
          <w:color w:val="FF0000"/>
        </w:rPr>
        <w:t>(Total 18 Pages)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color w:val="FF0000"/>
        </w:rPr>
        <w:t>(2 Pages)</w:t>
      </w:r>
    </w:p>
    <w:p w14:paraId="6C481F9C" w14:textId="6819A729" w:rsidR="00DE030B" w:rsidRPr="00DE030B" w:rsidRDefault="00DE030B" w:rsidP="00DE030B">
      <w:pPr>
        <w:pStyle w:val="BodyText"/>
      </w:pPr>
      <w:commentRangeStart w:id="21"/>
      <w:commentRangeStart w:id="22"/>
      <w:r>
        <w:t>Deloitte’s</w:t>
      </w:r>
      <w:commentRangeEnd w:id="21"/>
      <w:r>
        <w:rPr>
          <w:rStyle w:val="CommentReference"/>
          <w:sz w:val="24"/>
          <w:szCs w:val="22"/>
        </w:rPr>
        <w:commentReference w:id="21"/>
      </w:r>
      <w:commentRangeEnd w:id="22"/>
      <w:r w:rsidR="00601B3C">
        <w:rPr>
          <w:rStyle w:val="CommentReference"/>
          <w:sz w:val="24"/>
          <w:szCs w:val="22"/>
        </w:rPr>
        <w:commentReference w:id="22"/>
      </w:r>
      <w:r>
        <w:t xml:space="preserve"> operating philosophy </w:t>
      </w:r>
      <w:commentRangeStart w:id="23"/>
      <w:r>
        <w:t xml:space="preserve">follows </w:t>
      </w:r>
      <w:commentRangeEnd w:id="23"/>
      <w:r w:rsidR="002A1669">
        <w:rPr>
          <w:rStyle w:val="CommentReference"/>
          <w:rFonts w:ascii="Courier New" w:hAnsi="Courier New"/>
        </w:rPr>
        <w:commentReference w:id="23"/>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color w:val="7030A0"/>
        </w:rPr>
        <w:t xml:space="preserve">Program integrity is not a compliance layer in this operating model. It is a design principle embedded in every task from Day 1. </w:t>
      </w:r>
      <w:r w:rsidRPr="00B12833">
        <w:rPr>
          <w:color w:val="7030A0"/>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commentRangeStart w:id="24"/>
      <w:r w:rsidRPr="009B3945">
        <w:rPr>
          <w:rStyle w:val="CharacterBold"/>
        </w:rPr>
        <w:t>Transition-In Approach</w:t>
      </w:r>
      <w:commentRangeEnd w:id="24"/>
      <w:r w:rsidR="00136D3E" w:rsidRPr="009B3945">
        <w:rPr>
          <w:rStyle w:val="CommentReference"/>
          <w:b/>
          <w:sz w:val="24"/>
          <w:szCs w:val="22"/>
        </w:rPr>
        <w:commentReference w:id="24"/>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commentRangeStart w:id="25"/>
      <w:r>
        <w:t>TruNorth</w:t>
      </w:r>
      <w:commentRangeEnd w:id="25"/>
      <w:r>
        <w:rPr>
          <w:rStyle w:val="CommentReference"/>
          <w:sz w:val="24"/>
          <w:szCs w:val="22"/>
        </w:rPr>
        <w:commentReference w:id="25"/>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Subheading1"/>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color w:val="046A38" w:themeColor="accent4"/>
        </w:rPr>
        <w:t xml:space="preserve">Deloitte has </w:t>
      </w:r>
      <w:r w:rsidRPr="00AD5A82">
        <w:rPr>
          <w:i/>
          <w:color w:val="046A38" w:themeColor="accent4"/>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Subheading1"/>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rFonts w:eastAsia="Arial" w:cs="Arial"/>
          <w:b/>
          <w:szCs w:val="24"/>
          <w:rPrChange w:id="27" w:author="El-Mously, Salma" w:date="2026-04-27T08:25:00Z" w16du:dateUtc="2026-04-27T12:25:00Z">
            <w:rPr>
              <w:rStyle w:val="CharacterBold"/>
            </w:rPr>
          </w:rPrChange>
        </w:rPr>
        <w:t>automated rule library</w:t>
      </w:r>
      <w:r w:rsidRPr="003C4247">
        <w:rPr>
          <w:rFonts w:eastAsia="Arial" w:cs="Arial"/>
          <w:szCs w:val="24"/>
          <w:rPrChange w:id="28" w:author="El-Mously, Salma" w:date="2026-04-27T08:25:00Z" w16du:dateUtc="2026-04-27T12:25:00Z">
            <w:rPr/>
          </w:rPrChange>
        </w:rPr>
        <w:t xml:space="preserve"> from Day 1 at the </w:t>
      </w:r>
      <w:r w:rsidRPr="003C4247">
        <w:rPr>
          <w:rFonts w:eastAsia="Arial" w:cs="Arial"/>
          <w:b/>
          <w:szCs w:val="24"/>
          <w:rPrChange w:id="29" w:author="El-Mously, Salma" w:date="2026-04-27T08:25:00Z" w16du:dateUtc="2026-04-27T12:25:00Z">
            <w:rPr>
              <w:rStyle w:val="CharacterBold"/>
            </w:rPr>
          </w:rPrChange>
        </w:rPr>
        <w:t>performance baseline</w:t>
      </w:r>
      <w:r w:rsidRPr="003C4247">
        <w:rPr>
          <w:rFonts w:eastAsia="Arial" w:cs="Arial"/>
          <w:szCs w:val="24"/>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rFonts w:eastAsia="Arial" w:cs="Arial"/>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szCs w:val="24"/>
        </w:rPr>
        <w:t>timely so disputes are resolved within the specified time</w:t>
      </w:r>
      <w:r w:rsidRPr="009D3190">
        <w:rPr>
          <w:rFonts w:eastAsia="Arial" w:cs="Arial"/>
          <w:szCs w:val="24"/>
        </w:rPr>
        <w:t>.</w:t>
      </w:r>
    </w:p>
    <w:p w14:paraId="2171BD5B" w14:textId="77777777" w:rsidR="005A568A" w:rsidRDefault="005A568A" w:rsidP="005A568A">
      <w:pPr>
        <w:spacing w:after="120"/>
      </w:pPr>
    </w:p>
    <w:p w14:paraId="237A211B" w14:textId="77777777" w:rsidR="005A568A" w:rsidRDefault="005A568A" w:rsidP="005A568A">
      <w:pPr>
        <w:spacing w:after="120"/>
      </w:pPr>
      <w:r>
        <w:rPr>
          <w:noProof/>
          <w:color w:val="444441"/>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szCs w:val="24"/>
        </w:rPr>
        <w:t xml:space="preserve">, </w:t>
      </w:r>
      <w:r w:rsidRPr="009D3190">
        <w:rPr>
          <w:szCs w:val="24"/>
        </w:rPr>
        <w:t xml:space="preserve">so CMS </w:t>
      </w:r>
      <w:r w:rsidR="003C4DFA" w:rsidRPr="009D3190">
        <w:rPr>
          <w:szCs w:val="24"/>
        </w:rPr>
        <w:t xml:space="preserve">can remain confident that dispute patterns are </w:t>
      </w:r>
      <w:r w:rsidR="00863FB0" w:rsidRPr="009D3190">
        <w:rPr>
          <w:szCs w:val="24"/>
        </w:rPr>
        <w:t>being addressed methodically</w:t>
      </w:r>
      <w:r w:rsidRPr="009D3190">
        <w:rPr>
          <w:szCs w:val="24"/>
        </w:rPr>
        <w:t>.</w:t>
      </w:r>
      <w:r w:rsidR="00792BD2" w:rsidRPr="009D3190">
        <w:rPr>
          <w:szCs w:val="24"/>
        </w:rPr>
        <w:t xml:space="preserve"> </w:t>
      </w:r>
      <w:r w:rsidR="008C5842" w:rsidRPr="009D3190">
        <w:rPr>
          <w:rFonts w:eastAsia="Arial" w:cs="Arial"/>
          <w:szCs w:val="24"/>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rFonts w:cs="Arial"/>
          <w:szCs w:val="24"/>
        </w:rPr>
        <w:t>When QA surfaces an inconsistency, the finding becomes a</w:t>
      </w:r>
      <w:r w:rsidRPr="009D3190">
        <w:rPr>
          <w:rFonts w:cs="Arial"/>
          <w:szCs w:val="24"/>
        </w:rPr>
        <w:t xml:space="preserve"> training </w:t>
      </w:r>
      <w:r w:rsidR="00E4649D" w:rsidRPr="009D3190">
        <w:rPr>
          <w:rFonts w:cs="Arial"/>
          <w:szCs w:val="24"/>
        </w:rPr>
        <w:t>scenario</w:t>
      </w:r>
      <w:r w:rsidRPr="009D3190">
        <w:rPr>
          <w:rFonts w:cs="Arial"/>
          <w:szCs w:val="24"/>
        </w:rPr>
        <w:t xml:space="preserve"> and </w:t>
      </w:r>
      <w:r w:rsidR="00E4649D" w:rsidRPr="009D3190">
        <w:rPr>
          <w:rFonts w:cs="Arial"/>
          <w:szCs w:val="24"/>
        </w:rPr>
        <w:t xml:space="preserve">an </w:t>
      </w:r>
      <w:r w:rsidRPr="009D3190">
        <w:rPr>
          <w:rFonts w:cs="Arial"/>
          <w:szCs w:val="24"/>
        </w:rPr>
        <w:t xml:space="preserve">SOP </w:t>
      </w:r>
      <w:r w:rsidR="00E4649D" w:rsidRPr="009D3190">
        <w:rPr>
          <w:rFonts w:cs="Arial"/>
          <w:szCs w:val="24"/>
        </w:rPr>
        <w:t>update</w:t>
      </w:r>
      <w:r w:rsidRPr="003C4247">
        <w:rPr>
          <w:rFonts w:eastAsia="Arial" w:cs="Arial"/>
          <w:szCs w:val="24"/>
          <w:rPrChange w:id="36" w:author="El-Mously, Salma" w:date="2026-04-27T08:25:00Z" w16du:dateUtc="2026-04-27T12:25:00Z">
            <w:rPr/>
          </w:rPrChange>
        </w:rPr>
        <w:t xml:space="preserve">. </w:t>
      </w:r>
      <w:r w:rsidRPr="009D3190">
        <w:rPr>
          <w:rFonts w:cs="Arial"/>
          <w:szCs w:val="24"/>
        </w:rPr>
        <w:t xml:space="preserve">Technical assistance calls with issuers (3–4 per month) </w:t>
      </w:r>
      <w:r w:rsidR="00AA50C0" w:rsidRPr="009D3190">
        <w:rPr>
          <w:rFonts w:cs="Arial"/>
          <w:szCs w:val="24"/>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rFonts w:cs="Arial"/>
          <w:b/>
          <w:szCs w:val="24"/>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rFonts w:ascii="Arial Narrow" w:eastAsia="Arial" w:hAnsi="Arial Narrow" w:cs="Arial"/>
          <w:szCs w:val="24"/>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rFonts w:ascii="Arial" w:eastAsia="Arial" w:hAnsi="Arial" w:cs="Arial"/>
                <w:bCs/>
                <w:szCs w:val="20"/>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rFonts w:ascii="Arial" w:eastAsia="Arial" w:hAnsi="Arial" w:cs="Arial"/>
                <w:bCs/>
                <w:szCs w:val="20"/>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rFonts w:ascii="Arial" w:hAnsi="Arial" w:cs="Arial"/>
                <w:sz w:val="20"/>
                <w:szCs w:val="20"/>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rFonts w:ascii="Arial" w:hAnsi="Arial" w:cs="Arial"/>
                <w:sz w:val="20"/>
                <w:szCs w:val="20"/>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rFonts w:ascii="Arial" w:hAnsi="Arial" w:cs="Arial"/>
                <w:sz w:val="20"/>
                <w:szCs w:val="20"/>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color w:val="FF0000"/>
        </w:rPr>
        <w:t xml:space="preserve">(2 </w:t>
      </w:r>
      <w:commentRangeStart w:id="43"/>
      <w:commentRangeStart w:id="44"/>
      <w:r w:rsidRPr="00806273">
        <w:rPr>
          <w:color w:val="FF0000"/>
        </w:rPr>
        <w:t>Pages</w:t>
      </w:r>
      <w:commentRangeEnd w:id="43"/>
      <w:r w:rsidR="008E092C" w:rsidRPr="00806273">
        <w:rPr>
          <w:rStyle w:val="CommentReference"/>
          <w:color w:val="FF0000"/>
          <w:sz w:val="24"/>
          <w:szCs w:val="26"/>
        </w:rPr>
        <w:commentReference w:id="43"/>
      </w:r>
      <w:commentRangeEnd w:id="44"/>
      <w:r w:rsidR="0027044E" w:rsidRPr="00806273">
        <w:rPr>
          <w:rStyle w:val="CommentReference"/>
          <w:color w:val="FF0000"/>
          <w:sz w:val="24"/>
          <w:szCs w:val="26"/>
        </w:rPr>
        <w:commentReference w:id="44"/>
      </w:r>
      <w:r w:rsidRPr="00806273">
        <w:rPr>
          <w:color w:val="FF0000"/>
        </w:rPr>
        <w:t>)</w:t>
      </w:r>
    </w:p>
    <w:p w14:paraId="3621067C" w14:textId="77777777" w:rsidR="008A2E01" w:rsidRDefault="008A2E01" w:rsidP="008A2E01">
      <w:pPr>
        <w:pStyle w:val="Subheading1"/>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commentRangeStart w:id="45"/>
      <w:r w:rsidR="00437C78" w:rsidRPr="00D435B1">
        <w:rPr>
          <w:rStyle w:val="CommentReference"/>
          <w:sz w:val="24"/>
          <w:szCs w:val="22"/>
        </w:rPr>
        <w:commentReference w:id="46"/>
      </w:r>
      <w:commentRangeEnd w:id="45"/>
      <w:r w:rsidR="00437C78" w:rsidRPr="00D435B1">
        <w:rPr>
          <w:rStyle w:val="CommentReference"/>
          <w:sz w:val="24"/>
          <w:szCs w:val="22"/>
        </w:rPr>
        <w:commentReference w:id="45"/>
      </w:r>
      <w:commentRangeStart w:id="46"/>
      <w:commentRangeEnd w:id="46"/>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color w:val="0000CC"/>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Subheading1"/>
      </w:pPr>
      <w:r>
        <w:t>Our Approach</w:t>
      </w:r>
    </w:p>
    <w:p w14:paraId="44FF0D6F" w14:textId="4A8DE3F9" w:rsidR="00C957A5" w:rsidRPr="00C957A5" w:rsidRDefault="008E261F" w:rsidP="00C957A5">
      <w:pPr>
        <w:pStyle w:val="BodyText"/>
      </w:pPr>
      <w:r>
        <w:rPr>
          <w:color w:val="0000CC"/>
        </w:rPr>
        <w:t xml:space="preserve">Deloitte will operate the Form 1095-A consumer dispute function as a three-lane resolution operation from Day 1, building on the shared transition-in approach. </w:t>
      </w:r>
      <w:r w:rsidR="00685F32">
        <w:rPr>
          <w:color w:val="0000CC"/>
        </w:rPr>
        <w:t xml:space="preserve">Our approach is organized across four dimensions; </w:t>
      </w:r>
      <w:r w:rsidR="00B560B1">
        <w:rPr>
          <w:color w:val="0000CC"/>
        </w:rPr>
        <w:t>Steady-state case resolutio</w:t>
      </w:r>
      <w:r w:rsidR="00B52075">
        <w:rPr>
          <w:color w:val="0000CC"/>
        </w:rPr>
        <w:t xml:space="preserve">n, tax season surge readiness, </w:t>
      </w:r>
      <w:r w:rsidR="001A2BBE">
        <w:rPr>
          <w:color w:val="0000CC"/>
        </w:rPr>
        <w:t>trend identification</w:t>
      </w:r>
      <w:r>
        <w:rPr>
          <w:color w:val="0000CC"/>
        </w:rPr>
        <w:t xml:space="preserve"> and </w:t>
      </w:r>
      <w:r w:rsidR="001A2BBE">
        <w:rPr>
          <w:color w:val="0000CC"/>
        </w:rPr>
        <w:t>process</w:t>
      </w:r>
      <w:r>
        <w:rPr>
          <w:color w:val="0000CC"/>
        </w:rPr>
        <w:t xml:space="preserve"> improvement, and </w:t>
      </w:r>
      <w:r w:rsidR="001A2BBE">
        <w:rPr>
          <w:color w:val="0000CC"/>
        </w:rPr>
        <w:t>Quality assurance.</w:t>
      </w:r>
      <w:r w:rsidR="001A2BBE" w:rsidRPr="00C957A5" w:rsidDel="008E261F">
        <w:t xml:space="preserve"> </w:t>
      </w:r>
      <w:commentRangeStart w:id="47"/>
      <w:commentRangeEnd w:id="47"/>
      <w:r w:rsidR="00914960" w:rsidRPr="00C957A5">
        <w:rPr>
          <w:rStyle w:val="CommentReference"/>
          <w:sz w:val="24"/>
          <w:szCs w:val="22"/>
        </w:rPr>
        <w:commentReference w:id="47"/>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commentRangeStart w:id="48"/>
      <w:commentRangeEnd w:id="48"/>
      <w:r>
        <w:rPr>
          <w:rStyle w:val="CommentReference"/>
          <w:b/>
          <w:bCs/>
          <w:sz w:val="24"/>
          <w:szCs w:val="22"/>
        </w:rPr>
        <w:commentReference w:id="48"/>
      </w: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sz w:val="20"/>
                <w:szCs w:val="20"/>
              </w:rPr>
              <w:t>Mailing Address Update (</w:t>
            </w:r>
            <w:r w:rsidR="00230747" w:rsidRPr="00802C4A">
              <w:rPr>
                <w:sz w:val="20"/>
                <w:szCs w:val="20"/>
              </w:rPr>
              <w:t>MAU</w:t>
            </w:r>
            <w:r>
              <w:rPr>
                <w:sz w:val="20"/>
                <w:szCs w:val="20"/>
              </w:rPr>
              <w:t>)</w:t>
            </w:r>
            <w:r w:rsidR="00230747" w:rsidRPr="00802C4A">
              <w:rPr>
                <w:sz w:val="20"/>
                <w:szCs w:val="20"/>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sz w:val="20"/>
                <w:szCs w:val="20"/>
              </w:rPr>
              <w:t>Failed automations move to same-day fallout triage</w:t>
            </w:r>
          </w:p>
          <w:p w14:paraId="0ED205A4" w14:textId="77777777" w:rsidR="00C8174E" w:rsidRPr="00802C4A" w:rsidRDefault="00C8174E" w:rsidP="00C8174E">
            <w:pPr>
              <w:pStyle w:val="BodyText"/>
              <w:rPr>
                <w:sz w:val="20"/>
                <w:szCs w:val="20"/>
              </w:rPr>
            </w:pPr>
            <w:r w:rsidRPr="00802C4A">
              <w:rPr>
                <w:sz w:val="20"/>
                <w:szCs w:val="20"/>
              </w:rPr>
              <w:t>Fallout reviewed weekly to refine rules and reduce manual touch</w:t>
            </w:r>
          </w:p>
          <w:p w14:paraId="0C0C1693" w14:textId="77777777" w:rsidR="005E38D9" w:rsidRPr="00802C4A" w:rsidRDefault="005E38D9" w:rsidP="005E38D9">
            <w:pPr>
              <w:pStyle w:val="BodyText"/>
              <w:rPr>
                <w:sz w:val="20"/>
                <w:szCs w:val="20"/>
              </w:rPr>
            </w:pPr>
            <w:r w:rsidRPr="00802C4A">
              <w:rPr>
                <w:sz w:val="20"/>
                <w:szCs w:val="20"/>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sz w:val="20"/>
                <w:szCs w:val="20"/>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sz w:val="20"/>
                <w:szCs w:val="20"/>
              </w:rPr>
              <w:t>SEP MAU cases handled in a separate tracked workflow</w:t>
            </w:r>
          </w:p>
          <w:p w14:paraId="2EB08627" w14:textId="77777777" w:rsidR="00B214AF" w:rsidRPr="00802C4A" w:rsidRDefault="00B214AF" w:rsidP="00B214AF">
            <w:pPr>
              <w:pStyle w:val="BodyText"/>
              <w:rPr>
                <w:sz w:val="20"/>
                <w:szCs w:val="20"/>
              </w:rPr>
            </w:pPr>
            <w:r w:rsidRPr="00802C4A">
              <w:rPr>
                <w:sz w:val="20"/>
                <w:szCs w:val="20"/>
              </w:rPr>
              <w:t>Live outbound call first; written correspondence as needed</w:t>
            </w:r>
          </w:p>
          <w:p w14:paraId="45174BB4" w14:textId="77777777" w:rsidR="00B214AF" w:rsidRPr="00802C4A" w:rsidRDefault="00B214AF" w:rsidP="00B214AF">
            <w:pPr>
              <w:pStyle w:val="BodyText"/>
              <w:rPr>
                <w:sz w:val="20"/>
                <w:szCs w:val="20"/>
              </w:rPr>
            </w:pPr>
            <w:r w:rsidRPr="00802C4A">
              <w:rPr>
                <w:sz w:val="20"/>
                <w:szCs w:val="20"/>
              </w:rPr>
              <w:t>Aging alerts flag at-risk cases for supervisor action</w:t>
            </w:r>
          </w:p>
          <w:p w14:paraId="2BCE705A" w14:textId="54AADD42" w:rsidR="00C957A5" w:rsidRPr="00802C4A" w:rsidRDefault="00B214AF" w:rsidP="00C957A5">
            <w:pPr>
              <w:pStyle w:val="BodyText"/>
              <w:rPr>
                <w:sz w:val="20"/>
                <w:szCs w:val="20"/>
              </w:rPr>
            </w:pPr>
            <w:r w:rsidRPr="00802C4A">
              <w:rPr>
                <w:sz w:val="20"/>
                <w:szCs w:val="20"/>
              </w:rPr>
              <w:t xml:space="preserve">Resolved after consumer notification and change </w:t>
            </w:r>
            <w:r w:rsidR="00C957A5" w:rsidRPr="00802C4A">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sz w:val="20"/>
                <w:szCs w:val="20"/>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sz w:val="20"/>
                <w:szCs w:val="20"/>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sz w:val="20"/>
                <w:szCs w:val="20"/>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sz w:val="20"/>
                <w:szCs w:val="20"/>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sz w:val="20"/>
                <w:szCs w:val="20"/>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sz w:val="20"/>
                <w:szCs w:val="20"/>
              </w:rPr>
              <w:t>Resolved after consumer notification and change queued</w:t>
            </w:r>
          </w:p>
          <w:p w14:paraId="7F0F14D3" w14:textId="1A6BFA35" w:rsidR="00C957A5" w:rsidRPr="00802C4A" w:rsidRDefault="00431364" w:rsidP="00C957A5">
            <w:pPr>
              <w:pStyle w:val="BodyText"/>
              <w:rPr>
                <w:sz w:val="20"/>
                <w:szCs w:val="20"/>
              </w:rPr>
            </w:pPr>
            <w:commentRangeStart w:id="49"/>
            <w:commentRangeEnd w:id="49"/>
            <w:r w:rsidRPr="00802C4A">
              <w:rPr>
                <w:rStyle w:val="CommentReference"/>
                <w:sz w:val="20"/>
                <w:szCs w:val="20"/>
              </w:rPr>
              <w:commentReference w:id="49"/>
            </w: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color w:val="0000CC"/>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color w:val="0000CC"/>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color w:val="0000CC"/>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sz w:val="20"/>
                <w:szCs w:val="20"/>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sz w:val="20"/>
                <w:szCs w:val="20"/>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sz w:val="20"/>
                <w:szCs w:val="20"/>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color w:val="0000CC"/>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sz w:val="20"/>
                <w:szCs w:val="20"/>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sz w:val="20"/>
                <w:szCs w:val="20"/>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sz w:val="20"/>
                <w:szCs w:val="20"/>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sz w:val="20"/>
                <w:szCs w:val="2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commentRangeStart w:id="50"/>
            <w:commentRangeStart w:id="51"/>
            <w:r w:rsidRPr="002B3F7E">
              <w:rPr>
                <w:sz w:val="20"/>
                <w:szCs w:val="20"/>
              </w:rPr>
              <w:t>Deploy AI-assisted HICS text analysis, with CMS approva</w:t>
            </w:r>
            <w:r>
              <w:rPr>
                <w:sz w:val="20"/>
                <w:szCs w:val="20"/>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sz w:val="20"/>
                <w:szCs w:val="20"/>
              </w:rPr>
              <w:t>Help CMS detect emerging dispute trends faster than manual review alone</w:t>
            </w:r>
            <w:commentRangeEnd w:id="50"/>
            <w:r w:rsidR="009409F6" w:rsidRPr="0012587D">
              <w:rPr>
                <w:rStyle w:val="CommentReference"/>
                <w:sz w:val="20"/>
                <w:szCs w:val="20"/>
              </w:rPr>
              <w:commentReference w:id="50"/>
            </w:r>
            <w:commentRangeEnd w:id="51"/>
            <w:r w:rsidRPr="0012587D">
              <w:rPr>
                <w:rStyle w:val="CommentReference"/>
                <w:sz w:val="20"/>
                <w:szCs w:val="20"/>
              </w:rPr>
              <w:commentReference w:id="51"/>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color w:val="0000CC"/>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2329DED8" w14:textId="3BE20145" w:rsidR="005028F2" w:rsidRDefault="005028F2" w:rsidP="005028F2">
      <w:pPr>
        <w:pStyle w:val="TableTitle"/>
      </w:pPr>
      <w:r w:rsidRPr="006E03C0">
        <w:t>Table 1.2.2-1. Three-Lane 1095-A Resolution Model.</w:t>
      </w: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color w:val="FF0000"/>
        </w:rPr>
        <w:t>(2.5 Pages)</w:t>
      </w:r>
    </w:p>
    <w:p w14:paraId="2B4613B0" w14:textId="6E74118D" w:rsidR="00F429D6" w:rsidRPr="003414BC" w:rsidRDefault="6DFF3885" w:rsidP="003414BC">
      <w:pPr>
        <w:pStyle w:val="Subheading1"/>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Subheading1"/>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1.2.3-1. Five-Stage CCHC Case Workflow.</w:t>
      </w:r>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commentRangeStart w:id="53"/>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commentRangeEnd w:id="53"/>
      <w:r w:rsidR="00041619" w:rsidRPr="00CB0E94">
        <w:rPr>
          <w:rStyle w:val="CommentReference"/>
          <w:sz w:val="24"/>
          <w:szCs w:val="22"/>
        </w:rPr>
        <w:commentReference w:id="53"/>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1.2.3-2. Reporting Outputs and CMS Actions.</w:t>
      </w:r>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 applying the same surge readiness principles as Task 3: caseworkers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hold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r w:rsidR="00AE30B9" w:rsidRPr="00352B37"/>
      <w:r w:rsidRPr="00352B37"/>
      <w:r w:rsidR="00AE30B9" w:rsidRPr="00352B37"/>
      <w:r w:rsidRPr="00352B37"/>
      <w:r w:rsidR="00AE30B9" w:rsidRPr="00352B37"/>
      <w:r w:rsidRPr="00352B37"/>
      <w:r w:rsidR="00AE30B9" w:rsidRPr="00352B37"/>
      <w:r w:rsidRPr="00352B37"/>
      <w:r w:rsidR="00AE30B9" w:rsidRPr="00352B37"/>
      <w:r w:rsidRPr="00352B37"/>
      <w:r w:rsidR="00AE30B9" w:rsidRPr="00352B37"/>
      <w:r w:rsidR="008C45DC" w:rsidRPr="00352B37"/>
      <w:r w:rsidR="004B5D52" w:rsidRPr="00352B37"/>
    </w:p>
    <w:p w14:paraId="1832B221" w14:textId="6C3EE67E" w:rsidR="001D0EC2" w:rsidRDefault="00D14B6C" w:rsidP="00D14B6C">
      <w:pPr>
        <w:pStyle w:val="TableTitle"/>
      </w:pPr>
      <w:r w:rsidRPr="006E03C0">
        <w:t>Table 1.2.3-3. Capacity and Surge Plan.</w:t>
      </w:r>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color w:val="FF0000"/>
        </w:rPr>
        <w:t>(</w:t>
      </w:r>
      <w:r w:rsidR="00806273">
        <w:rPr>
          <w:color w:val="FF0000"/>
        </w:rPr>
        <w:t>0</w:t>
      </w:r>
      <w:r w:rsidR="00806273" w:rsidRPr="00806273">
        <w:rPr>
          <w:color w:val="FF0000"/>
        </w:rPr>
        <w:t>.5 Pages)</w:t>
      </w:r>
    </w:p>
    <w:p w14:paraId="23473FBC" w14:textId="507ED1DA" w:rsidR="003414BC" w:rsidRPr="003414BC" w:rsidRDefault="3B978732" w:rsidP="003414BC">
      <w:pPr>
        <w:pStyle w:val="Subheading1"/>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Subheading1"/>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commentRangeStart w:id="55"/>
      <w:r w:rsidRPr="00627BD5">
        <w:t>is</w:t>
      </w:r>
      <w:commentRangeEnd w:id="55"/>
      <w:r w:rsidR="00A70C01" w:rsidRPr="00627BD5">
        <w:rPr>
          <w:rStyle w:val="CommentReference"/>
          <w:sz w:val="24"/>
          <w:szCs w:val="22"/>
        </w:rPr>
        <w:commentReference w:id="55"/>
      </w:r>
      <w:r w:rsidRPr="00627BD5">
        <w:t>.</w:t>
      </w:r>
    </w:p>
    <w:p w14:paraId="56671F9A" w14:textId="7E0F2A24" w:rsidR="00D14B6C" w:rsidRDefault="00D14B6C" w:rsidP="00D14B6C">
      <w:pPr>
        <w:pStyle w:val="TableTitle"/>
      </w:pPr>
      <w:r w:rsidRPr="006E03C0">
        <w:t>Table 1.2.4-1. FFE Submission Pipeline by Type.</w:t>
      </w:r>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color w:val="FF0000"/>
        </w:rPr>
        <w:t>(</w:t>
      </w:r>
      <w:r w:rsidR="00806273">
        <w:rPr>
          <w:color w:val="FF0000"/>
        </w:rPr>
        <w:t>0</w:t>
      </w:r>
      <w:r w:rsidR="00806273" w:rsidRPr="00806273">
        <w:rPr>
          <w:color w:val="FF0000"/>
        </w:rPr>
        <w:t>.5 Pages)</w:t>
      </w:r>
    </w:p>
    <w:p w14:paraId="33F4B90F" w14:textId="6E74118D" w:rsidR="003414BC" w:rsidRPr="003414BC" w:rsidRDefault="2E3BCAED" w:rsidP="00D55FDC">
      <w:pPr>
        <w:pStyle w:val="Subheading1"/>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Subheading1"/>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1.2.5-1. Notice Generation Pipeline Controls.</w:t>
      </w:r>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0D19DD1D" w14:textId="0B480CD7" w:rsidR="00403FEC" w:rsidRDefault="00CB47AD" w:rsidP="00CB47AD">
      <w:pPr>
        <w:pStyle w:val="TableTitle"/>
      </w:pPr>
      <w:r w:rsidRPr="006E03C0">
        <w:t>Table 1.2.5-2. Task 6 Challenges and Mitigations.</w:t>
      </w:r>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BC0D7B2" w14:textId="0B59285B" w:rsidR="00A54BF5" w:rsidRDefault="003414BC" w:rsidP="00A54BF5">
      <w:pPr>
        <w:pStyle w:val="Heading3"/>
      </w:pPr>
      <w:bookmarkStart w:id="57" w:name="_Toc227883182"/>
      <w:commentRangeStart w:id="58"/>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color w:val="FF0000"/>
        </w:rPr>
        <w:t>(2 Pages)</w:t>
      </w:r>
      <w:commentRangeEnd w:id="58"/>
      <w:r w:rsidR="00F44734">
        <w:rPr>
          <w:rStyle w:val="CommentReference"/>
          <w:sz w:val="24"/>
          <w:szCs w:val="26"/>
        </w:rPr>
        <w:commentReference w:id="58"/>
      </w:r>
    </w:p>
    <w:p w14:paraId="0FCD52AE" w14:textId="09F37755" w:rsidR="001B024F" w:rsidRPr="00AF4AB8" w:rsidRDefault="1140EB1A" w:rsidP="005D763D">
      <w:pPr>
        <w:pStyle w:val="BodyTextBulletIntro"/>
      </w:pPr>
      <w:r w:rsidRPr="00AF4AB8">
        <w:t>Task 7 is a multi-stakeholder, multi-channel resolution function that serves as the connected front door for stakeholder engagement across ER&amp;R, not a generic contact center. It supports consumers, issuers, Federally-facilitated Exchange (FFE) staff, State-based Exchanges (SBEs), employers, and related Marketplace partners through coordinated inbound and outbound calls, voicemail, issuer email support, and written correspondence. These channels are designed to move cases toward resolution with consistency, visibility, compliance, and continuous improvement. In this role, Task 7 helps CMS maintain trusted core operations while strengthening program performance over time through efficient workflows, deep Marketplace coordination, and integrity-embedded controls.</w:t>
      </w:r>
      <w:r w:rsidR="0006071A" w:rsidRPr="00AF4AB8"/>
      <w:r w:rsidR="00304F34" w:rsidRPr="00AF4AB8"/>
      <w:r w:rsidR="002440D5" w:rsidRPr="00AF4AB8"/>
      <w:r w:rsidR="00304F34" w:rsidRPr="00AF4AB8"/>
    </w:p>
    <w:p w14:paraId="31153E0E" w14:textId="5A66DADE" w:rsidR="00C14ED2" w:rsidRPr="00DD6CAA" w:rsidRDefault="008B3B3A" w:rsidP="005D763D">
      <w:pPr>
        <w:pStyle w:val="Bulletlevel1"/>
      </w:pPr>
      <w:r w:rsidRPr="005D763D">
        <w:rPr>
          <w:rStyle w:val="CharacterBold"/>
        </w:rPr>
        <w:t>Case resolution</w:t>
      </w:r>
      <w:r w:rsidR="001B024F" w:rsidRPr="005D763D">
        <w:rPr>
          <w:rStyle w:val="CharacterBold"/>
        </w:rPr>
        <w:t xml:space="preserve"> across a complex Marketplace ecosystem.</w:t>
      </w:r>
      <w:r w:rsidR="001B024F" w:rsidRPr="00DD6CAA">
        <w:t xml:space="preserve"> </w:t>
      </w:r>
      <w:r w:rsidR="00E02C30" w:rsidRPr="00DD6CAA">
        <w:t xml:space="preserve">The SOW requires support for consumers, issuers, FFE staff, and SBEs, with direct handling of phone inquiries, voicemail, issuer call and email support, and outbound outreach where it can significantly expedite resolution. This requires end-to-end understanding of how consumer disputes, issuer coordination, Form 1095-A casework, Exchange Call Center interactions, system-enabled research, and </w:t>
      </w:r>
      <w:r w:rsidR="00C14ED2" w:rsidRPr="00DD6CAA">
        <w:t xml:space="preserve">written correspondence intersect </w:t>
      </w:r>
      <w:r w:rsidR="00627892" w:rsidRPr="00DD6CAA">
        <w:t>within the resolution lifecy</w:t>
      </w:r>
      <w:r w:rsidR="00C1424F" w:rsidRPr="00DD6CAA">
        <w:t>cle</w:t>
      </w:r>
      <w:r w:rsidR="00C14ED2" w:rsidRPr="00DD6CAA">
        <w:t>.</w:t>
      </w:r>
    </w:p>
    <w:p w14:paraId="7930D89C" w14:textId="3AF0EA5E" w:rsidR="001B024F" w:rsidRPr="001B024F" w:rsidRDefault="008B3B3A" w:rsidP="005D763D">
      <w:pPr>
        <w:pStyle w:val="Bulletlevel1"/>
      </w:pPr>
      <w:r w:rsidRPr="005D763D">
        <w:rPr>
          <w:rStyle w:val="CharacterBold"/>
        </w:rPr>
        <w:t>M</w:t>
      </w:r>
      <w:r w:rsidR="001B024F" w:rsidRPr="005D763D">
        <w:rPr>
          <w:rStyle w:val="CharacterBold"/>
        </w:rPr>
        <w:t>ulti-stakeholder by design</w:t>
      </w:r>
      <w:r w:rsidR="00667EB1" w:rsidRPr="005D763D">
        <w:rPr>
          <w:rStyle w:val="CharacterBold"/>
        </w:rPr>
        <w:t xml:space="preserve"> with necessary coordinated handoffs</w:t>
      </w:r>
      <w:r w:rsidR="001B024F" w:rsidRPr="005D763D">
        <w:rPr>
          <w:rStyle w:val="CharacterBold"/>
        </w:rPr>
        <w:t>.</w:t>
      </w:r>
      <w:r w:rsidR="001B024F" w:rsidRPr="001B024F">
        <w:t xml:space="preserve"> </w:t>
      </w:r>
      <w:r w:rsidR="00F72E63">
        <w:t xml:space="preserve">Stakeholders include </w:t>
      </w:r>
      <w:r w:rsidR="00F72E63" w:rsidRPr="00F72E63">
        <w:t>CMS, issuers, states, the Exchange Call Center, the Eligibility Support contractor, the Print contractor, FMPS, and other Marketplace support teams.</w:t>
      </w:r>
      <w:r w:rsidR="001B024F" w:rsidRPr="001B024F">
        <w:t xml:space="preserve"> </w:t>
      </w:r>
      <w:r w:rsidR="0089511F" w:rsidRPr="0089511F">
        <w:t xml:space="preserve">Consumers need clear, plain-language support and sensitive handling of enrollment and eligibility issues. Issuers need precise operational coordination, documented communications, and timely follow-up. FFE staff, SBEs, and other partners need clear </w:t>
      </w:r>
      <w:r w:rsidR="00F72E63" w:rsidRPr="00F72E63">
        <w:t>transfers</w:t>
      </w:r>
      <w:r w:rsidR="0089511F" w:rsidRPr="0089511F">
        <w:t>, current case status, and dependable follow-through across organizational boundaries.</w:t>
      </w:r>
    </w:p>
    <w:p w14:paraId="7C5EC0D7" w14:textId="77777777" w:rsidR="00DB56E8" w:rsidRPr="00DB56E8" w:rsidRDefault="008B3B3A" w:rsidP="005D763D">
      <w:pPr>
        <w:pStyle w:val="Bulletlevel1"/>
      </w:pPr>
      <w:r w:rsidRPr="005D763D">
        <w:rPr>
          <w:rStyle w:val="CharacterBold"/>
        </w:rPr>
        <w:t>C</w:t>
      </w:r>
      <w:r w:rsidR="001B024F" w:rsidRPr="005D763D">
        <w:rPr>
          <w:rStyle w:val="CharacterBold"/>
        </w:rPr>
        <w:t>losed-loop support workflow, not a set of disconnected channels.</w:t>
      </w:r>
      <w:r w:rsidR="001B024F" w:rsidRPr="001B024F">
        <w:t xml:space="preserve"> </w:t>
      </w:r>
      <w:r w:rsidR="00DB56E8" w:rsidRPr="00DB56E8">
        <w:t>Calls, voicemails, issuer emails, and written correspondence operate as a single integrated workflow so that each interaction advances the case, contributes to one visible case history, and supports downstream actions, formal decisions, and accurate status communication.</w:t>
      </w:r>
    </w:p>
    <w:p w14:paraId="17198048" w14:textId="5A19057E" w:rsidR="00EE51A7" w:rsidRPr="00EE51A7" w:rsidRDefault="001B024F" w:rsidP="005D763D">
      <w:pPr>
        <w:pStyle w:val="Bulletlevel1"/>
      </w:pPr>
      <w:r w:rsidRPr="005D763D">
        <w:rPr>
          <w:rStyle w:val="CharacterBold"/>
        </w:rPr>
        <w:t>Outbound support is a proactive resolution lever</w:t>
      </w:r>
      <w:r w:rsidR="00B348BC" w:rsidRPr="005D763D">
        <w:rPr>
          <w:rStyle w:val="CharacterBold"/>
        </w:rPr>
        <w:t>.</w:t>
      </w:r>
      <w:r w:rsidR="00EE51A7">
        <w:rPr>
          <w:b/>
          <w:bCs/>
        </w:rPr>
        <w:t xml:space="preserve"> </w:t>
      </w:r>
      <w:r w:rsidR="00AC1FEA" w:rsidRPr="00AC1FEA">
        <w:t xml:space="preserve">When live outreach can resolve missing information, confirm next steps, or unblock action faster than waiting for additional inbound contacts or written exchanges, Deloitte will use outbound support to reduce avoidable repeat effort for CMS, other contractor teams, issuers, consumers, and federal and state partners while improving speed to closure and </w:t>
      </w:r>
      <w:r w:rsidR="00144A2F">
        <w:t>overall</w:t>
      </w:r>
      <w:r w:rsidR="00EE51A7" w:rsidRPr="00EE51A7">
        <w:t xml:space="preserve"> </w:t>
      </w:r>
      <w:r w:rsidR="00AC1FEA" w:rsidRPr="00AC1FEA">
        <w:t>stakeholder experience</w:t>
      </w:r>
      <w:r w:rsidR="00EE51A7" w:rsidRPr="00EE51A7">
        <w:t>.</w:t>
      </w:r>
    </w:p>
    <w:p w14:paraId="2992D527" w14:textId="5B72ABAA" w:rsidR="001B024F" w:rsidRPr="00181397" w:rsidRDefault="00181397" w:rsidP="005D763D">
      <w:pPr>
        <w:pStyle w:val="Bulletlevel1"/>
      </w:pPr>
      <w:r w:rsidRPr="005D763D">
        <w:rPr>
          <w:rStyle w:val="CharacterBold"/>
        </w:rPr>
        <w:lastRenderedPageBreak/>
        <w:t>Voicemail is a managed intake and follow-up channel, not overflow coverage.</w:t>
      </w:r>
      <w:r w:rsidRPr="00181397">
        <w:rPr>
          <w:b/>
          <w:bCs/>
        </w:rPr>
        <w:t xml:space="preserve"> </w:t>
      </w:r>
      <w:r w:rsidRPr="00181397">
        <w:t>CMS requires direct phone numbers with voicemail for after-hours, weekend, and holiday contacts, with response within one business day. That makes clear ownership, prioritization, age tracking, and timely follow-up important to performance</w:t>
      </w:r>
      <w:r w:rsidR="001B024F" w:rsidRPr="00181397">
        <w:t>.</w:t>
      </w:r>
    </w:p>
    <w:p w14:paraId="0107FB7C" w14:textId="2A4C8E4B" w:rsidR="001B024F" w:rsidRPr="001B024F" w:rsidRDefault="001B024F" w:rsidP="005D763D">
      <w:pPr>
        <w:pStyle w:val="Bulletlevel1"/>
      </w:pPr>
      <w:r w:rsidRPr="005D763D">
        <w:rPr>
          <w:rStyle w:val="CharacterBold"/>
        </w:rPr>
        <w:t>Issuer support is a distinct operating lane.</w:t>
      </w:r>
      <w:r w:rsidRPr="001B024F">
        <w:t xml:space="preserve"> </w:t>
      </w:r>
      <w:r w:rsidR="00D23922" w:rsidRPr="00825C68">
        <w:t>The contractor must provide issuer call and email support through the ER&amp;R Support Center, document communications in Enrollment Community, support mass issuer communications, and provide recommendations and testing support for enhancements tied to Enrollment Data Alignment</w:t>
      </w:r>
      <w:r w:rsidR="00E9069C" w:rsidRPr="00825C68">
        <w:t>.</w:t>
      </w:r>
    </w:p>
    <w:p w14:paraId="2A476E02" w14:textId="1D546518" w:rsidR="001B024F" w:rsidRPr="001B024F" w:rsidRDefault="001B024F" w:rsidP="005D763D">
      <w:pPr>
        <w:pStyle w:val="Bulletlevel1"/>
      </w:pPr>
      <w:r w:rsidRPr="005D763D">
        <w:rPr>
          <w:rStyle w:val="CharacterBold"/>
        </w:rPr>
        <w:t>Workforce management (WFM), quality assurance (QA), and training are core delivery enablers.</w:t>
      </w:r>
      <w:r w:rsidRPr="001B024F">
        <w:t xml:space="preserve"> </w:t>
      </w:r>
      <w:r w:rsidR="001C478E" w:rsidRPr="00825C68">
        <w:t>Because volumes fluctuate, policy direction evolves, and case complexity varies by stakeholder, Deloitte will use forecasting, scheduling, QA monitoring, script adherence, refresh training, and knowledge updates</w:t>
      </w:r>
      <w:r w:rsidR="00B80B34" w:rsidRPr="00825C68">
        <w:t xml:space="preserve"> to sustain performance</w:t>
      </w:r>
      <w:r w:rsidR="00E9069C" w:rsidRPr="00825C68">
        <w:t>.</w:t>
      </w:r>
    </w:p>
    <w:p w14:paraId="162DF907" w14:textId="17FE3C3B" w:rsidR="00A95AB5" w:rsidRPr="00A95AB5" w:rsidRDefault="001B024F" w:rsidP="005D763D">
      <w:pPr>
        <w:pStyle w:val="Bulletlevel1"/>
      </w:pPr>
      <w:r w:rsidRPr="005D763D">
        <w:rPr>
          <w:rStyle w:val="CharacterBold"/>
        </w:rPr>
        <w:t>Training, scripts, SOPs, and QRGs are control points for consistency</w:t>
      </w:r>
      <w:r w:rsidR="00EE51A7" w:rsidRPr="005D763D">
        <w:rPr>
          <w:rStyle w:val="CharacterBold"/>
        </w:rPr>
        <w:t>, compliance,</w:t>
      </w:r>
      <w:r w:rsidRPr="005D763D">
        <w:rPr>
          <w:rStyle w:val="CharacterBold"/>
        </w:rPr>
        <w:t xml:space="preserve"> and program integrity.</w:t>
      </w:r>
      <w:r w:rsidRPr="001B024F">
        <w:t xml:space="preserve"> </w:t>
      </w:r>
      <w:r w:rsidR="0036309D" w:rsidRPr="00825C68">
        <w:t>The SOW requires representatives to follow CMS-approved scripts and SOPs, recei</w:t>
      </w:r>
      <w:r w:rsidR="0079356F" w:rsidRPr="00825C68">
        <w:t>ve</w:t>
      </w:r>
      <w:r w:rsidR="0036309D" w:rsidRPr="00825C68">
        <w:t xml:space="preserve"> additional training as direction changes, and maintain </w:t>
      </w:r>
      <w:r w:rsidR="003C5484" w:rsidRPr="00825C68">
        <w:t xml:space="preserve">supporting </w:t>
      </w:r>
      <w:r w:rsidR="0036309D" w:rsidRPr="00825C68">
        <w:t>job aids and reference materials. Deloitte pair</w:t>
      </w:r>
      <w:r w:rsidR="00630A7B" w:rsidRPr="00825C68">
        <w:t>s</w:t>
      </w:r>
      <w:r w:rsidR="0036309D" w:rsidRPr="00825C68">
        <w:t xml:space="preserve"> these controls with efficient review and update processes </w:t>
      </w:r>
      <w:r w:rsidR="00A95AB5" w:rsidRPr="00825C68">
        <w:t>to keep the operation current without slowing delivery, while strengthening auditability, exception management, and prevention of process error and fraud, waste, and abuse risk</w:t>
      </w:r>
      <w:r w:rsidR="00A95AB5" w:rsidRPr="00A95AB5">
        <w:t>.</w:t>
      </w:r>
    </w:p>
    <w:p w14:paraId="411082ED" w14:textId="2D2E6281" w:rsidR="009702F9" w:rsidRPr="005D763D" w:rsidRDefault="009942F7" w:rsidP="005D763D">
      <w:pPr>
        <w:pStyle w:val="BodyText"/>
      </w:pPr>
      <w:r w:rsidRPr="005D763D">
        <w:rPr>
          <w:rStyle w:val="CharacterBold"/>
        </w:rPr>
        <w:t>I</w:t>
      </w:r>
      <w:r w:rsidR="009702F9" w:rsidRPr="005D763D">
        <w:rPr>
          <w:rStyle w:val="CharacterBold"/>
        </w:rPr>
        <w:t>mprovement engine and operational hub</w:t>
      </w:r>
      <w:r w:rsidR="009702F9" w:rsidRPr="005D763D">
        <w:t xml:space="preserve"> for the broader scope. Because it sits at the intersection of stakeholder contact, case status, recurring issues, and written communications, it </w:t>
      </w:r>
      <w:r w:rsidR="00F20F18" w:rsidRPr="005D763D">
        <w:t>provides</w:t>
      </w:r>
      <w:r w:rsidR="009702F9" w:rsidRPr="005D763D">
        <w:t xml:space="preserve"> CMS </w:t>
      </w:r>
      <w:r w:rsidR="002931EE" w:rsidRPr="005D763D">
        <w:t>with</w:t>
      </w:r>
      <w:r w:rsidR="009702F9" w:rsidRPr="005D763D">
        <w:t xml:space="preserve"> a practical mechanism to identify trends, recommend script and workflow refinements, improve stakeholder outreach</w:t>
      </w:r>
      <w:r w:rsidR="00F06EA5" w:rsidRPr="005D763D">
        <w:t xml:space="preserve"> effectiveness</w:t>
      </w:r>
      <w:r w:rsidR="009702F9" w:rsidRPr="005D763D">
        <w:t>, and inform system-support enhancements while maintaining stable day-to-day operations</w:t>
      </w:r>
      <w:r w:rsidR="0036309D" w:rsidRPr="005D763D">
        <w:t>.</w:t>
      </w:r>
    </w:p>
    <w:p w14:paraId="5DDC57AF" w14:textId="7D74441D" w:rsidR="0036309D" w:rsidRPr="005D763D" w:rsidRDefault="0036309D" w:rsidP="005D763D">
      <w:pPr>
        <w:pStyle w:val="BodyText"/>
      </w:pPr>
      <w:r w:rsidRPr="005D763D">
        <w:t xml:space="preserve">Taken together, Task 7 is best understood as an integrated contact and correspondence resolution hub with built-in improvement levers, helping CMS maintain accurate, compliant, and responsive Marketplace operations at scale for stakeholders across the country. </w:t>
      </w:r>
    </w:p>
    <w:p w14:paraId="2EE697C5" w14:textId="08E62817" w:rsidR="003C67C8" w:rsidRPr="00F45B3A" w:rsidRDefault="00214A20" w:rsidP="00F45B3A">
      <w:pPr>
        <w:pStyle w:val="Subheading1"/>
      </w:pPr>
      <w:r w:rsidRPr="00F45B3A">
        <w:t>Our Approach</w:t>
      </w:r>
    </w:p>
    <w:p w14:paraId="6D935309" w14:textId="77777777" w:rsidR="005D763D" w:rsidRPr="005D763D" w:rsidRDefault="00540A35" w:rsidP="005D763D">
      <w:pPr>
        <w:pStyle w:val="Subheading1"/>
      </w:pPr>
      <w:r w:rsidRPr="005D763D">
        <w:t>Positioning</w:t>
      </w:r>
    </w:p>
    <w:p w14:paraId="73E20146" w14:textId="33DAD7BE" w:rsidR="00FD35AC" w:rsidRDefault="0036309D" w:rsidP="005D763D">
      <w:pPr>
        <w:pStyle w:val="BodyText"/>
      </w:pPr>
      <w:r w:rsidRPr="00F45B3A">
        <w:t xml:space="preserve">Deloitte will provide a connected, integrated, and CMS-compliant multi-channel stakeholder support operation that accelerates resolution, improves stakeholder experience, and embeds program integrity into every interaction. </w:t>
      </w:r>
      <w:r w:rsidR="00FD35AC" w:rsidRPr="00F45B3A">
        <w:t>Calls</w:t>
      </w:r>
      <w:r w:rsidRPr="00F45B3A">
        <w:t xml:space="preserve">, voicemails, emails, written correspondence, and follow-up actions </w:t>
      </w:r>
      <w:r w:rsidR="00FD35AC" w:rsidRPr="00F45B3A">
        <w:t xml:space="preserve">will </w:t>
      </w:r>
      <w:r w:rsidRPr="00F45B3A">
        <w:t>contribute to one coordinated resolution path</w:t>
      </w:r>
      <w:r w:rsidR="00FD35AC" w:rsidRPr="00F45B3A">
        <w:t xml:space="preserve">, while </w:t>
      </w:r>
      <w:r w:rsidR="00533905" w:rsidRPr="00F45B3A">
        <w:t>Task 7 serves as connective tissue across written correspondence, CMS-provided case systems, SOP and QA governance, issuer coordination, Exchange Call Center interactions, and special-project support under the broader SOW</w:t>
      </w:r>
      <w:r w:rsidR="00FD35AC" w:rsidRPr="00F45B3A">
        <w:t>.</w:t>
      </w:r>
    </w:p>
    <w:p w14:paraId="70346DDA" w14:textId="5ABE7AA3" w:rsidR="0021148E" w:rsidRPr="005D763D" w:rsidRDefault="0021148E" w:rsidP="005D763D">
      <w:pPr>
        <w:pStyle w:val="BodyText"/>
      </w:pPr>
      <w:r w:rsidRPr="005D763D">
        <w:t>Task 7 will be delivered through a controlled, closed</w:t>
      </w:r>
      <w:r w:rsidRPr="005D763D">
        <w:rPr>
          <w:rFonts w:ascii="Cambria Math" w:hAnsi="Cambria Math" w:cs="Cambria Math"/>
        </w:rPr>
        <w:t>‑</w:t>
      </w:r>
      <w:r w:rsidRPr="005D763D">
        <w:t>loop resolution model that (1) governs stakeholder contact through CMS</w:t>
      </w:r>
      <w:r w:rsidRPr="005D763D">
        <w:rPr>
          <w:rFonts w:ascii="Cambria Math" w:hAnsi="Cambria Math" w:cs="Cambria Math"/>
        </w:rPr>
        <w:t>‑</w:t>
      </w:r>
      <w:r w:rsidRPr="005D763D">
        <w:t>approved scripts and workflows, (2) integrates multi</w:t>
      </w:r>
      <w:r w:rsidRPr="005D763D">
        <w:rPr>
          <w:rFonts w:ascii="Cambria Math" w:hAnsi="Cambria Math" w:cs="Cambria Math"/>
        </w:rPr>
        <w:t>‑</w:t>
      </w:r>
      <w:r w:rsidRPr="005D763D">
        <w:t>channel interactions into a single, traceable case flow, and (3) uses operational insight to inform continuous, CMS</w:t>
      </w:r>
      <w:r w:rsidRPr="005D763D">
        <w:rPr>
          <w:rFonts w:ascii="Cambria Math" w:hAnsi="Cambria Math" w:cs="Cambria Math"/>
        </w:rPr>
        <w:t>‑</w:t>
      </w:r>
      <w:r w:rsidRPr="005D763D">
        <w:t>aligned improvement.</w:t>
      </w:r>
    </w:p>
    <w:p w14:paraId="78A09CC6" w14:textId="6486B5E7" w:rsidR="008104BC" w:rsidRPr="008104BC" w:rsidRDefault="00EF6AFB" w:rsidP="008B5695">
      <w:pPr>
        <w:pStyle w:val="BodyText"/>
        <w:spacing w:after="120"/>
        <w:rPr>
          <w:b/>
        </w:rPr>
      </w:pPr>
      <w:r w:rsidRPr="008B5695">
        <w:rPr>
          <w:rStyle w:val="CharacterBold"/>
        </w:rPr>
        <w:t xml:space="preserve">1. </w:t>
      </w:r>
      <w:r w:rsidR="008104BC" w:rsidRPr="008B5695">
        <w:rPr>
          <w:b/>
        </w:rPr>
        <w:t xml:space="preserve">Operate </w:t>
      </w:r>
      <w:r w:rsidR="008104BC" w:rsidRPr="008104BC">
        <w:rPr>
          <w:b/>
        </w:rPr>
        <w:t>as a stakeholder-based resolution function</w:t>
      </w:r>
    </w:p>
    <w:p w14:paraId="684C76F6" w14:textId="08F445F1" w:rsidR="004E7BE1" w:rsidRPr="005D763D" w:rsidRDefault="008104BC" w:rsidP="005D763D">
      <w:pPr>
        <w:pStyle w:val="BodyText"/>
      </w:pPr>
      <w:r w:rsidRPr="005D763D">
        <w:lastRenderedPageBreak/>
        <w:t>We will organize Task 7 by stakeholder and case type, not just by channel, because consumers, issuers, FFE staff, SBEs, and related partners bring different questions, dependencies, documentation standards, escalation paths, and sensitivities. That stakeholder-aware model will allow Deloitte to tailor triage, routing, outreach, and communications while maintaining consistent controls across the operation</w:t>
      </w:r>
      <w:r w:rsidR="00ED6B9B" w:rsidRPr="005D763D">
        <w:t>.</w:t>
      </w:r>
    </w:p>
    <w:p w14:paraId="4039DD35" w14:textId="77777777" w:rsidR="00ED6B9B" w:rsidRPr="000F5AC7" w:rsidRDefault="008104BC" w:rsidP="000F5AC7">
      <w:pPr>
        <w:pStyle w:val="BodyText"/>
        <w:rPr>
          <w:b/>
        </w:rPr>
      </w:pPr>
      <w:r w:rsidRPr="000F5AC7">
        <w:rPr>
          <w:rStyle w:val="CharacterBold"/>
        </w:rPr>
        <w:t>2. Run a unified multi-channel workflow with closed-loop case visibility</w:t>
      </w:r>
    </w:p>
    <w:p w14:paraId="4B3994A9" w14:textId="5A7FA69A" w:rsidR="004E7BE1" w:rsidRPr="005D763D" w:rsidRDefault="008104BC" w:rsidP="005D763D">
      <w:pPr>
        <w:pStyle w:val="BodyText"/>
      </w:pPr>
      <w:r w:rsidRPr="005D763D">
        <w:t xml:space="preserve">We will integrate inbound calls, outbound calls, voicemail, issuer email support, and written correspondence so each touch advances resolution and contributes to one traceable case history. Interactions will be documented in </w:t>
      </w:r>
      <w:r w:rsidR="00443C59" w:rsidRPr="005D763D">
        <w:t>CERR</w:t>
      </w:r>
      <w:r w:rsidR="00393181" w:rsidRPr="005D763D">
        <w:t>S</w:t>
      </w:r>
      <w:r w:rsidRPr="005D763D">
        <w:t xml:space="preserve"> to support case status visibility, downstream processing, formal actions, and </w:t>
      </w:r>
      <w:r w:rsidR="00C347CE" w:rsidRPr="005D763D">
        <w:t xml:space="preserve">stakeholder </w:t>
      </w:r>
      <w:r w:rsidRPr="005D763D">
        <w:t>communications</w:t>
      </w:r>
      <w:r w:rsidR="00C347CE" w:rsidRPr="005D763D">
        <w:t>.</w:t>
      </w:r>
      <w:r w:rsidR="00EE7D8F" w:rsidRPr="005D763D">
        <w:t xml:space="preserve"> This closed-loop model supports Task 6 written correspondence, Task 8 system-enabled case research and tracking, Task 9 SOP and QA governance, and Task 10 helpdesk and special-project activities. In all telephone and correspondence support, Deloitte will follow CMS-approved SOPs and use </w:t>
      </w:r>
      <w:r w:rsidR="00DB6DD3" w:rsidRPr="005D763D">
        <w:t>CERRS</w:t>
      </w:r>
      <w:r w:rsidR="00393181" w:rsidRPr="005D763D">
        <w:t xml:space="preserve"> and </w:t>
      </w:r>
      <w:r w:rsidR="00667EB1" w:rsidRPr="005D763D">
        <w:t>integrated systems</w:t>
      </w:r>
      <w:r w:rsidR="00EE7D8F" w:rsidRPr="005D763D">
        <w:t xml:space="preserve"> to record communications, generate responses, and trigger formal decisions or planned actions so correspondence remains current, accurate, traceable, and governance-aligned.</w:t>
      </w:r>
    </w:p>
    <w:p w14:paraId="3CE0DA93" w14:textId="77777777" w:rsidR="008104BC" w:rsidRPr="008104BC" w:rsidRDefault="008104BC" w:rsidP="001F6229">
      <w:pPr>
        <w:pStyle w:val="BodyText"/>
        <w:rPr>
          <w:b/>
        </w:rPr>
      </w:pPr>
      <w:r w:rsidRPr="001F6229">
        <w:rPr>
          <w:rStyle w:val="CharacterBold"/>
        </w:rPr>
        <w:t>3. Use outbound support proactively to improve speed, efficiency, and experience</w:t>
      </w:r>
    </w:p>
    <w:p w14:paraId="75F4EFED" w14:textId="010EFC4E" w:rsidR="004E7BE1" w:rsidRPr="005D763D" w:rsidRDefault="008104BC" w:rsidP="005D763D">
      <w:pPr>
        <w:pStyle w:val="BodyText"/>
      </w:pPr>
      <w:r w:rsidRPr="005D763D">
        <w:t>We will treat outbound support as a proactive resolution lever, not just reactive follow-up. When live outreach can resolve missing information, confirm next steps, reduce back-and-forth, or unblock a case faster than written exchanges alone, Deloitte will prioritize outbound calls to reduce overall effort across consumers, issuers, CMS, and partner organizations while improving speed to closure and stakeholder experienc</w:t>
      </w:r>
      <w:r w:rsidR="00ED6B9B" w:rsidRPr="005D763D">
        <w:t>e.</w:t>
      </w:r>
    </w:p>
    <w:p w14:paraId="15BF390E" w14:textId="77777777" w:rsidR="008104BC" w:rsidRPr="008104BC" w:rsidRDefault="008104BC" w:rsidP="001F6229">
      <w:pPr>
        <w:pStyle w:val="BodyText"/>
        <w:rPr>
          <w:b/>
        </w:rPr>
      </w:pPr>
      <w:r w:rsidRPr="001F6229">
        <w:rPr>
          <w:rStyle w:val="CharacterBold"/>
        </w:rPr>
        <w:t>4. Manage voicemail as an SLA-driven workflow with AI-assisted triage opportunities</w:t>
      </w:r>
    </w:p>
    <w:p w14:paraId="66E39752" w14:textId="29760CC0" w:rsidR="00897913" w:rsidRPr="008104BC" w:rsidRDefault="008104BC" w:rsidP="001F6229">
      <w:pPr>
        <w:pStyle w:val="BodyText"/>
      </w:pPr>
      <w:r w:rsidRPr="008104BC">
        <w:t xml:space="preserve">We will manage voicemail as an active intake and follow-up queue with clear ownership, age tracking, prioritization, and one-business-day response compliance. Where approved by CMS, Deloitte </w:t>
      </w:r>
      <w:r w:rsidR="00897913" w:rsidRPr="00897913">
        <w:t>may</w:t>
      </w:r>
      <w:r w:rsidRPr="008104BC">
        <w:t xml:space="preserve"> apply </w:t>
      </w:r>
      <w:r w:rsidR="00897913" w:rsidRPr="00897913">
        <w:t>approved automation capabilities, such as</w:t>
      </w:r>
      <w:r w:rsidRPr="008104BC">
        <w:t xml:space="preserve"> transcription</w:t>
      </w:r>
      <w:r w:rsidR="00897913" w:rsidRPr="00897913">
        <w:t xml:space="preserve"> and </w:t>
      </w:r>
      <w:r w:rsidRPr="008104BC">
        <w:t>categorization, to help staff route messages faster, identify urgent or complex issues sooner, and improve responsiveness while preserving human oversight</w:t>
      </w:r>
      <w:r w:rsidR="00897913" w:rsidRPr="00897913">
        <w:t xml:space="preserve"> and </w:t>
      </w:r>
      <w:r w:rsidRPr="008104BC">
        <w:t>script compliance</w:t>
      </w:r>
      <w:r w:rsidR="00897913" w:rsidRPr="00897913">
        <w:t>.</w:t>
      </w:r>
    </w:p>
    <w:p w14:paraId="69D5198B" w14:textId="77777777" w:rsidR="008104BC" w:rsidRPr="008104BC" w:rsidRDefault="008104BC" w:rsidP="001F6229">
      <w:pPr>
        <w:pStyle w:val="BodyText"/>
        <w:rPr>
          <w:b/>
        </w:rPr>
      </w:pPr>
      <w:r w:rsidRPr="001F6229">
        <w:rPr>
          <w:rStyle w:val="CharacterBold"/>
        </w:rPr>
        <w:t>5. Deliver a distinct issuer-support operating lane</w:t>
      </w:r>
    </w:p>
    <w:p w14:paraId="5D62023A" w14:textId="1ECAE81A" w:rsidR="004E7BE1" w:rsidRPr="005D763D" w:rsidRDefault="008104BC" w:rsidP="001F6229">
      <w:pPr>
        <w:pStyle w:val="BodyText"/>
        <w:rPr>
          <w:rStyle w:val="CharacterBold"/>
          <w:b w:val="0"/>
        </w:rPr>
      </w:pPr>
      <w:r w:rsidRPr="008104BC">
        <w:t>We will provide a dedicated issuer-support workflow through the ER&amp;R Support Center for issuer calls and emails, documentation in Enrollment Community, coordinated mass issuer communications, and support for testing and recommending technical enhancements that improve Enrollment Data Alignment. This will help CMS address issuer needs with greater consistency, speed, and operational visibility</w:t>
      </w:r>
      <w:r w:rsidR="00ED6B9B">
        <w:t>.</w:t>
      </w:r>
    </w:p>
    <w:p w14:paraId="09C72238" w14:textId="77777777" w:rsidR="008104BC" w:rsidRPr="008104BC" w:rsidRDefault="008104BC" w:rsidP="001F6229">
      <w:pPr>
        <w:pStyle w:val="BodyText"/>
        <w:rPr>
          <w:b/>
        </w:rPr>
      </w:pPr>
      <w:r w:rsidRPr="001F6229">
        <w:rPr>
          <w:rStyle w:val="CharacterBold"/>
        </w:rPr>
        <w:t>6. Embed WFM, QA, training, and knowledge management into daily delivery</w:t>
      </w:r>
    </w:p>
    <w:p w14:paraId="133B0F39" w14:textId="3AD4F883" w:rsidR="004E7BE1" w:rsidRPr="008104BC" w:rsidRDefault="008104BC" w:rsidP="001F6229">
      <w:pPr>
        <w:pStyle w:val="BodyText"/>
      </w:pPr>
      <w:r w:rsidRPr="008104BC">
        <w:t xml:space="preserve">We will use WFM to forecast demand, align staffing to seasonal and intraday volume patterns, and maintain service continuity as volumes rise and fall. We will use QA to monitor call quality, script adherence, documentation accuracy, and stakeholder experience. We will use training and knowledge management to keep representatives current on Exchange policy, enrollment and eligibility processes, </w:t>
      </w:r>
      <w:r w:rsidRPr="008104BC">
        <w:lastRenderedPageBreak/>
        <w:t>script changes, SOP updates, and improvement actions so support remains consistent and compliant over time</w:t>
      </w:r>
      <w:r w:rsidR="00ED6B9B">
        <w:t>.</w:t>
      </w:r>
    </w:p>
    <w:p w14:paraId="224EBB7D" w14:textId="77777777" w:rsidR="008104BC" w:rsidRPr="008104BC" w:rsidRDefault="008104BC" w:rsidP="001F6229">
      <w:pPr>
        <w:pStyle w:val="BodyText"/>
        <w:rPr>
          <w:b/>
        </w:rPr>
      </w:pPr>
      <w:r w:rsidRPr="001F6229">
        <w:rPr>
          <w:rStyle w:val="CharacterBold"/>
        </w:rPr>
        <w:t>7. Coordinate handoffs across the Marketplace ecosystem</w:t>
      </w:r>
    </w:p>
    <w:p w14:paraId="498DD12F" w14:textId="21CA299C" w:rsidR="004E7BE1" w:rsidRPr="008104BC" w:rsidRDefault="008104BC" w:rsidP="001F6229">
      <w:pPr>
        <w:pStyle w:val="BodyText"/>
      </w:pPr>
      <w:r w:rsidRPr="008104BC">
        <w:t>We will manage a handoff-heavy operating environment with explicit ownership, standard transfer points, escalation triggers, and shared status visibility across CMS, issuers, states, SBEs, the Exchange Call Center, and related contractors. This will reduce rework, shorten cycle times, and lower the risk of dropped transfers or inconsistent stakeholder guidance</w:t>
      </w:r>
      <w:r w:rsidR="00ED6B9B">
        <w:t>.</w:t>
      </w:r>
      <w:r w:rsidR="00C512BA">
        <w:t xml:space="preserve"> </w:t>
      </w:r>
      <w:r w:rsidR="00B70E26" w:rsidRPr="00B70E26">
        <w:t>This</w:t>
      </w:r>
      <w:r w:rsidR="00C512BA" w:rsidRPr="00C512BA">
        <w:t xml:space="preserve"> model also supports casework originating in other tasks, where issuer disputes, Form 1095-A consumer disputes, complex case referrals, FFE updates, and ad hoc stakeholder needs require coordinated contact, follow-up, and documented status communication.</w:t>
      </w:r>
    </w:p>
    <w:p w14:paraId="391A8D9B" w14:textId="77777777" w:rsidR="008104BC" w:rsidRPr="008104BC" w:rsidRDefault="008104BC" w:rsidP="001F6229">
      <w:pPr>
        <w:pStyle w:val="BodyText"/>
        <w:rPr>
          <w:b/>
        </w:rPr>
      </w:pPr>
      <w:r w:rsidRPr="001F6229">
        <w:rPr>
          <w:rStyle w:val="CharacterBold"/>
        </w:rPr>
        <w:t>8. Pair operations with continuous improvement</w:t>
      </w:r>
    </w:p>
    <w:p w14:paraId="433745C5" w14:textId="3C7C3315" w:rsidR="004E7BE1" w:rsidRPr="008104BC" w:rsidRDefault="008104BC" w:rsidP="005D763D">
      <w:pPr>
        <w:pStyle w:val="BodyText"/>
      </w:pPr>
      <w:r w:rsidRPr="008104BC">
        <w:t>Using trends from calls, voicemails, issuer inquiries, escalations, and case activity, Deloitte will help CMS identify recurring pain points, recommend script updates, propose workflow refinements, and support practical system and process improvements. We will treat Task 7 as both a service-delivery function and a source of insight to improve Marketplace operations over time</w:t>
      </w:r>
      <w:r w:rsidR="00ED6B9B">
        <w:t>.</w:t>
      </w:r>
    </w:p>
    <w:p w14:paraId="18DC9EEF" w14:textId="0A25769A" w:rsidR="008104BC" w:rsidRPr="00806D2C" w:rsidRDefault="00806D2C" w:rsidP="005D763D">
      <w:pPr>
        <w:pStyle w:val="Subheading1"/>
        <w:rPr>
          <w:b w:val="0"/>
        </w:rPr>
      </w:pPr>
      <w:commentRangeStart w:id="59"/>
      <w:commentRangeStart w:id="60"/>
      <w:r w:rsidRPr="005D763D">
        <w:t>Stakeholder-based operating model</w:t>
      </w:r>
      <w:commentRangeEnd w:id="59"/>
      <w:r w:rsidR="00E72CE8" w:rsidRPr="00806D2C">
        <w:rPr>
          <w:rStyle w:val="CommentReference"/>
          <w:b w:val="0"/>
          <w:sz w:val="24"/>
          <w:szCs w:val="22"/>
        </w:rPr>
        <w:commentReference w:id="59"/>
      </w:r>
      <w:commentRangeEnd w:id="60"/>
      <w:r w:rsidRPr="00806D2C">
        <w:rPr>
          <w:rStyle w:val="CommentReference"/>
          <w:b w:val="0"/>
          <w:sz w:val="24"/>
          <w:szCs w:val="22"/>
        </w:rPr>
        <w:commentReference w:id="60"/>
      </w:r>
    </w:p>
    <w:p w14:paraId="06CD3736" w14:textId="126B5606" w:rsidR="004B7925" w:rsidRPr="004B7925" w:rsidRDefault="004B7925" w:rsidP="00F23ABD">
      <w:pPr>
        <w:pStyle w:val="Bulletlevel1"/>
      </w:pPr>
      <w:r w:rsidRPr="004B7925">
        <w:rPr>
          <w:b/>
          <w:bCs/>
        </w:rPr>
        <w:t xml:space="preserve">Consumers: </w:t>
      </w:r>
      <w:r w:rsidRPr="004B7925">
        <w:t>plain-language support, efficient follow-up, sensitivity to complex eligibility and enrollment issues, surge readiness for dispute periods and seasonal spikes</w:t>
      </w:r>
      <w:r w:rsidR="00E72CE8">
        <w:t>.</w:t>
      </w:r>
    </w:p>
    <w:p w14:paraId="09CBD50B" w14:textId="38ED4869" w:rsidR="004B7925" w:rsidRPr="004B7925" w:rsidRDefault="004B7925" w:rsidP="00F23ABD">
      <w:pPr>
        <w:pStyle w:val="Bulletlevel1"/>
      </w:pPr>
      <w:r w:rsidRPr="004B7925">
        <w:rPr>
          <w:b/>
          <w:bCs/>
        </w:rPr>
        <w:t xml:space="preserve">Issuers: </w:t>
      </w:r>
      <w:r w:rsidR="000D1764">
        <w:rPr>
          <w:b/>
          <w:bCs/>
        </w:rPr>
        <w:t xml:space="preserve"> </w:t>
      </w:r>
      <w:r w:rsidR="000D1764" w:rsidRPr="000D1764">
        <w:t>O</w:t>
      </w:r>
      <w:r w:rsidRPr="000D1764">
        <w:t xml:space="preserve">perationally </w:t>
      </w:r>
      <w:r w:rsidRPr="004B7925">
        <w:t>precise coordination, documented communications, targeted outreach, issue pattern analysis, and collective communications where recurring issues emerge</w:t>
      </w:r>
      <w:r w:rsidR="00E72CE8">
        <w:t>.</w:t>
      </w:r>
    </w:p>
    <w:p w14:paraId="6BB8CE96" w14:textId="7498315F" w:rsidR="004B7925" w:rsidRPr="004B7925" w:rsidRDefault="004B7925" w:rsidP="00F23ABD">
      <w:pPr>
        <w:pStyle w:val="Bulletlevel1"/>
      </w:pPr>
      <w:r w:rsidRPr="004B7925">
        <w:rPr>
          <w:b/>
          <w:bCs/>
        </w:rPr>
        <w:t xml:space="preserve">FFE staff / CMS partners: </w:t>
      </w:r>
      <w:r w:rsidRPr="004B7925">
        <w:t>escalation discipline, status visibility, clear transfers, and timely follow-through</w:t>
      </w:r>
      <w:r w:rsidR="00E72CE8">
        <w:t>.</w:t>
      </w:r>
    </w:p>
    <w:p w14:paraId="2BDA52E8" w14:textId="469B0F10" w:rsidR="004B7925" w:rsidRPr="004B7925" w:rsidRDefault="004B7925" w:rsidP="00F23ABD">
      <w:pPr>
        <w:pStyle w:val="Bulletlevel1"/>
      </w:pPr>
      <w:r w:rsidRPr="004B7925">
        <w:rPr>
          <w:b/>
          <w:bCs/>
        </w:rPr>
        <w:t>SBEs / state partners / related contractors</w:t>
      </w:r>
      <w:r>
        <w:t>:</w:t>
      </w:r>
      <w:r w:rsidRPr="004B7925">
        <w:t xml:space="preserve"> coordination across different resolution paths, documented interactions, and dependable turnaroun</w:t>
      </w:r>
      <w:r w:rsidR="00E72CE8">
        <w:t>d.</w:t>
      </w:r>
    </w:p>
    <w:p w14:paraId="0A64ED26" w14:textId="35424CAE" w:rsidR="008104BC" w:rsidRPr="004E7BE1" w:rsidRDefault="004B7925" w:rsidP="00F23ABD">
      <w:pPr>
        <w:pStyle w:val="Bulletlevel1"/>
      </w:pPr>
      <w:r w:rsidRPr="004B7925">
        <w:rPr>
          <w:b/>
          <w:bCs/>
        </w:rPr>
        <w:t xml:space="preserve">Employer-related stakeholders under Task 10: </w:t>
      </w:r>
      <w:r w:rsidRPr="004B7925">
        <w:t>call-center support, script-governed inquiries, transfers, triage, and recurring reporting</w:t>
      </w:r>
      <w:r>
        <w:t>.</w:t>
      </w:r>
    </w:p>
    <w:p w14:paraId="1BABF67C" w14:textId="77777777" w:rsidR="00753C8C" w:rsidRPr="00753C8C" w:rsidRDefault="00753C8C" w:rsidP="005D763D">
      <w:pPr>
        <w:pStyle w:val="Subheading1"/>
      </w:pPr>
      <w:r w:rsidRPr="00753C8C">
        <w:t>Key differentiators</w:t>
      </w:r>
    </w:p>
    <w:p w14:paraId="7083A5A5" w14:textId="3E6FA78C" w:rsidR="008A2CD3" w:rsidRPr="008A2CD3" w:rsidRDefault="008A2CD3" w:rsidP="00F23ABD">
      <w:pPr>
        <w:pStyle w:val="Bulletlevel1"/>
      </w:pPr>
      <w:r w:rsidRPr="008A2CD3">
        <w:rPr>
          <w:b/>
          <w:bCs/>
        </w:rPr>
        <w:t>Multi-stakeholder support model</w:t>
      </w:r>
      <w:r w:rsidRPr="008A2CD3">
        <w:t xml:space="preserve"> tailored to the Marketplace ecosystem, not generic queue management</w:t>
      </w:r>
      <w:r>
        <w:t>.</w:t>
      </w:r>
    </w:p>
    <w:p w14:paraId="0576A4C7" w14:textId="5E9FAEE9" w:rsidR="008A2CD3" w:rsidRPr="008A2CD3" w:rsidRDefault="008A2CD3" w:rsidP="00F23ABD">
      <w:pPr>
        <w:pStyle w:val="Bulletlevel1"/>
      </w:pPr>
      <w:r w:rsidRPr="008A2CD3">
        <w:rPr>
          <w:b/>
          <w:bCs/>
        </w:rPr>
        <w:t>Proactive outbound resolution</w:t>
      </w:r>
      <w:r w:rsidRPr="008A2CD3">
        <w:t xml:space="preserve"> used to reduce cycle time, repeat contacts, and stakeholder burden</w:t>
      </w:r>
      <w:r>
        <w:t>.</w:t>
      </w:r>
    </w:p>
    <w:p w14:paraId="339C2742" w14:textId="1FC973CE" w:rsidR="008A2CD3" w:rsidRPr="008A2CD3" w:rsidRDefault="008A2CD3" w:rsidP="00F23ABD">
      <w:pPr>
        <w:pStyle w:val="Bulletlevel1"/>
      </w:pPr>
      <w:r w:rsidRPr="008A2CD3">
        <w:rPr>
          <w:b/>
          <w:bCs/>
        </w:rPr>
        <w:t>Unified contact and correspondence workflow</w:t>
      </w:r>
      <w:r w:rsidRPr="008A2CD3">
        <w:t xml:space="preserve"> with full documentation and auditability</w:t>
      </w:r>
      <w:r>
        <w:t>.</w:t>
      </w:r>
    </w:p>
    <w:p w14:paraId="089AD4F7" w14:textId="730CBC77" w:rsidR="008A2CD3" w:rsidRPr="008A2CD3" w:rsidRDefault="008A2CD3" w:rsidP="00F23ABD">
      <w:pPr>
        <w:pStyle w:val="Bulletlevel1"/>
      </w:pPr>
      <w:r w:rsidRPr="008A2CD3">
        <w:rPr>
          <w:b/>
          <w:bCs/>
        </w:rPr>
        <w:t>Formal script, SOP, QA, and training governance</w:t>
      </w:r>
      <w:r w:rsidRPr="008A2CD3">
        <w:t xml:space="preserve"> tied to CMS-approved processes</w:t>
      </w:r>
      <w:r>
        <w:t>.</w:t>
      </w:r>
    </w:p>
    <w:p w14:paraId="197F6F53" w14:textId="4E92C706" w:rsidR="004E7BE1" w:rsidRPr="00F23ABD" w:rsidRDefault="008A2CD3" w:rsidP="00F23ABD">
      <w:pPr>
        <w:pStyle w:val="Bulletlevel1"/>
      </w:pPr>
      <w:r w:rsidRPr="008A2CD3">
        <w:rPr>
          <w:b/>
          <w:bCs/>
        </w:rPr>
        <w:t>Continuous-improvement engine</w:t>
      </w:r>
      <w:r w:rsidRPr="008A2CD3">
        <w:t xml:space="preserve"> that turns contact trends into better scripts, communications, and workflows</w:t>
      </w:r>
      <w:r>
        <w:t>.</w:t>
      </w:r>
    </w:p>
    <w:p w14:paraId="49C9197E" w14:textId="3EC7F6C1" w:rsidR="008A2CD3" w:rsidRDefault="007F098A" w:rsidP="00F23ABD">
      <w:pPr>
        <w:pStyle w:val="Subheading1"/>
        <w:rPr>
          <w:b w:val="0"/>
        </w:rPr>
      </w:pPr>
      <w:r w:rsidRPr="007F098A">
        <w:t>Illustrative metrics aligned to SOW reporting and KPI expectations</w:t>
      </w:r>
      <w:r w:rsidR="004E7BE1">
        <w:t>.</w:t>
      </w:r>
      <w:commentRangeStart w:id="61"/>
      <w:commentRangeStart w:id="62"/>
      <w:commentRangeEnd w:id="61"/>
      <w:r w:rsidR="004E7BE1">
        <w:rPr>
          <w:rStyle w:val="CommentReference"/>
          <w:b w:val="0"/>
          <w:sz w:val="24"/>
          <w:szCs w:val="22"/>
        </w:rPr>
        <w:commentReference w:id="61"/>
      </w:r>
      <w:commentRangeEnd w:id="62"/>
      <w:r>
        <w:rPr>
          <w:rStyle w:val="CommentReference"/>
          <w:b w:val="0"/>
          <w:sz w:val="24"/>
          <w:szCs w:val="22"/>
        </w:rPr>
        <w:commentReference w:id="62"/>
      </w:r>
    </w:p>
    <w:p w14:paraId="3A4A55B9" w14:textId="0478325A" w:rsidR="004E7BE1" w:rsidRPr="004E7BE1" w:rsidRDefault="004E7BE1" w:rsidP="004E7BE1">
      <w:pPr>
        <w:spacing w:after="0"/>
        <w:rPr>
          <w:rFonts w:ascii="Arial Narrow" w:hAnsi="Arial Narrow"/>
          <w:b/>
          <w:bCs/>
        </w:rPr>
      </w:pPr>
      <w:r>
        <w:rPr>
          <w:rFonts w:ascii="Arial Narrow" w:hAnsi="Arial Narrow"/>
          <w:b/>
          <w:bCs/>
        </w:rPr>
        <w:t>A</w:t>
      </w:r>
      <w:r w:rsidRPr="004E7BE1">
        <w:rPr>
          <w:rFonts w:ascii="Arial Narrow" w:hAnsi="Arial Narrow"/>
          <w:b/>
          <w:bCs/>
        </w:rPr>
        <w:t>ccess and responsiveness</w:t>
      </w:r>
    </w:p>
    <w:p w14:paraId="50C76AC1" w14:textId="77777777" w:rsidR="004E7BE1" w:rsidRPr="004E7BE1" w:rsidRDefault="004E7BE1" w:rsidP="00A557DC">
      <w:pPr>
        <w:pStyle w:val="Bulletlevel1"/>
      </w:pPr>
      <w:r w:rsidRPr="004E7BE1">
        <w:t>Speed to answer</w:t>
      </w:r>
    </w:p>
    <w:p w14:paraId="0D575212" w14:textId="77777777" w:rsidR="004E7BE1" w:rsidRPr="004E7BE1" w:rsidRDefault="004E7BE1" w:rsidP="00A557DC">
      <w:pPr>
        <w:pStyle w:val="Bulletlevel1"/>
      </w:pPr>
      <w:r w:rsidRPr="004E7BE1">
        <w:t>Abandon rate</w:t>
      </w:r>
    </w:p>
    <w:p w14:paraId="69F43BDA" w14:textId="77777777" w:rsidR="004E7BE1" w:rsidRPr="004E7BE1" w:rsidRDefault="004E7BE1" w:rsidP="00A557DC">
      <w:pPr>
        <w:pStyle w:val="Bulletlevel1"/>
      </w:pPr>
      <w:r w:rsidRPr="004E7BE1">
        <w:t>Voicemail response timeliness</w:t>
      </w:r>
    </w:p>
    <w:p w14:paraId="59A906B1" w14:textId="77777777" w:rsidR="004E7BE1" w:rsidRPr="004E7BE1" w:rsidRDefault="004E7BE1" w:rsidP="00A557DC">
      <w:pPr>
        <w:pStyle w:val="Bulletlevel1"/>
      </w:pPr>
      <w:r w:rsidRPr="004E7BE1">
        <w:t>Service level</w:t>
      </w:r>
    </w:p>
    <w:p w14:paraId="44728EBD" w14:textId="77777777" w:rsidR="004E7BE1" w:rsidRPr="004E7BE1" w:rsidRDefault="004E7BE1" w:rsidP="004E7BE1">
      <w:pPr>
        <w:spacing w:after="0"/>
        <w:rPr>
          <w:rFonts w:ascii="Arial Narrow" w:hAnsi="Arial Narrow"/>
          <w:b/>
          <w:bCs/>
        </w:rPr>
      </w:pPr>
      <w:r w:rsidRPr="004E7BE1">
        <w:rPr>
          <w:rFonts w:ascii="Arial Narrow" w:hAnsi="Arial Narrow"/>
          <w:b/>
          <w:bCs/>
        </w:rPr>
        <w:lastRenderedPageBreak/>
        <w:t>Resolution</w:t>
      </w:r>
    </w:p>
    <w:p w14:paraId="79DACBB6" w14:textId="77777777" w:rsidR="004E7BE1" w:rsidRPr="004E7BE1" w:rsidRDefault="004E7BE1" w:rsidP="00A557DC">
      <w:pPr>
        <w:pStyle w:val="Bulletlevel1"/>
      </w:pPr>
      <w:r w:rsidRPr="004E7BE1">
        <w:t>First-contact resolution</w:t>
      </w:r>
    </w:p>
    <w:p w14:paraId="59C60A43" w14:textId="77777777" w:rsidR="004E7BE1" w:rsidRPr="004E7BE1" w:rsidRDefault="004E7BE1" w:rsidP="00A557DC">
      <w:pPr>
        <w:pStyle w:val="Bulletlevel1"/>
      </w:pPr>
      <w:r w:rsidRPr="004E7BE1">
        <w:t>Average days to case closure</w:t>
      </w:r>
    </w:p>
    <w:p w14:paraId="1D84A401" w14:textId="77777777" w:rsidR="004E7BE1" w:rsidRPr="004E7BE1" w:rsidRDefault="004E7BE1" w:rsidP="00A557DC">
      <w:pPr>
        <w:pStyle w:val="Bulletlevel1"/>
      </w:pPr>
      <w:r w:rsidRPr="004E7BE1">
        <w:t>Aging backlog by stakeholder and issue type</w:t>
      </w:r>
    </w:p>
    <w:p w14:paraId="049470EA" w14:textId="77777777" w:rsidR="004E7BE1" w:rsidRPr="004E7BE1" w:rsidRDefault="004E7BE1" w:rsidP="00A557DC">
      <w:pPr>
        <w:pStyle w:val="Bulletlevel1"/>
      </w:pPr>
      <w:r w:rsidRPr="004E7BE1">
        <w:t>Outbound contact success rate</w:t>
      </w:r>
    </w:p>
    <w:p w14:paraId="4DBC7D79" w14:textId="77777777" w:rsidR="004E7BE1" w:rsidRPr="004E7BE1" w:rsidRDefault="004E7BE1" w:rsidP="004E7BE1">
      <w:pPr>
        <w:spacing w:after="0"/>
        <w:rPr>
          <w:rFonts w:ascii="Arial Narrow" w:hAnsi="Arial Narrow"/>
          <w:b/>
          <w:bCs/>
        </w:rPr>
      </w:pPr>
      <w:r w:rsidRPr="004E7BE1">
        <w:rPr>
          <w:rFonts w:ascii="Arial Narrow" w:hAnsi="Arial Narrow"/>
          <w:b/>
          <w:bCs/>
        </w:rPr>
        <w:t>Quality and compliance</w:t>
      </w:r>
    </w:p>
    <w:p w14:paraId="53267B33" w14:textId="77777777" w:rsidR="004E7BE1" w:rsidRPr="004E7BE1" w:rsidRDefault="004E7BE1" w:rsidP="00A557DC">
      <w:pPr>
        <w:pStyle w:val="Bulletlevel1"/>
      </w:pPr>
      <w:r w:rsidRPr="004E7BE1">
        <w:t>QA accuracy</w:t>
      </w:r>
    </w:p>
    <w:p w14:paraId="0651311E" w14:textId="77777777" w:rsidR="004E7BE1" w:rsidRPr="004E7BE1" w:rsidRDefault="004E7BE1" w:rsidP="00A557DC">
      <w:pPr>
        <w:pStyle w:val="Bulletlevel1"/>
      </w:pPr>
      <w:r w:rsidRPr="004E7BE1">
        <w:t>Script adherence</w:t>
      </w:r>
    </w:p>
    <w:p w14:paraId="73D5FA5A" w14:textId="77777777" w:rsidR="004E7BE1" w:rsidRPr="004E7BE1" w:rsidRDefault="004E7BE1" w:rsidP="00A557DC">
      <w:pPr>
        <w:pStyle w:val="Bulletlevel1"/>
      </w:pPr>
      <w:r w:rsidRPr="004E7BE1">
        <w:t>Documentation completeness</w:t>
      </w:r>
    </w:p>
    <w:p w14:paraId="72F24035" w14:textId="77777777" w:rsidR="004E7BE1" w:rsidRPr="004E7BE1" w:rsidRDefault="004E7BE1" w:rsidP="00A557DC">
      <w:pPr>
        <w:pStyle w:val="Bulletlevel1"/>
      </w:pPr>
      <w:r w:rsidRPr="004E7BE1">
        <w:t>Training completion / refresh timeliness</w:t>
      </w:r>
    </w:p>
    <w:p w14:paraId="529638A6" w14:textId="77777777" w:rsidR="004E7BE1" w:rsidRPr="004E7BE1" w:rsidRDefault="004E7BE1" w:rsidP="004E7BE1">
      <w:pPr>
        <w:spacing w:after="0"/>
        <w:rPr>
          <w:rFonts w:ascii="Arial Narrow" w:hAnsi="Arial Narrow"/>
          <w:b/>
          <w:bCs/>
        </w:rPr>
      </w:pPr>
      <w:r w:rsidRPr="004E7BE1">
        <w:rPr>
          <w:rFonts w:ascii="Arial Narrow" w:hAnsi="Arial Narrow"/>
          <w:b/>
          <w:bCs/>
        </w:rPr>
        <w:t>Stakeholder service</w:t>
      </w:r>
    </w:p>
    <w:p w14:paraId="68081AD5" w14:textId="77777777" w:rsidR="004E7BE1" w:rsidRPr="004E7BE1" w:rsidRDefault="004E7BE1" w:rsidP="00A557DC">
      <w:pPr>
        <w:pStyle w:val="Bulletlevel1"/>
      </w:pPr>
      <w:r w:rsidRPr="004E7BE1">
        <w:t>Issuer inquiry turnaround</w:t>
      </w:r>
    </w:p>
    <w:p w14:paraId="19FA581D" w14:textId="77777777" w:rsidR="004E7BE1" w:rsidRPr="004E7BE1" w:rsidRDefault="004E7BE1" w:rsidP="00A557DC">
      <w:pPr>
        <w:pStyle w:val="Bulletlevel1"/>
      </w:pPr>
      <w:r w:rsidRPr="004E7BE1">
        <w:t>Correspondence timeliness</w:t>
      </w:r>
    </w:p>
    <w:p w14:paraId="3413183E" w14:textId="77777777" w:rsidR="004E7BE1" w:rsidRPr="004E7BE1" w:rsidRDefault="004E7BE1" w:rsidP="00A557DC">
      <w:pPr>
        <w:pStyle w:val="Bulletlevel1"/>
      </w:pPr>
      <w:r w:rsidRPr="004E7BE1">
        <w:t>Escalation volume and aging</w:t>
      </w:r>
    </w:p>
    <w:p w14:paraId="5B95D5D8" w14:textId="77777777" w:rsidR="004E7BE1" w:rsidRPr="004E7BE1" w:rsidRDefault="004E7BE1" w:rsidP="00A557DC">
      <w:pPr>
        <w:pStyle w:val="Bulletlevel1"/>
      </w:pPr>
      <w:r w:rsidRPr="004E7BE1">
        <w:t>Trend-to-action closure rate</w:t>
      </w:r>
    </w:p>
    <w:p w14:paraId="2CABAA50" w14:textId="20961AE7" w:rsidR="009D64BC" w:rsidRPr="009D64BC" w:rsidRDefault="00A557DC" w:rsidP="00A557DC">
      <w:pPr>
        <w:pStyle w:val="List1"/>
      </w:pPr>
      <w:r w:rsidRPr="00A557DC">
        <w:t>1</w:t>
      </w:r>
      <w:r>
        <w:tab/>
      </w:r>
      <w:r w:rsidR="009D64BC" w:rsidRPr="009D64BC">
        <w:rPr>
          <w:b/>
          <w:bCs/>
        </w:rPr>
        <w:t>Challenge: fragmented systems and swivel-chair work</w:t>
      </w:r>
      <w:r w:rsidR="009D64BC" w:rsidRPr="009D64BC">
        <w:br/>
      </w:r>
      <w:r w:rsidR="009D64BC" w:rsidRPr="009D64BC">
        <w:rPr>
          <w:b/>
          <w:bCs/>
        </w:rPr>
        <w:t>Mitigation:</w:t>
      </w:r>
      <w:r w:rsidR="009D64BC" w:rsidRPr="009D64BC">
        <w:t xml:space="preserve"> standard workflows, clear ownership, unified documentation, and visible case status across channels and handoffs</w:t>
      </w:r>
      <w:r w:rsidR="009D64BC">
        <w:t>.</w:t>
      </w:r>
    </w:p>
    <w:p w14:paraId="50B17B01" w14:textId="3518AEBA" w:rsidR="009D64BC" w:rsidRPr="009D64BC" w:rsidRDefault="00A557DC" w:rsidP="00A557DC">
      <w:pPr>
        <w:pStyle w:val="List1"/>
      </w:pPr>
      <w:r w:rsidRPr="00A557DC">
        <w:t>2</w:t>
      </w:r>
      <w:r>
        <w:tab/>
      </w:r>
      <w:r w:rsidR="009D64BC" w:rsidRPr="009D64BC">
        <w:rPr>
          <w:b/>
          <w:bCs/>
        </w:rPr>
        <w:t>Challenge: multiple handoffs across CMS, issuers, states, SBEs, and contractors</w:t>
      </w:r>
      <w:r w:rsidR="009D64BC" w:rsidRPr="009D64BC">
        <w:br/>
      </w:r>
      <w:r w:rsidR="009D64BC" w:rsidRPr="009D64BC">
        <w:rPr>
          <w:b/>
          <w:bCs/>
        </w:rPr>
        <w:t>Mitigation:</w:t>
      </w:r>
      <w:r w:rsidR="009D64BC" w:rsidRPr="009D64BC">
        <w:t xml:space="preserve"> defined transfer points, escalation rules, closed-loop follow-up</w:t>
      </w:r>
      <w:r w:rsidR="00B36C20" w:rsidRPr="00B36C20">
        <w:t xml:space="preserve">, and </w:t>
      </w:r>
      <w:r w:rsidR="009D64BC" w:rsidRPr="009D64BC">
        <w:t>case aging visibility</w:t>
      </w:r>
      <w:r w:rsidR="00B36C20" w:rsidRPr="00B36C20">
        <w:t>, supported by an integrated</w:t>
      </w:r>
      <w:r w:rsidR="00DB0485">
        <w:t xml:space="preserve"> QA model </w:t>
      </w:r>
      <w:r w:rsidR="00B36C20" w:rsidRPr="00B36C20">
        <w:t>that identifies cross-stakeholder improvement</w:t>
      </w:r>
      <w:r w:rsidR="00DB0485">
        <w:t xml:space="preserve"> </w:t>
      </w:r>
      <w:r w:rsidR="00811BEA">
        <w:t>opportunities</w:t>
      </w:r>
      <w:r w:rsidR="00B36C20" w:rsidRPr="00B36C20">
        <w:t>, routes</w:t>
      </w:r>
      <w:r w:rsidR="00DB0485">
        <w:t xml:space="preserve"> </w:t>
      </w:r>
      <w:r w:rsidR="00811BEA">
        <w:t xml:space="preserve">updates to CMS partners, and </w:t>
      </w:r>
      <w:r w:rsidR="00B36C20" w:rsidRPr="00B36C20">
        <w:t>tracks</w:t>
      </w:r>
      <w:r w:rsidR="00811BEA">
        <w:t xml:space="preserve"> review and concurrence through completion.</w:t>
      </w:r>
    </w:p>
    <w:p w14:paraId="43C8BB31" w14:textId="0DBB6F42" w:rsidR="009D64BC" w:rsidRPr="009D64BC" w:rsidRDefault="00A557DC" w:rsidP="00A557DC">
      <w:pPr>
        <w:pStyle w:val="List1"/>
      </w:pPr>
      <w:r w:rsidRPr="00A557DC">
        <w:t>3</w:t>
      </w:r>
      <w:r>
        <w:tab/>
      </w:r>
      <w:r w:rsidR="009D64BC" w:rsidRPr="009D64BC">
        <w:rPr>
          <w:b/>
          <w:bCs/>
        </w:rPr>
        <w:t>Challenge: evolving policy, process, and script direction</w:t>
      </w:r>
      <w:r w:rsidR="009D64BC" w:rsidRPr="009D64BC">
        <w:br/>
      </w:r>
      <w:r w:rsidR="009D64BC" w:rsidRPr="009D64BC">
        <w:rPr>
          <w:b/>
          <w:bCs/>
        </w:rPr>
        <w:t>Mitigation:</w:t>
      </w:r>
      <w:r w:rsidR="009D64BC" w:rsidRPr="009D64BC">
        <w:t xml:space="preserve"> governed knowledge management, refresh training, QA monitoring, and controlled script updates</w:t>
      </w:r>
      <w:r w:rsidR="009D64BC">
        <w:t>.</w:t>
      </w:r>
    </w:p>
    <w:p w14:paraId="06C21AE0" w14:textId="49518682" w:rsidR="009D64BC" w:rsidRPr="009D64BC" w:rsidRDefault="00A557DC" w:rsidP="00A557DC">
      <w:pPr>
        <w:pStyle w:val="List1"/>
      </w:pPr>
      <w:r w:rsidRPr="00A557DC">
        <w:t>4</w:t>
      </w:r>
      <w:r>
        <w:tab/>
      </w:r>
      <w:r w:rsidR="009D64BC" w:rsidRPr="009D64BC">
        <w:rPr>
          <w:b/>
          <w:bCs/>
        </w:rPr>
        <w:t>Challenge: seasonal surges and uneven demand</w:t>
      </w:r>
      <w:r w:rsidR="009D64BC" w:rsidRPr="009D64BC">
        <w:br/>
      </w:r>
      <w:r w:rsidR="009D64BC" w:rsidRPr="009D64BC">
        <w:rPr>
          <w:b/>
          <w:bCs/>
        </w:rPr>
        <w:t>Mitigation:</w:t>
      </w:r>
      <w:r w:rsidR="009D64BC" w:rsidRPr="009D64BC">
        <w:t xml:space="preserve"> WFM forecasting, flexible staffing, targeted outbound campaigns, and queue monitoring to maintain service continuity</w:t>
      </w:r>
      <w:r w:rsidR="009D64BC">
        <w:t>.</w:t>
      </w:r>
    </w:p>
    <w:p w14:paraId="099AE6E8" w14:textId="0322AE39" w:rsidR="000958FF" w:rsidRPr="003414BC" w:rsidRDefault="00A557DC" w:rsidP="00A557DC">
      <w:pPr>
        <w:pStyle w:val="List1"/>
      </w:pPr>
      <w:r w:rsidRPr="00A557DC">
        <w:t>5</w:t>
      </w:r>
      <w:r>
        <w:tab/>
      </w:r>
      <w:r w:rsidR="009D64BC" w:rsidRPr="009D64BC">
        <w:rPr>
          <w:b/>
          <w:bCs/>
        </w:rPr>
        <w:t>Challenge: need for compliant innovation without operational disruption</w:t>
      </w:r>
      <w:r w:rsidR="009D64BC" w:rsidRPr="009D64BC">
        <w:br/>
      </w:r>
      <w:r w:rsidR="009D64BC" w:rsidRPr="009D64BC">
        <w:rPr>
          <w:b/>
          <w:bCs/>
        </w:rPr>
        <w:t>Mitigation:</w:t>
      </w:r>
      <w:r w:rsidR="009D64BC" w:rsidRPr="009D64BC">
        <w:t xml:space="preserve"> CMS-approved pilots, human-in-the-loop AI-assisted triage, and transparent documentation of technical solutions and use cases</w:t>
      </w:r>
      <w:r w:rsidR="009D64BC">
        <w:t>.</w:t>
      </w:r>
    </w:p>
    <w:p w14:paraId="4B3D7BA5" w14:textId="62F558DE" w:rsidR="00CD5459" w:rsidRPr="00CD5459" w:rsidRDefault="00CD5459" w:rsidP="00A557DC">
      <w:pPr>
        <w:pStyle w:val="Bulletlevel1"/>
        <w:rPr>
          <w:color w:val="FF0000"/>
        </w:rPr>
      </w:pPr>
      <w:commentRangeStart w:id="69"/>
      <w:r w:rsidRPr="00C2036A">
        <w:rPr>
          <w:b/>
          <w:bCs/>
        </w:rPr>
        <w:t>Covered</w:t>
      </w:r>
      <w:commentRangeEnd w:id="69"/>
      <w:r w:rsidRPr="00C2036A">
        <w:rPr>
          <w:rStyle w:val="CommentReference"/>
          <w:b/>
          <w:bCs/>
          <w:sz w:val="24"/>
          <w:szCs w:val="22"/>
        </w:rPr>
        <w:commentReference w:id="69"/>
      </w:r>
      <w:r w:rsidRPr="00C2036A">
        <w:rPr>
          <w:b/>
          <w:bCs/>
        </w:rPr>
        <w:t xml:space="preserve"> California Health Insurance Exchange Contact Center.</w:t>
      </w:r>
      <w:r>
        <w:t xml:space="preserve"> Deloitte stood up Amazon Connect in about 40 hours during annual enrollment, when contact volume peaks near 300,000 contacts per month. Deloitte provided project management, engineering, testing, training, and hypercare, led go-live and SSO migration with zero critical or high-impact issues, and continues to support enhancements such as courtesy callback, post-call survey, conversational IVR, custom agent desktop, and advanced </w:t>
      </w:r>
      <w:r>
        <w:lastRenderedPageBreak/>
        <w:t xml:space="preserve">reporting. </w:t>
      </w:r>
      <w:r w:rsidRPr="00C2036A">
        <w:rPr>
          <w:color w:val="FF0000"/>
        </w:rPr>
        <w:t>Proof for: digital exchange support, continuity under load, and practical contact-center modernization.</w:t>
      </w:r>
    </w:p>
    <w:p w14:paraId="4921D7EE" w14:textId="71545493" w:rsidR="00D031A5" w:rsidRPr="00D031A5" w:rsidRDefault="00D031A5" w:rsidP="00A557DC">
      <w:pPr>
        <w:pStyle w:val="Bulletlevel1"/>
        <w:rPr>
          <w:color w:val="FF0000"/>
        </w:rPr>
      </w:pPr>
      <w:r w:rsidRPr="00D031A5">
        <w:rPr>
          <w:b/>
          <w:bCs/>
          <w:color w:val="000000" w:themeColor="text1"/>
        </w:rPr>
        <w:t>CDC Vaccine Administration Management System (VAMS).</w:t>
      </w:r>
      <w:r w:rsidRPr="00D031A5">
        <w:rPr>
          <w:color w:val="000000" w:themeColor="text1"/>
        </w:rPr>
        <w:t xml:space="preserve"> Deloitte supported CDC’s national VAMS environment and rapidly deployed an AWS Connect-based call center to support end users, jurisdictions, and clinics when high call volume accompanied system rollout. Deloitte provided call center oversight, reporting, SLA monitoring, training, knowledge management, continuous process improvement, and centralized QA reporting across five workstreams, while building a Salesforce-based knowledge repository with 300+ artifacts. The effort supported a multi-tier call center solution used in administering 9.5M vaccines.</w:t>
      </w:r>
      <w:r w:rsidRPr="00D031A5">
        <w:rPr>
          <w:color w:val="FF0000"/>
        </w:rPr>
        <w:t xml:space="preserve"> Proof for: federal stakeholder support, high-volume contact center oversight, training and QA governance, and knowledge-management-enabled continuous improvement.</w:t>
      </w:r>
    </w:p>
    <w:p w14:paraId="770D7CF7" w14:textId="40805D11" w:rsidR="00095BFA" w:rsidRPr="00095BFA" w:rsidRDefault="00095BFA" w:rsidP="00A557DC">
      <w:pPr>
        <w:pStyle w:val="Bulletlevel1"/>
        <w:rPr>
          <w:color w:val="FF0000"/>
        </w:rPr>
      </w:pPr>
      <w:r w:rsidRPr="00095BFA">
        <w:rPr>
          <w:b/>
          <w:bCs/>
          <w:color w:val="000000" w:themeColor="text1"/>
        </w:rPr>
        <w:t xml:space="preserve">Financial Crimes Enforcement Network (FinCEN) Beneficial Ownership Contact Center. </w:t>
      </w:r>
      <w:r w:rsidRPr="00095BFA">
        <w:rPr>
          <w:color w:val="000000" w:themeColor="text1"/>
        </w:rPr>
        <w:t xml:space="preserve">Deloitte stood up and operates a federal compliance-oriented contact center built on Salesforce Government Cloud Plus, Amazon Connect, and AWS Lex in a FedRAMP High environment. The team launched command center operations, deployed chatbot capabilities, supported outbound calls and web-to-case inquiries, published 141 business and 86 technical knowledge articles, ran a QA program for outbound calls and </w:t>
      </w:r>
      <w:r w:rsidR="00AC2B57">
        <w:rPr>
          <w:color w:val="000000" w:themeColor="text1"/>
        </w:rPr>
        <w:t>web-to-case</w:t>
      </w:r>
      <w:r w:rsidRPr="00095BFA">
        <w:rPr>
          <w:color w:val="000000" w:themeColor="text1"/>
        </w:rPr>
        <w:t xml:space="preserve"> responses, and used dashboards to monitor daily performance, schedules, and productivity. Results include eliminating a 5K-case backlog within three months, closing 350K+ cases to date, conducting 23K+ outbound calls, auditing 11K+ cases at an average score of 96%, and reducing closure time to within a day of receipt by July 2025.</w:t>
      </w:r>
      <w:r>
        <w:rPr>
          <w:color w:val="000000" w:themeColor="text1"/>
        </w:rPr>
        <w:t xml:space="preserve"> </w:t>
      </w:r>
      <w:r w:rsidRPr="00095BFA">
        <w:rPr>
          <w:color w:val="FF0000"/>
        </w:rPr>
        <w:t>Proof for: federal case-management operations, outbound support, dashboard-driven performance management, quality auditing, and knowledge-centered service delivery.</w:t>
      </w:r>
    </w:p>
    <w:p w14:paraId="1EBDFFFF" w14:textId="0E9158C7" w:rsidR="00470E02" w:rsidRPr="00095BFA" w:rsidRDefault="00715790" w:rsidP="00A557DC">
      <w:pPr>
        <w:pStyle w:val="Bulletlevel1"/>
        <w:rPr>
          <w:color w:val="FF0000"/>
        </w:rPr>
      </w:pPr>
      <w:r w:rsidRPr="00715790">
        <w:rPr>
          <w:b/>
          <w:bCs/>
          <w:color w:val="000000" w:themeColor="text1"/>
        </w:rPr>
        <w:t>United States Navy MyNavy Career Center (MNCC).</w:t>
      </w:r>
      <w:r w:rsidRPr="00715790">
        <w:rPr>
          <w:color w:val="000000" w:themeColor="text1"/>
        </w:rPr>
        <w:t xml:space="preserve"> Deloitte helped the Navy redesign and modernize a tiered omnichannel HR service-delivery model supporting 330,000+ Sailors, including Salesforce CRM, Cisco telephony, IVR, post-call survey capabilities, command center development, and implementation of WFM, QA, and reporting and analytics. Deloitte also conducted contact-driver analysis, recommended a content-management approach, created knowledge materials, established a maintenance model for the knowledge base, and helped shift lower-complexity work to the left. The resulting model supports 36,000+ contacts per month and has enabled the creation and resolution of 1.5M customer requests and inquiries since launch. </w:t>
      </w:r>
      <w:r w:rsidRPr="00715790">
        <w:rPr>
          <w:color w:val="FF0000"/>
        </w:rPr>
        <w:t>Proof for: federal omnichannel operating-model design, command-center integration, contact-driver analysis, knowledge management, and scalable service-delivery improvement.</w:t>
      </w:r>
    </w:p>
    <w:p w14:paraId="735E49B0" w14:textId="7232E065" w:rsidR="004F3326" w:rsidRPr="00492B1F" w:rsidRDefault="004F3326" w:rsidP="00A557DC">
      <w:pPr>
        <w:pStyle w:val="Bulletlevel1"/>
      </w:pPr>
      <w:r w:rsidRPr="004F3326">
        <w:rPr>
          <w:b/>
          <w:bCs/>
        </w:rPr>
        <w:t xml:space="preserve">State health and human services contact center operations. </w:t>
      </w:r>
      <w:r>
        <w:t xml:space="preserve">Deloitte rapidly mobilized and stabilized state contact center operations supporting time-sensitive public health and benefits programs. In New York, Deloitte took over an overwhelmed vaccine hotline, deployed 4,000+ surge support agents, handled 5M+ calls including 100K+ per day at peak, and improved performance through QA, WFM, reporting, knowledge management, and micro-learning, contributing to a 53% reduction in hold time and a 75% reduction in Tier 2 escalations. In the District of Columbia, Deloitte launched a contact center in 25 days, implemented a cloud-based solution in five weeks, handled nearly 24,000 calls, and supported an end-to-end managed service model with QA, command center oversight, and reporting. </w:t>
      </w:r>
      <w:r w:rsidRPr="004F3326">
        <w:rPr>
          <w:color w:val="FF0000"/>
        </w:rPr>
        <w:t>Proof for: rapid mobilization, surge operations, disciplined service delivery, and government contact center execution.</w:t>
      </w:r>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color w:val="FF0000"/>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Figure 1.2.7-1. [Deloitte to populate: figure title and graphic].</w:t>
      </w:r>
      <w:r w:rsidR="00420545" w:rsidRPr="00420545"/>
      <w:r w:rsidR="00420545"/>
    </w:p>
    <w:p w14:paraId="4BCA37CC" w14:textId="63E8EB88" w:rsidR="00C6190E" w:rsidRPr="00420545" w:rsidRDefault="00C6190E" w:rsidP="00420545">
      <w:pPr>
        <w:pStyle w:val="FigureGraphic"/>
        <w:rPr>
          <w:rFonts w:ascii="Arial Narrow" w:hAnsi="Arial Narrow"/>
          <w:sz w:val="24"/>
        </w:rPr>
      </w:pPr>
      <w:commentRangeStart w:id="71"/>
      <w:commentRangeEnd w:id="71"/>
      <w:r>
        <w:rPr>
          <w:rStyle w:val="CommentReference"/>
          <w:rFonts w:ascii="Arial Narrow" w:hAnsi="Arial Narrow"/>
          <w:noProof/>
          <w:sz w:val="24"/>
          <w:szCs w:val="22"/>
        </w:rPr>
        <w:commentReference w:id="71"/>
      </w:r>
      <w:r w:rsidR="00420545">
        <w:rPr>
          <w:rFonts w:ascii="Arial Narrow" w:hAnsi="Arial Narrow"/>
          <w:noProof/>
          <w:sz w:val="24"/>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1.2.7-2. [Deloitte to populate: figure title and graphic].</w:t>
      </w:r>
      <w:r/>
      <w:r w:rsidRPr="00420545"/>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1.2.7-1. AIOps Capabilities Across All Systems.</w:t>
      </w:r>
      <w:r w:rsidR="00D34E5C"/>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rFonts w:eastAsia="Arial"/>
        </w:rPr>
        <w:t>1</w:t>
      </w:r>
      <w:r w:rsidR="00FC0D65">
        <w:rPr>
          <w:rFonts w:eastAsia="Arial"/>
        </w:rPr>
        <w:t>.2.7.1</w:t>
      </w:r>
      <w:r w:rsidR="00FC0D65">
        <w:rPr>
          <w:rFonts w:eastAsia="Arial"/>
        </w:rPr>
        <w:tab/>
      </w:r>
      <w:r w:rsidRPr="00C6190E">
        <w:rPr>
          <w:rFonts w:eastAsia="Arial"/>
        </w:rPr>
        <w:t>CERRS</w:t>
      </w:r>
      <w:r w:rsidRPr="00C6190E">
        <w:rPr>
          <w:rFonts w:ascii="Arial" w:eastAsia="Arial" w:hAnsi="Arial" w:cs="Arial"/>
          <w:b/>
          <w:color w:val="174F36"/>
          <w:sz w:val="20"/>
          <w:szCs w:val="20"/>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rFonts w:ascii="Arial" w:eastAsia="Arial" w:hAnsi="Arial" w:cs="Arial"/>
          <w:b/>
          <w:color w:val="174F36"/>
          <w:sz w:val="20"/>
          <w:szCs w:val="20"/>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rFonts w:ascii="Arial" w:eastAsia="Arial" w:hAnsi="Arial" w:cs="Arial"/>
          <w:b/>
          <w:color w:val="174F36"/>
          <w:sz w:val="20"/>
          <w:szCs w:val="20"/>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t>Figure 1.2.7-3. [Deloitte to populate: figure title and graphic].</w:t>
      </w:r>
      <w:r w:rsidRPr="0031446F"/>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1.2.7-2. AI-Assisted Development Capabilities.</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Fonts w:eastAsia="Times New Roman" w:cs="Segoe UI"/>
          <w:szCs w:val="24"/>
        </w:rPr>
        <w:t xml:space="preserve">Proof </w:t>
      </w:r>
      <w:commentRangeStart w:id="72"/>
      <w:r w:rsidRPr="00625471">
        <w:rPr>
          <w:rStyle w:val="eop"/>
          <w:rFonts w:eastAsia="Times New Roman" w:cs="Segoe UI"/>
          <w:szCs w:val="24"/>
        </w:rPr>
        <w:t>Points</w:t>
      </w:r>
      <w:commentRangeEnd w:id="72"/>
      <w:r w:rsidR="00625471" w:rsidRPr="00625471">
        <w:rPr>
          <w:rStyle w:val="CommentReference"/>
          <w:rFonts w:eastAsia="Times New Roman" w:cs="Segoe UI"/>
          <w:b w:val="0"/>
          <w:sz w:val="24"/>
          <w:szCs w:val="24"/>
        </w:rPr>
        <w:commentReference w:id="72"/>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color w:val="FF0000"/>
        </w:rPr>
        <w:t>(2 Pages)</w:t>
      </w:r>
    </w:p>
    <w:p w14:paraId="4EE06BBA" w14:textId="6E74118D" w:rsidR="003414BC" w:rsidRPr="003414BC" w:rsidRDefault="09770625" w:rsidP="003414BC">
      <w:pPr>
        <w:pStyle w:val="Subheading1"/>
      </w:pPr>
      <w:r>
        <w:t>Our Understanding</w:t>
      </w:r>
    </w:p>
    <w:p w14:paraId="5239D862" w14:textId="686161EC" w:rsidR="00C37302" w:rsidRPr="00975FC4" w:rsidRDefault="00C37302" w:rsidP="00975FC4">
      <w:pPr>
        <w:pStyle w:val="BodyText"/>
        <w:rPr>
          <w:color w:val="000000"/>
        </w:rPr>
      </w:pPr>
      <w:r>
        <w:rPr>
          <w:rStyle w:val="eop"/>
          <w:rFonts w:cs="Segoe UI"/>
        </w:rPr>
        <w:t xml:space="preserve">CMS maintains multiple SOPs, User Guides, and Job Aids, which Deloitte will improve and update monthly, quarterly, and on an ad hoc basis with COR approval.  These updates will reflect changes in policy, workflow, system functionality, or operational priorities. CMS will receive three Task 9 reports from Deloitte monthly: the Business Process Improvement Report, Performance Report, and Quality Assurance Report. CMS will also receive a Quality Assurance Plan within 45 days of the Base Period. </w:t>
      </w:r>
      <w:r w:rsidRPr="00E13EB4">
        <w:rPr>
          <w:color w:val="000000"/>
        </w:rPr>
      </w:r>
      <w:r>
        <w:rPr>
          <w:color w:val="000000"/>
        </w:rPr>
      </w:r>
      <w:r w:rsidRPr="00E13EB4">
        <w:rPr>
          <w:color w:val="000000"/>
        </w:rPr>
      </w:r>
      <w:r>
        <w:rPr>
          <w:color w:val="000000"/>
        </w:rPr>
      </w:r>
      <w:r>
        <w:rPr>
          <w:rStyle w:val="eop"/>
          <w:rFonts w:cs="Segoe UI"/>
        </w:rPr>
      </w:r>
      <w:r w:rsidRPr="00B03C22">
        <w:rPr>
          <w:rStyle w:val="eop"/>
          <w:rFonts w:cs="Segoe UI"/>
        </w:rPr>
      </w:r>
      <w:r>
        <w:rPr>
          <w:rStyle w:val="eop"/>
          <w:rFonts w:cs="Segoe UI"/>
        </w:rPr>
      </w:r>
      <w:r w:rsidRPr="00B03C22">
        <w:rPr>
          <w:rStyle w:val="eop"/>
          <w:rFonts w:cs="Segoe UI"/>
        </w:rPr>
      </w:r>
      <w:r>
        <w:rPr>
          <w:rStyle w:val="eop"/>
          <w:rFonts w:cs="Segoe UI"/>
        </w:rPr>
      </w:r>
      <w:r w:rsidRPr="00E13EB4">
        <w:rPr>
          <w:color w:val="000000"/>
        </w:rPr>
      </w:r>
      <w:r>
        <w:rPr>
          <w:color w:val="000000"/>
        </w:rPr>
      </w:r>
      <w:r w:rsidRPr="00E13EB4">
        <w:rPr>
          <w:color w:val="000000"/>
        </w:rPr>
      </w:r>
      <w:r>
        <w:rPr>
          <w:color w:val="000000"/>
        </w:rPr>
      </w:r>
    </w:p>
    <w:p w14:paraId="7451E3E8" w14:textId="71F5E7D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Deloitte’s QA approach links governance and performance to monitor the quality of operational support and deliverables through a single closed-loop model that strengthens execution and drives measurable improvement across the ER&amp;R program.</w:t>
      </w:r>
      <w:r w:rsidR="003442AD"/>
    </w:p>
    <w:p w14:paraId="54F3AF99" w14:textId="1B5F3479" w:rsidR="00C37302" w:rsidRDefault="0020358F" w:rsidP="003442AD">
      <w:pPr>
        <w:pStyle w:val="BodyText"/>
      </w:pPr>
      <w:r w:rsidRPr="001403F4">
        <w:t>Deloitte will execute Task 9 through an integrated quality, and analytics governance model that translates operational findings into approved, measurable process improvement. Within 45 days of the Base Period start, Deloitte will deliver a Quality Assurance Plan that defines Service Level Agreements, Acceptable Quality Levels, KPIs, etc. The QASP will be developed with baseline performance in mind. Deloitte will begin by assessing CMS-provided SOPs, user guides, job aids, workflows, and current performance measures to understand the baseline ER&amp;R processes and documentation. From that baseline, Deloitte will implement a governed documentation lifecycle that identifies change triggers, assesses impact, drafts and reviews revisions, maintains version control, and routes updates for COR approval—ensuring procedural guidance remains current, controlled, and aligned to approved business requirements. The methods, processes, and tools in Table XX below will be used for the relevant deliverables:</w:t>
      </w:r>
      <w:r w:rsidRPr="001403F4">
        <w:rPr>
          <w:rFonts w:eastAsiaTheme="majorEastAsia" w:cs="Segoe UI"/>
          <w:b/>
          <w:color w:val="000000"/>
        </w:rPr>
      </w:r>
      <w:r w:rsidRPr="001403F4">
        <w:rPr>
          <w:rFonts w:cs="Segoe UI"/>
          <w:color w:val="000000"/>
        </w:rPr>
      </w:r>
      <w:r w:rsidRPr="001403F4">
        <w:rPr>
          <w:rFonts w:eastAsiaTheme="majorEastAsia" w:cs="Segoe UI"/>
          <w:b/>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00D86B3C">
        <w:rPr>
          <w:rFonts w:cs="Segoe UI"/>
          <w:color w:val="000000"/>
        </w:rPr>
      </w:r>
      <w:r w:rsidR="00D86B3C" w:rsidRPr="006A33B8">
        <w:rPr>
          <w:color w:val="C00000"/>
        </w:rPr>
      </w:r>
      <w:r>
        <w:rPr>
          <w:rFonts w:cs="Segoe UI"/>
          <w:color w:val="000000"/>
        </w:rPr>
      </w:r>
    </w:p>
    <w:p w14:paraId="305C94A8" w14:textId="20B1E0DA"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lastRenderedPageBreak/>
              <w:t>2</w:t>
            </w:r>
            <w:r>
              <w:rPr>
                <w:rStyle w:val="eop"/>
                <w:rFonts w:cs="Segoe UI"/>
              </w:rPr>
              <w:tab/>
              <w:t xml:space="preserve">Request feedback on SOP design, recent policy </w:t>
            </w:r>
            <w:r>
              <w:rPr>
                <w:rStyle w:val="eop"/>
                <w:rFonts w:cs="Segoe UI"/>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4</w:t>
            </w:r>
            <w:r>
              <w:rPr>
                <w:rStyle w:val="eop"/>
                <w:rFonts w:cs="Segoe UI"/>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Fonts w:cs="Segoe UI"/>
              </w:rPr>
              <w:t>5</w:t>
            </w:r>
            <w:r>
              <w:rPr>
                <w:rStyle w:val="eop"/>
                <w:rFonts w:cs="Segoe UI"/>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Deloitte will embed continuous improvement into routine operations through a closed-loop approach that will measure performance, identify issues, analyze root causes, implement corrective actions, update documentation, and validate results. Findings from QA reviews, trend analysis, recurring defects, and stakeholder feedback will inform reports, making Task 9 a driver of operational improvement rather than a stand-alone compliance function. To support program oversight and integrity, Deloitte will also apply a repeatable analytic framework to CMS-required data and translate them into decision-useful reporting that identifies practical recommendations for CMS action. The methods, processes, and tools below in Table XX will be used for the relevant deliverables:</w:t>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sidRPr="00C0682D">
        <w:rPr>
          <w:rFonts w:cs="Segoe UI"/>
          <w:color w:val="000000"/>
        </w:rPr>
      </w:r>
      <w:r>
        <w:rPr>
          <w:rFonts w:cs="Segoe UI"/>
          <w:color w:val="000000"/>
        </w:rPr>
      </w:r>
      <w:r w:rsidRPr="001403F4">
        <w:rPr>
          <w:rFonts w:cs="Segoe UI"/>
          <w:color w:val="000000"/>
        </w:rPr>
      </w:r>
      <w:r w:rsidRPr="00A66999">
        <w:rPr>
          <w:rFonts w:cs="Segoe UI"/>
          <w:color w:val="000000"/>
        </w:rPr>
      </w:r>
      <w:r>
        <w:rPr>
          <w:rFonts w:cs="Segoe UI"/>
          <w:color w:val="000000"/>
        </w:rPr>
      </w:r>
      <w:r w:rsidR="00D86B3C">
        <w:rPr>
          <w:rFonts w:cs="Segoe UI"/>
          <w:color w:val="000000"/>
        </w:rPr>
      </w:r>
      <w:r w:rsidR="00D86B3C" w:rsidRPr="00D86B3C">
        <w:rPr>
          <w:rFonts w:eastAsia="Times New Roman" w:cs="Segoe UI"/>
          <w:color w:val="C00000"/>
          <w:szCs w:val="24"/>
          <w:rPrChange w:id="75" w:author="Nunes, Nina-Marie" w:date="2026-04-27T08:25:00Z" w16du:dateUtc="2026-04-27T12:25:00Z">
            <w:rPr>
              <w:color w:val="C00000"/>
            </w:rPr>
          </w:rPrChange>
        </w:rPr>
      </w:r>
      <w:r w:rsidRPr="00D86B3C">
        <w:rPr>
          <w:rFonts w:eastAsia="Times New Roman" w:cs="Segoe UI"/>
          <w:color w:val="C00000"/>
          <w:szCs w:val="24"/>
          <w:rPrChange w:id="76" w:author="Nunes, Nina-Marie" w:date="2026-04-27T08:25:00Z" w16du:dateUtc="2026-04-27T12:25:00Z">
            <w:rPr>
              <w:color w:val="C00000"/>
            </w:rPr>
          </w:rPrChange>
        </w:rPr>
      </w:r>
      <w:r>
        <w:rPr>
          <w:rFonts w:cs="Segoe UI"/>
          <w:color w:val="000000"/>
        </w:rPr>
      </w:r>
    </w:p>
    <w:p w14:paraId="2777F236" w14:textId="46E05CE4"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color w:val="FF0000"/>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Produce reports </w:t>
            </w:r>
            <w:r w:rsidRPr="00C06B65">
              <w:rPr>
                <w:rStyle w:val="eop"/>
                <w:rFonts w:cs="Segoe UI"/>
                <w:color w:val="FF0000"/>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color w:val="FF0000"/>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628396AE" w14:textId="77777777" w:rsidR="000F742E" w:rsidRPr="000949F5" w:rsidRDefault="000F742E" w:rsidP="009F47CF">
      <w:pPr>
        <w:pStyle w:val="BodyText"/>
        <w:rPr>
          <w:rFonts w:cs="Segoe UI"/>
        </w:rPr>
      </w:pPr>
      <w:r w:rsidRPr="00BB1E9A">
        <w:t>A primary challenge under Task 9 is maintaining current documentation in a dynamic ER&amp;R operating environment, where policy changes, workflow update</w:t>
      </w:r>
      <w:r>
        <w:rPr>
          <w:rFonts w:cs="Segoe UI"/>
          <w:color w:val="000000"/>
        </w:rPr>
        <w:t>s</w:t>
      </w:r>
      <w:r w:rsidRPr="00BB1E9A">
        <w:rPr>
          <w:rFonts w:cs="Segoe UI"/>
          <w:color w:val="000000"/>
        </w:rPr>
        <w:t xml:space="preserve">, and system modifications can quickly make SOPs, </w:t>
      </w:r>
      <w:r w:rsidRPr="00BB1E9A">
        <w:rPr>
          <w:rFonts w:cs="Segoe UI"/>
          <w:color w:val="000000"/>
        </w:rPr>
        <w:lastRenderedPageBreak/>
        <w:t xml:space="preserve">user guides, and job aids outdated. Left unaddressed, this creates risk of inconsistent execution, </w:t>
      </w:r>
      <w:r>
        <w:rPr>
          <w:rFonts w:cs="Segoe UI"/>
          <w:color w:val="000000"/>
        </w:rPr>
        <w:t>duplicative effort</w:t>
      </w:r>
      <w:r w:rsidRPr="00BB1E9A">
        <w:rPr>
          <w:rFonts w:cs="Segoe UI"/>
          <w:color w:val="000000"/>
        </w:rPr>
        <w:t xml:space="preserve">, and avoidable errors. </w:t>
      </w:r>
    </w:p>
    <w:p w14:paraId="6D38752A" w14:textId="77777777" w:rsidR="000F742E" w:rsidRPr="00BB1E9A" w:rsidRDefault="000F742E" w:rsidP="009F47CF">
      <w:pPr>
        <w:pStyle w:val="BodyText"/>
        <w:rPr>
          <w:rFonts w:cs="Segoe UI"/>
          <w:color w:val="000000"/>
        </w:rPr>
      </w:pPr>
      <w:r>
        <w:t>Deloitte will mitigate this risk through disciplined documentation governance that includes defined change triggers, SOP, user guides, job aid checkpoint reviews, version control, approval tracking, and end-to-end traceability from business change to approved document update. Another challenge is ensuring that quality assurance drives measurable improvement rather than simply cataloging defects. We will address this by integrating QA reviews with root cause analysis, mitigation monitoring, and user feedback so that findings reduce recurrence and strengthen operational performance over time.</w:t>
      </w:r>
      <w:r w:rsidRPr="00BB1E9A">
        <w:rPr>
          <w:rFonts w:cs="Segoe UI"/>
          <w:color w:val="000000"/>
        </w:rPr>
      </w:r>
      <w:r w:rsidRPr="00BB1E9A">
        <w:rPr>
          <w:rFonts w:cs="Segoe UI"/>
          <w:b/>
          <w:color w:val="000000"/>
        </w:rPr>
      </w:r>
      <w:r w:rsidRPr="00BB1E9A">
        <w:rPr>
          <w:rFonts w:cs="Segoe UI"/>
          <w:color w:val="000000"/>
        </w:rPr>
      </w:r>
      <w:r w:rsidRPr="00BB1E9A">
        <w:rPr>
          <w:rFonts w:cs="Segoe UI"/>
          <w:b/>
          <w:color w:val="000000"/>
        </w:rPr>
      </w:r>
      <w:r>
        <w:rPr>
          <w:rFonts w:cs="Segoe UI"/>
          <w:b/>
          <w:color w:val="000000"/>
        </w:rPr>
      </w:r>
      <w:r w:rsidRPr="00BB1E9A">
        <w:rPr>
          <w:rFonts w:cs="Segoe UI"/>
          <w:b/>
          <w:color w:val="000000"/>
        </w:rPr>
      </w:r>
      <w:r>
        <w:rPr>
          <w:rFonts w:cs="Segoe UI"/>
          <w:b/>
          <w:color w:val="000000"/>
        </w:rPr>
      </w:r>
      <w:r w:rsidRPr="00BB1E9A">
        <w:rPr>
          <w:rFonts w:cs="Segoe UI"/>
          <w:b/>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 xml:space="preserve">Task 9 activities include meaningful, reliable, and practical KPIs and OKRs. Too many measures can increase reporting burden without improving oversight or insight. Deloitte will mitigate these challenges by developing metrics using a ranking method to clarify the order of importance for all measures. </w:t>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color w:val="FF0000"/>
        </w:rPr>
        <w:t>(</w:t>
      </w:r>
      <w:r w:rsidR="004F360B">
        <w:rPr>
          <w:color w:val="FF0000"/>
        </w:rPr>
        <w:t>1</w:t>
      </w:r>
      <w:r w:rsidR="004F360B" w:rsidRPr="00806273">
        <w:rPr>
          <w:color w:val="FF0000"/>
        </w:rPr>
        <w:t>.5 Pages)</w:t>
      </w:r>
    </w:p>
    <w:p w14:paraId="44CD7F2B" w14:textId="2D7BCEC3" w:rsidR="003414BC" w:rsidRPr="005E1602" w:rsidRDefault="344C87A8" w:rsidP="003414BC">
      <w:pPr>
        <w:pStyle w:val="Subheading1"/>
        <w:rPr>
          <w:u w:val="single"/>
        </w:rPr>
      </w:pPr>
      <w:r w:rsidRPr="005E1602">
        <w:rPr>
          <w:u w:val="single"/>
        </w:rPr>
        <w:t>Our Understanding</w:t>
      </w:r>
    </w:p>
    <w:p w14:paraId="7889113D" w14:textId="73DBBA04" w:rsidR="00795CAA" w:rsidRPr="00795CAA" w:rsidRDefault="00795CAA" w:rsidP="00750184">
      <w:pPr>
        <w:pStyle w:val="Bulletlevel1"/>
      </w:pPr>
      <w:r w:rsidRPr="00795CAA">
        <w:t xml:space="preserve">Task 10 is CMS’s </w:t>
      </w:r>
      <w:r w:rsidRPr="002B6DD1">
        <w:t>flexible support lane</w:t>
      </w:r>
      <w:r w:rsidRPr="00795CAA">
        <w:t xml:space="preserve"> for </w:t>
      </w:r>
      <w:r w:rsidR="002B6DD1" w:rsidRPr="002B6DD1">
        <w:t xml:space="preserve">targeted operational needs, </w:t>
      </w:r>
      <w:r w:rsidRPr="00795CAA">
        <w:t xml:space="preserve">special projects, short-turn analyses, </w:t>
      </w:r>
      <w:r w:rsidR="002B6DD1" w:rsidRPr="002B6DD1">
        <w:t xml:space="preserve">ad hoc </w:t>
      </w:r>
      <w:r w:rsidRPr="00795CAA">
        <w:t>training</w:t>
      </w:r>
      <w:r w:rsidR="002B6DD1" w:rsidRPr="002B6DD1">
        <w:t xml:space="preserve"> and workshops, annual FFE</w:t>
      </w:r>
      <w:r w:rsidRPr="00795CAA">
        <w:t xml:space="preserve"> Enrollment Manual support</w:t>
      </w:r>
      <w:r w:rsidR="007F0B04">
        <w:t xml:space="preserve">, </w:t>
      </w:r>
      <w:r w:rsidR="0095190C">
        <w:t>Death PDM consumer response operations, and the Employer Notice Helpdesk</w:t>
      </w:r>
      <w:r w:rsidR="00256190">
        <w:t xml:space="preserve">. </w:t>
      </w:r>
      <w:r w:rsidR="002B6DD1" w:rsidRPr="002B6DD1">
        <w:t>It gives CMS a way to direct new work without creating a separate delivery structure, while keeping work aligned to existing stakeholder communications, tracking, reporting, and handoffs across the ER&amp;R ecosystem</w:t>
      </w:r>
      <w:r>
        <w:t>.</w:t>
      </w:r>
    </w:p>
    <w:p w14:paraId="685CC6EA" w14:textId="21750211" w:rsidR="00795CAA" w:rsidRPr="00795CAA" w:rsidRDefault="003D5F85" w:rsidP="00750184">
      <w:pPr>
        <w:pStyle w:val="Bulletlevel1"/>
      </w:pPr>
      <w:r>
        <w:t>This effort will be</w:t>
      </w:r>
      <w:r w:rsidR="00A20E75" w:rsidRPr="00A20E75">
        <w:t xml:space="preserve"> most effective when it is treated as a controlled extension of the core stakeholder-support model rather than a collection of disconnected activities. Some work is project-based, such as short studies, data analyses, workshops, and annual manual updates. Other work is operational, including Death PDM response support and the Employer Notice Helpdesk. In both cases, CMS needs rapid activation, clear ownership, approved scripts and materials where applicable, traceable issue handling, dependable reporting, and coordination across CMS, federal and state partners, and related contractors</w:t>
      </w:r>
      <w:r w:rsidR="00795CAA" w:rsidRPr="00795CAA">
        <w:t xml:space="preserve">. </w:t>
      </w:r>
    </w:p>
    <w:p w14:paraId="2FF406FD" w14:textId="473C2C04" w:rsidR="00087F21" w:rsidRPr="00795CAA" w:rsidRDefault="00087F21" w:rsidP="00750184">
      <w:pPr>
        <w:pStyle w:val="Bulletlevel1"/>
      </w:pPr>
      <w:r w:rsidRPr="00087F21">
        <w:t>Death PDM and Employer Notice support make that need concrete. For Death PDM, the contractor must support consumer response activity, track callers who are successfully matched to the list of notified deceased consumers, and provide a running list to the FFE by email on a weekly basis once the line is open. For the Employer Notice Helpdesk, the contractor must support a toll-free telephone line with TTY services, inbound calls and voicemails, outbound calls, transfers, CMS-approved scripts, organized issue triage and tracking, and weekly, monthly, and annual performance and issue reporting during Monday through Friday operations from 8 AM to 8 PM Eastern Time, excluding federal holidays</w:t>
      </w:r>
    </w:p>
    <w:p w14:paraId="2A95F3FF" w14:textId="33ED690C" w:rsidR="00CA4C3D" w:rsidRPr="00795CAA" w:rsidRDefault="00CA4C3D" w:rsidP="00750184">
      <w:pPr>
        <w:pStyle w:val="Bulletlevel1"/>
      </w:pPr>
      <w:r w:rsidRPr="00CA4C3D">
        <w:t>The annual FFE Enrollment Manual is another example of Task 10’s role. CMS needs subject matter support across preparation, edit and review, clearance, and education and publication, along with project planning, stakeholder engagement, meeting facilitation, iteration tracking, and approval support across the January to July cycle or as otherwise directed by CMS</w:t>
      </w:r>
    </w:p>
    <w:p w14:paraId="3045E715" w14:textId="7190D35E" w:rsidR="00795CAA" w:rsidRPr="003414BC" w:rsidRDefault="00702997" w:rsidP="00750184">
      <w:pPr>
        <w:pStyle w:val="Bulletlevel1"/>
      </w:pPr>
      <w:r>
        <w:lastRenderedPageBreak/>
        <w:t>This effort is dependent upon</w:t>
      </w:r>
      <w:r w:rsidR="00795CAA" w:rsidRPr="00795CAA">
        <w:t xml:space="preserve"> the same coordination environment as the rest of ER&amp;R. The SOW calls for collaboration with CMS, federal and state agencies, and multiple contractors, including Data Services Hub, Eligibility Support, Federal Exchange, Marketplace System Integrator, Operations Analytics, Operations Support, and Stakeholder Engagement. </w:t>
      </w:r>
    </w:p>
    <w:p w14:paraId="09159350" w14:textId="53508E60" w:rsidR="004C1628" w:rsidRPr="003414BC" w:rsidRDefault="004C1628" w:rsidP="004C1628">
      <w:pPr>
        <w:pStyle w:val="BodyText"/>
      </w:pPr>
      <w:r w:rsidRPr="004C1628">
        <w:t>Taken together, Task 10 is best understood as CMS’s controlled activation lane for targeted support functions and special projects that need to launch quickly, connect cleanly to the broader ER&amp;R operating environment, and remain accurate, traceable, and manageable as direction evolves</w:t>
      </w:r>
      <w:r w:rsidR="00750184">
        <w:t>.</w:t>
      </w:r>
    </w:p>
    <w:p w14:paraId="689CD439" w14:textId="6D198DC8" w:rsidR="00750184" w:rsidRDefault="00750184" w:rsidP="00750184">
      <w:pPr>
        <w:pStyle w:val="FigureTitle"/>
      </w:pPr>
      <w:r>
        <w:t>Figure 1.2.9-1. [Deloitte to populate: figure title and graphic].</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Subheading1"/>
        <w:rPr>
          <w:u w:val="single"/>
        </w:rPr>
      </w:pPr>
      <w:r w:rsidRPr="005E1602">
        <w:rPr>
          <w:u w:val="single"/>
        </w:rPr>
        <w:t>Our Approach</w:t>
      </w:r>
    </w:p>
    <w:p w14:paraId="44FF59A4" w14:textId="5636226B" w:rsidR="00796F9F" w:rsidRPr="000324D6" w:rsidRDefault="004B1A93" w:rsidP="00750184">
      <w:pPr>
        <w:pStyle w:val="Subheading1"/>
        <w:rPr>
          <w:b w:val="0"/>
        </w:rPr>
      </w:pPr>
      <w:r>
        <w:lastRenderedPageBreak/>
        <w:t xml:space="preserve">Task </w:t>
      </w:r>
      <w:r w:rsidR="00BF0924">
        <w:rPr>
          <w:bCs/>
        </w:rPr>
        <w:t>10.1</w:t>
      </w:r>
      <w:r>
        <w:rPr>
          <w:bCs/>
        </w:rPr>
        <w:t xml:space="preserve"> </w:t>
      </w:r>
      <w:r w:rsidR="00796F9F" w:rsidRPr="000324D6">
        <w:rPr>
          <w:bCs/>
        </w:rPr>
        <w:t>— Short Studies, Special Projects, and Data Analyses</w:t>
      </w:r>
    </w:p>
    <w:p w14:paraId="5835CE6D" w14:textId="392A81C2" w:rsidR="00750184" w:rsidRPr="00750184" w:rsidRDefault="00750184" w:rsidP="00750184">
      <w:pPr>
        <w:pStyle w:val="FigureTitle"/>
      </w:pPr>
      <w:r>
        <w:t>Figure 1.2.9-2. [Deloitte to populate: figure title and graphic].</w:t>
      </w:r>
    </w:p>
    <w:p w14:paraId="58EB0853" w14:textId="77C7930F" w:rsidR="000059FF" w:rsidRPr="000324D6" w:rsidRDefault="000059FF" w:rsidP="000059FF">
      <w:pPr>
        <w:pStyle w:val="BodyText"/>
        <w:jc w:val="center"/>
        <w:rPr>
          <w:b/>
          <w:bCs/>
        </w:rPr>
      </w:pPr>
      <w:r w:rsidRPr="000059FF">
        <w:rPr>
          <w:b/>
          <w:bCs/>
          <w:noProof/>
        </w:rPr>
        <w:drawing>
          <wp:inline distT="0" distB="0" distL="0" distR="0" wp14:anchorId="3E61992A" wp14:editId="398692EE">
            <wp:extent cx="5086350" cy="3778250"/>
            <wp:effectExtent l="0" t="0" r="0" b="0"/>
            <wp:docPr id="31389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6479" name=""/>
                    <pic:cNvPicPr/>
                  </pic:nvPicPr>
                  <pic:blipFill rotWithShape="1">
                    <a:blip r:embed="rId39"/>
                    <a:srcRect l="7265" t="8462" r="7158"/>
                    <a:stretch>
                      <a:fillRect/>
                    </a:stretch>
                  </pic:blipFill>
                  <pic:spPr bwMode="auto">
                    <a:xfrm>
                      <a:off x="0" y="0"/>
                      <a:ext cx="5086350" cy="3778250"/>
                    </a:xfrm>
                    <a:prstGeom prst="rect">
                      <a:avLst/>
                    </a:prstGeom>
                    <a:ln>
                      <a:noFill/>
                    </a:ln>
                    <a:extLst>
                      <a:ext uri="{53640926-AAD7-44D8-BBD7-CCE9431645EC}">
                        <a14:shadowObscured xmlns:a14="http://schemas.microsoft.com/office/drawing/2010/main"/>
                      </a:ext>
                    </a:extLst>
                  </pic:spPr>
                </pic:pic>
              </a:graphicData>
            </a:graphic>
          </wp:inline>
        </w:drawing>
      </w:r>
    </w:p>
    <w:p w14:paraId="1FCA40E3" w14:textId="77777777" w:rsidR="00796F9F" w:rsidRPr="00796F9F" w:rsidRDefault="00796F9F" w:rsidP="004E4D55">
      <w:pPr>
        <w:pStyle w:val="Bulletlevel1"/>
      </w:pPr>
      <w:r w:rsidRPr="00796F9F">
        <w:t>Activate a standardized Ad Hoc Request Intake and Scoping Protocol upon receipt of any COR-directed request, using a lightweight charter template that captures problem statement, data requirements, success criteria, deliverable format, and timeline — with a confirmation brief to the COR within two (2) business days to validate scope and assumptions before analysis begins, reducing rework caused by ambiguous requests.</w:t>
      </w:r>
    </w:p>
    <w:p w14:paraId="2D281145" w14:textId="77777777" w:rsidR="00796F9F" w:rsidRPr="00796F9F" w:rsidRDefault="00796F9F" w:rsidP="004E4D55">
      <w:pPr>
        <w:pStyle w:val="Bulletlevel1"/>
      </w:pPr>
      <w:r w:rsidRPr="00796F9F">
        <w:t>Maintain a pre-positioned analytical playbook for high-frequency study types — improper enrollment, failure-to-reconcile (FTR), SEP verification, data matching inconsistency (DMI) analysis, and duplicate enrollment — containing reusable methodologies, analytic logic, data dictionaries, QA checklists, and shell templates for briefs, memoranda, dashboards, and issue papers, so urgent requests stand up faster while methodological consistency and defensibility are preserved across studies.</w:t>
      </w:r>
    </w:p>
    <w:p w14:paraId="752B3E82" w14:textId="77777777" w:rsidR="00796F9F" w:rsidRPr="00796F9F" w:rsidRDefault="00796F9F" w:rsidP="004E4D55">
      <w:pPr>
        <w:pStyle w:val="Bulletlevel1"/>
      </w:pPr>
      <w:r w:rsidRPr="00796F9F">
        <w:t>Apply a tiered capacity model that distinguishes short-cycle analyses (quick-turn data pulls, trend snapshots) from complex policy-driven studies (regulatory impact assessments, multi-system reconciliation studies), giving CMS the right level of support for each request without paying for excess standing capacity.</w:t>
      </w:r>
    </w:p>
    <w:p w14:paraId="1709F525" w14:textId="77777777" w:rsidR="00796F9F" w:rsidRPr="00796F9F" w:rsidRDefault="00796F9F" w:rsidP="004E4D55">
      <w:pPr>
        <w:pStyle w:val="Bulletlevel1"/>
      </w:pPr>
      <w:r w:rsidRPr="00796F9F">
        <w:t>Execute Task 10 within the analytics environment established under Task 9, using CMS's existing Snowflake and Power BI tools to perform ad hoc analyses and to assess whether each one-time request should be converted into a repeatable monitoring product, dashboard, standard query, or self-service analytic — turning recurring questions into operational monitoring capability rather than one-off deliverables.</w:t>
      </w:r>
    </w:p>
    <w:p w14:paraId="740E3FEA" w14:textId="77777777" w:rsidR="00796F9F" w:rsidRPr="00796F9F" w:rsidRDefault="00796F9F" w:rsidP="004E4D55">
      <w:pPr>
        <w:pStyle w:val="Bulletlevel1"/>
      </w:pPr>
      <w:r w:rsidRPr="00796F9F">
        <w:t xml:space="preserve">Leverage cross-task data already governed under the contract — including ER&amp;R dispute data, CERRS casework, 834/820 transaction files, and HICS flagging patterns from Tasks 1–9 — to reduce </w:t>
      </w:r>
      <w:r w:rsidRPr="00796F9F">
        <w:lastRenderedPageBreak/>
        <w:t>duplicative pulls, shorten time to insight, and improve consistency across reporting and special studies; structure ad hoc reports for reuse so findings can feed the weekly, monthly, and annual reporting under Task 9 wherever appropriate.</w:t>
      </w:r>
    </w:p>
    <w:p w14:paraId="61B6EC0B" w14:textId="77777777" w:rsidR="00796F9F" w:rsidRPr="00796F9F" w:rsidRDefault="00796F9F" w:rsidP="004E4D55">
      <w:pPr>
        <w:pStyle w:val="Bulletlevel1"/>
      </w:pPr>
      <w:r w:rsidRPr="00796F9F">
        <w:t>Proactively surface analytically grounded opportunities for program integrity and process optimization rather than waiting solely for COR-directed work — bringing forward targeted recommendations on emerging patterns such as duplicate enrollment risks, SEP abuse indicators, and issuer outliers, drawing on Deloitte's program integrity and payment/reconciliation analytics experience from comparable engagements.</w:t>
      </w:r>
    </w:p>
    <w:p w14:paraId="418A3B89" w14:textId="77777777" w:rsidR="00796F9F" w:rsidRPr="00796F9F" w:rsidRDefault="00796F9F" w:rsidP="004E4D55">
      <w:pPr>
        <w:pStyle w:val="Bulletlevel1"/>
      </w:pPr>
      <w:r w:rsidRPr="00796F9F">
        <w:t>Drive findings into operational improvement through a closed-loop process — when analyses reveal recurring control gaps, avoidable defects, or process bottlenecks, route insights to the appropriate process and QA leads (under Task 9) for root-cause assessment and corrective-action planning, converting one-shot studies into a continuous improvement loop with measurable process enhancement over time.</w:t>
      </w:r>
    </w:p>
    <w:p w14:paraId="6F1AD2EE" w14:textId="77777777" w:rsidR="00796F9F" w:rsidRPr="00796F9F" w:rsidRDefault="00796F9F" w:rsidP="004E4D55">
      <w:pPr>
        <w:pStyle w:val="Bulletlevel1"/>
      </w:pPr>
      <w:r w:rsidRPr="00796F9F">
        <w:t>Apply the 2025 Marketplace Integrity and Affordability Final Rule as the analytic lens for studies touching Marketplace integrity, enrollment verification, or affordability — framing findings around current regulatory requirements (improper enrollments, SEP verification, income validation) and accounting for subsequent legal stays affecting certain provisions, so CMS receives compliance-aware conclusions.</w:t>
      </w:r>
    </w:p>
    <w:p w14:paraId="731ADE55" w14:textId="77777777" w:rsidR="00796F9F" w:rsidRPr="00796F9F" w:rsidRDefault="00796F9F" w:rsidP="004E4D55">
      <w:pPr>
        <w:pStyle w:val="Bulletlevel1"/>
      </w:pPr>
      <w:r w:rsidRPr="00796F9F">
        <w:t>Maintain a rolling Special Projects Tracker accessible to the COR capturing each active and queued request, current status, assigned owner, data dependencies, deliverable type, risks, and target completion date — supporting prioritization, real-time visibility, and proactive escalation of at-risk items.</w:t>
      </w:r>
    </w:p>
    <w:p w14:paraId="68D0560B" w14:textId="77777777" w:rsidR="00796F9F" w:rsidRPr="00796F9F" w:rsidRDefault="00796F9F" w:rsidP="004E4D55">
      <w:pPr>
        <w:pStyle w:val="Bulletlevel1"/>
      </w:pPr>
      <w:r w:rsidRPr="00796F9F">
        <w:t>Document assumptions, source data constraints, and methodological limitations for every deliverable — particularly where FMPS, MIDAS, issuer files, or other inputs may present completeness or quality concerns — so findings are credible, reproducible, and resilient under reviewer scrutiny.</w:t>
      </w:r>
    </w:p>
    <w:p w14:paraId="3C73FF4E" w14:textId="152D5DAD" w:rsidR="003B1501" w:rsidRPr="000324D6" w:rsidRDefault="003B1501" w:rsidP="00563ECD">
      <w:pPr>
        <w:pStyle w:val="Subheading1"/>
        <w:rPr>
          <w:b w:val="0"/>
        </w:rPr>
      </w:pPr>
      <w:r>
        <w:t xml:space="preserve">Task 10.2 </w:t>
      </w:r>
      <w:r w:rsidRPr="000324D6">
        <w:rPr>
          <w:bCs/>
        </w:rPr>
        <w:t xml:space="preserve">— </w:t>
      </w:r>
      <w:r>
        <w:rPr>
          <w:bCs/>
        </w:rPr>
        <w:t xml:space="preserve">Ad Hoc </w:t>
      </w:r>
      <w:commentRangeStart w:id="79"/>
      <w:r>
        <w:rPr>
          <w:bCs/>
        </w:rPr>
        <w:t>Trainings</w:t>
      </w:r>
      <w:commentRangeEnd w:id="79"/>
      <w:r w:rsidR="00B53833" w:rsidRPr="000324D6">
        <w:rPr>
          <w:rStyle w:val="CommentReference"/>
          <w:b w:val="0"/>
          <w:sz w:val="24"/>
          <w:szCs w:val="22"/>
        </w:rPr>
        <w:commentReference w:id="79"/>
      </w:r>
    </w:p>
    <w:p w14:paraId="015834EF" w14:textId="6675A8AF" w:rsidR="00691F41" w:rsidRPr="00691F41" w:rsidRDefault="00691F41" w:rsidP="00691F41">
      <w:pPr>
        <w:pStyle w:val="BodyText"/>
      </w:pPr>
      <w:r w:rsidRPr="00563ECD">
        <w:rPr>
          <w:rStyle w:val="CharacterBold"/>
        </w:rPr>
        <w:t>Understanding:</w:t>
      </w:r>
      <w:r w:rsidRPr="00691F41">
        <w:t xml:space="preserve"> </w:t>
      </w:r>
      <w:r w:rsidR="005C7260">
        <w:t xml:space="preserve">As CMS modernizes </w:t>
      </w:r>
      <w:r w:rsidR="00B51BD3">
        <w:t>and enhances existing systems, human decision making and performance may depend on training topics yet to emerge.</w:t>
      </w:r>
      <w:r w:rsidR="005C7260">
        <w:t xml:space="preserve"> </w:t>
      </w:r>
      <w:r w:rsidR="0085689E">
        <w:t>Task 10.2 requires</w:t>
      </w:r>
      <w:r w:rsidR="00FD7E47">
        <w:t xml:space="preserve"> </w:t>
      </w:r>
      <w:r w:rsidR="0086385D">
        <w:t>efficient identification, development, and deployment of</w:t>
      </w:r>
      <w:r w:rsidR="0085689E">
        <w:t xml:space="preserve"> </w:t>
      </w:r>
      <w:r w:rsidR="00CE73FC">
        <w:t xml:space="preserve">training support that complements existing capability building throughout </w:t>
      </w:r>
      <w:r w:rsidR="00187BD5">
        <w:t xml:space="preserve">the CMS ER&amp;R </w:t>
      </w:r>
      <w:r w:rsidR="00930BF3">
        <w:t>modernization</w:t>
      </w:r>
      <w:r w:rsidR="00187BD5">
        <w:t xml:space="preserve"> program</w:t>
      </w:r>
      <w:r w:rsidR="00030ED8">
        <w:t xml:space="preserve"> and the Stakeholder Engagement contractor’s </w:t>
      </w:r>
      <w:r w:rsidR="00930BF3">
        <w:t>training program</w:t>
      </w:r>
      <w:r w:rsidR="00187BD5">
        <w:t xml:space="preserve">. </w:t>
      </w:r>
      <w:r w:rsidR="00654E9D">
        <w:t xml:space="preserve">This training may include </w:t>
      </w:r>
      <w:r w:rsidR="00DD609C">
        <w:t xml:space="preserve">advanced subject matter development or </w:t>
      </w:r>
      <w:r w:rsidR="00716E50">
        <w:t xml:space="preserve">surge training efforts to maximize the operationalization of </w:t>
      </w:r>
      <w:r w:rsidRPr="00691F41">
        <w:t>ER&amp;R, 1095-A, CCHC, and underlying CMS systems</w:t>
      </w:r>
      <w:r w:rsidR="00D668A0">
        <w:t>.</w:t>
      </w:r>
    </w:p>
    <w:p w14:paraId="52B7AC45" w14:textId="4783C9F7" w:rsidR="00602CDA" w:rsidRDefault="00602CDA" w:rsidP="00602CDA">
      <w:pPr>
        <w:pStyle w:val="FigureTitle"/>
      </w:pPr>
      <w:r>
        <w:t>Figure 1.2.9-3. [Deloitte to populate: figure title and graphic].</w:t>
      </w:r>
    </w:p>
    <w:p w14:paraId="5A98D73F" w14:textId="236DC050" w:rsidR="00255A70" w:rsidRPr="00691F41" w:rsidRDefault="00602CDA" w:rsidP="00602CDA">
      <w:pPr>
        <w:pStyle w:val="FigureGraphic"/>
      </w:pPr>
      <w:r>
        <w:rPr>
          <w:noProof/>
        </w:rPr>
        <w:drawing>
          <wp:inline distT="0" distB="0" distL="0" distR="0" wp14:anchorId="57548BEF" wp14:editId="7F80B7E5">
            <wp:extent cx="5099050" cy="4504055"/>
            <wp:effectExtent l="0" t="0" r="6350" b="0"/>
            <wp:docPr id="1739038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a:extLst>
                        <a:ext uri="{28A0092B-C50C-407E-A947-70E740481C1C}">
                          <a14:useLocalDpi xmlns:a14="http://schemas.microsoft.com/office/drawing/2010/main" val="0"/>
                        </a:ext>
                      </a:extLst>
                    </a:blip>
                    <a:srcRect l="7264" t="6952" r="6955"/>
                    <a:stretch>
                      <a:fillRect/>
                    </a:stretch>
                  </pic:blipFill>
                  <pic:spPr bwMode="auto">
                    <a:xfrm>
                      <a:off x="0" y="0"/>
                      <a:ext cx="5099050" cy="4504055"/>
                    </a:xfrm>
                    <a:prstGeom prst="rect">
                      <a:avLst/>
                    </a:prstGeom>
                    <a:noFill/>
                    <a:ln>
                      <a:noFill/>
                    </a:ln>
                    <a:extLst>
                      <a:ext uri="{53640926-AAD7-44D8-BBD7-CCE9431645EC}">
                        <a14:shadowObscured xmlns:a14="http://schemas.microsoft.com/office/drawing/2010/main"/>
                      </a:ext>
                    </a:extLst>
                  </pic:spPr>
                </pic:pic>
              </a:graphicData>
            </a:graphic>
          </wp:inline>
        </w:drawing>
      </w:r>
    </w:p>
    <w:p w14:paraId="2FF36ED2" w14:textId="63BE4829" w:rsidR="000E077D" w:rsidRDefault="00691F41" w:rsidP="0036747B">
      <w:pPr>
        <w:pStyle w:val="Bulletlevel1"/>
      </w:pPr>
      <w:r w:rsidRPr="0036747B">
        <w:rPr>
          <w:rStyle w:val="CharacterBold"/>
        </w:rPr>
        <w:t>Apply a structured intake and curriculum design protocol</w:t>
      </w:r>
      <w:r w:rsidR="00957B30" w:rsidRPr="0036747B">
        <w:rPr>
          <w:rStyle w:val="CharacterBold"/>
        </w:rPr>
        <w:t>:</w:t>
      </w:r>
      <w:r w:rsidRPr="00691F41">
        <w:t xml:space="preserve"> </w:t>
      </w:r>
      <w:r w:rsidR="00957B30">
        <w:t>Establish a common design, governance, and delivery model</w:t>
      </w:r>
      <w:r w:rsidRPr="00691F41">
        <w:t xml:space="preserve"> triggered by COR direction </w:t>
      </w:r>
      <w:r w:rsidR="00B17714">
        <w:t>that</w:t>
      </w:r>
      <w:r w:rsidRPr="00691F41">
        <w:t xml:space="preserve"> confirm</w:t>
      </w:r>
      <w:r w:rsidR="00B17714">
        <w:t>s</w:t>
      </w:r>
      <w:r w:rsidRPr="00691F41">
        <w:t xml:space="preserve"> audience (issuers, SBEs, agents/brokers, assisters, CMS internal teams, or contractor partners), training objectives, regulatory or operational driver (e.g., Payment Notice change, Enrollment Manual revision, new system release), preferred format (webinar, workshop, office hours, </w:t>
      </w:r>
      <w:r w:rsidR="00E721B8">
        <w:t>web-based training</w:t>
      </w:r>
      <w:r w:rsidRPr="00691F41">
        <w:t>, in</w:t>
      </w:r>
      <w:r w:rsidR="00E721B8">
        <w:t>structor-led training</w:t>
      </w:r>
      <w:r w:rsidRPr="00691F41">
        <w:t xml:space="preserve">), and target delivery date so each engagement is scoped before development begins. </w:t>
      </w:r>
    </w:p>
    <w:p w14:paraId="5B770773" w14:textId="6E92ACC8" w:rsidR="00E83DC6" w:rsidRDefault="00691F41" w:rsidP="0036747B">
      <w:pPr>
        <w:pStyle w:val="Bulletlevel1"/>
      </w:pPr>
      <w:r w:rsidRPr="0036747B">
        <w:rPr>
          <w:rStyle w:val="CharacterBold"/>
        </w:rPr>
        <w:t>Develop training content using a modular, reusable architecture</w:t>
      </w:r>
      <w:r w:rsidRPr="00691F41">
        <w:t xml:space="preserve"> anchored to the FFE Enrollment Manual, current SOPs, and live CERRS/HICS/SEED/EDA CORE configurations so material is operationally accurate, can be updated quickly when regulations or systems change, and can be repurposed across delivery formats</w:t>
      </w:r>
      <w:r w:rsidR="000774B6">
        <w:t>.</w:t>
      </w:r>
    </w:p>
    <w:p w14:paraId="5856080F" w14:textId="27D413C0" w:rsidR="00D75759" w:rsidRDefault="00E124B0" w:rsidP="0036747B">
      <w:pPr>
        <w:pStyle w:val="Bulletlevel1"/>
      </w:pPr>
      <w:r w:rsidRPr="0036747B">
        <w:rPr>
          <w:rStyle w:val="CharacterBold"/>
        </w:rPr>
        <w:t>Human performance experts are paired with subject matter experts</w:t>
      </w:r>
      <w:r>
        <w:t xml:space="preserve"> to design training that matches format (e.g., microlearnings, realistic scenario-based workshops, reinforcement nudges, or performance-focused resources) to audience and topic using modern adult learning principles.</w:t>
      </w:r>
    </w:p>
    <w:p w14:paraId="745BF71D" w14:textId="146CA802" w:rsidR="004517C4" w:rsidRDefault="00E124B0" w:rsidP="0036747B">
      <w:pPr>
        <w:pStyle w:val="Bulletlevel1"/>
      </w:pPr>
      <w:r w:rsidRPr="0036747B">
        <w:rPr>
          <w:rStyle w:val="CharacterBold"/>
        </w:rPr>
        <w:t>Performance- and outcome-driven development methodology:</w:t>
      </w:r>
      <w:r>
        <w:t xml:space="preserve"> Design training backward from the desired business outcomes (e.g., speed to proficiency, policy adherence, quality, customer experience, reduced handle time, improved accuracy, and adoption of new tools) using role-based learning journeys. Use QA findings to drive identification of new training topics.</w:t>
      </w:r>
    </w:p>
    <w:p w14:paraId="32D1D7A6" w14:textId="3B8E9DD8" w:rsidR="00522843" w:rsidRDefault="00884E22" w:rsidP="0036747B">
      <w:pPr>
        <w:pStyle w:val="Bulletlevel1"/>
      </w:pPr>
      <w:r w:rsidRPr="0036747B">
        <w:rPr>
          <w:rStyle w:val="CharacterBold"/>
        </w:rPr>
        <w:t>508</w:t>
      </w:r>
      <w:r w:rsidR="00D268CE" w:rsidRPr="0036747B">
        <w:rPr>
          <w:rStyle w:val="CharacterBold"/>
        </w:rPr>
        <w:t xml:space="preserve"> and CMS compliance</w:t>
      </w:r>
      <w:r w:rsidRPr="0036747B">
        <w:rPr>
          <w:rStyle w:val="CharacterBold"/>
        </w:rPr>
        <w:t xml:space="preserve"> by design:</w:t>
      </w:r>
      <w:r>
        <w:t xml:space="preserve"> Embed accessibility and Section 508 requirements into content standards, authoring, testing, and delivery to ensure training is usable for all learners and suitable for </w:t>
      </w:r>
      <w:r>
        <w:lastRenderedPageBreak/>
        <w:t xml:space="preserve">regulated or public-sector environments. </w:t>
      </w:r>
      <w:r w:rsidR="00D268CE">
        <w:t>Partner with CMS</w:t>
      </w:r>
      <w:r w:rsidR="00691F41">
        <w:t xml:space="preserve"> training infrastructure</w:t>
      </w:r>
      <w:r w:rsidR="00691F41" w:rsidRPr="00691F41">
        <w:t xml:space="preserve"> </w:t>
      </w:r>
      <w:r w:rsidR="00521F57">
        <w:t>offices to host and deliver content based on target audience (</w:t>
      </w:r>
      <w:r w:rsidR="00691F41" w:rsidRPr="00691F41">
        <w:t xml:space="preserve">REGTAP for issuer/SBE/assister </w:t>
      </w:r>
      <w:r w:rsidR="004B520F">
        <w:t>content</w:t>
      </w:r>
      <w:r w:rsidR="00691F41" w:rsidRPr="00691F41">
        <w:t xml:space="preserve">, MLMS </w:t>
      </w:r>
      <w:r w:rsidR="004B520F">
        <w:t>for</w:t>
      </w:r>
      <w:r w:rsidR="00691F41" w:rsidRPr="00691F41">
        <w:t xml:space="preserve"> agent/broker audiences</w:t>
      </w:r>
      <w:r w:rsidR="00522843">
        <w:t>,</w:t>
      </w:r>
      <w:r w:rsidR="00691F41" w:rsidRPr="00691F41">
        <w:t xml:space="preserve"> CMS</w:t>
      </w:r>
      <w:r w:rsidR="00522843">
        <w:t xml:space="preserve"> learning management system for internal staff). </w:t>
      </w:r>
    </w:p>
    <w:p w14:paraId="0492CB43" w14:textId="77777777" w:rsidR="00BD0465" w:rsidRDefault="00691F41" w:rsidP="0036747B">
      <w:pPr>
        <w:pStyle w:val="Bulletlevel1"/>
      </w:pPr>
      <w:r w:rsidRPr="0036747B">
        <w:rPr>
          <w:rStyle w:val="CharacterBold"/>
        </w:rPr>
        <w:t>Coordinate with the Stakeholder Engagement contractor and adjacent contractors</w:t>
      </w:r>
      <w:r w:rsidRPr="00691F41">
        <w:t xml:space="preserve"> (Operations Analytics, FMPS, MSI, Eligibility Support, Federal Exchange Call Center) on any training that touches shared content or audiences</w:t>
      </w:r>
      <w:r w:rsidR="00BD0465">
        <w:t>,</w:t>
      </w:r>
      <w:r w:rsidRPr="00691F41">
        <w:t xml:space="preserve"> using a joint scoping checkpoint to prevent duplication, confirm message consistency, and align on logistics. </w:t>
      </w:r>
    </w:p>
    <w:p w14:paraId="31B35942" w14:textId="52172145" w:rsidR="0036747B" w:rsidRDefault="00396C18" w:rsidP="00602CDA">
      <w:pPr>
        <w:pStyle w:val="Bulletlevel1"/>
      </w:pPr>
      <w:r w:rsidRPr="0036747B">
        <w:rPr>
          <w:rStyle w:val="CharacterBold"/>
        </w:rPr>
        <w:t>Continuous measurement and improvement:</w:t>
      </w:r>
      <w:r>
        <w:t xml:space="preserve"> Track completion, proficiency, and operational performance using automated, data-based measurement aligned with the Kirkpatrick model of evaluation.</w:t>
      </w:r>
    </w:p>
    <w:p w14:paraId="09A8F23E" w14:textId="54863B9D" w:rsidR="0036747B" w:rsidRDefault="00602CDA" w:rsidP="00602CDA">
      <w:pPr>
        <w:pStyle w:val="TableTitle"/>
      </w:pPr>
      <w:r>
        <w:t>Table 1.2.9-1. Task 10 Capabilities Summary.</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7CB3895C" w14:textId="41A85D5F" w:rsidR="001C7A30" w:rsidRPr="000324D6" w:rsidRDefault="001C7A30" w:rsidP="0036747B">
      <w:pPr>
        <w:pStyle w:val="Subheading1"/>
        <w:rPr>
          <w:b w:val="0"/>
        </w:rPr>
      </w:pPr>
      <w:r>
        <w:lastRenderedPageBreak/>
        <w:t xml:space="preserve">Task 10.3 </w:t>
      </w:r>
      <w:r w:rsidRPr="000324D6">
        <w:rPr>
          <w:bCs/>
        </w:rPr>
        <w:t xml:space="preserve">— </w:t>
      </w:r>
      <w:r w:rsidR="00AD655E">
        <w:rPr>
          <w:bCs/>
        </w:rPr>
        <w:t>A</w:t>
      </w:r>
      <w:r w:rsidR="00AD655E" w:rsidRPr="00AD655E">
        <w:rPr>
          <w:bCs/>
        </w:rPr>
        <w:t xml:space="preserve">nnual </w:t>
      </w:r>
      <w:r w:rsidR="00AD655E">
        <w:rPr>
          <w:bCs/>
        </w:rPr>
        <w:t>R</w:t>
      </w:r>
      <w:r w:rsidR="00AD655E" w:rsidRPr="00AD655E">
        <w:rPr>
          <w:bCs/>
        </w:rPr>
        <w:t>evision of the FFE Enrollment Manual</w:t>
      </w:r>
    </w:p>
    <w:p w14:paraId="6462CCB5" w14:textId="038719EF" w:rsidR="0036747B" w:rsidRDefault="0036747B" w:rsidP="0036747B">
      <w:pPr>
        <w:pStyle w:val="FigureTitle"/>
      </w:pPr>
      <w:r>
        <w:t>Figure 1.2.9-4. [Deloitte to populate: figure title and graphic].</w:t>
      </w:r>
    </w:p>
    <w:p w14:paraId="35FA668B" w14:textId="326EB29E" w:rsidR="0036747B" w:rsidRPr="0036747B" w:rsidRDefault="0036747B" w:rsidP="0036747B">
      <w:pPr>
        <w:pStyle w:val="FigureGraphic"/>
      </w:pPr>
      <w:r>
        <w:rPr>
          <w:noProof/>
        </w:rPr>
        <w:drawing>
          <wp:inline distT="0" distB="0" distL="0" distR="0" wp14:anchorId="0CA53280" wp14:editId="2CC3C202">
            <wp:extent cx="5162550" cy="3270250"/>
            <wp:effectExtent l="0" t="0" r="0" b="6350"/>
            <wp:docPr id="542350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1">
                      <a:extLst>
                        <a:ext uri="{28A0092B-C50C-407E-A947-70E740481C1C}">
                          <a14:useLocalDpi xmlns:a14="http://schemas.microsoft.com/office/drawing/2010/main" val="0"/>
                        </a:ext>
                      </a:extLst>
                    </a:blip>
                    <a:srcRect l="6303" t="10867" r="6846" b="3026"/>
                    <a:stretch>
                      <a:fillRect/>
                    </a:stretch>
                  </pic:blipFill>
                  <pic:spPr bwMode="auto">
                    <a:xfrm>
                      <a:off x="0" y="0"/>
                      <a:ext cx="5162550" cy="3270250"/>
                    </a:xfrm>
                    <a:prstGeom prst="rect">
                      <a:avLst/>
                    </a:prstGeom>
                    <a:noFill/>
                    <a:ln>
                      <a:noFill/>
                    </a:ln>
                    <a:extLst>
                      <a:ext uri="{53640926-AAD7-44D8-BBD7-CCE9431645EC}">
                        <a14:shadowObscured xmlns:a14="http://schemas.microsoft.com/office/drawing/2010/main"/>
                      </a:ext>
                    </a:extLst>
                  </pic:spPr>
                </pic:pic>
              </a:graphicData>
            </a:graphic>
          </wp:inline>
        </w:drawing>
      </w:r>
    </w:p>
    <w:p w14:paraId="5D63E426" w14:textId="69ADBF65" w:rsidR="00A65DEF" w:rsidRPr="000324D6" w:rsidRDefault="00A65DEF" w:rsidP="0036747B">
      <w:pPr>
        <w:pStyle w:val="ParagraphSpacer"/>
      </w:pPr>
    </w:p>
    <w:p w14:paraId="110B5B1D" w14:textId="77777777" w:rsidR="004A346A" w:rsidRDefault="004A346A" w:rsidP="0036747B">
      <w:pPr>
        <w:pStyle w:val="Bulletlevel1"/>
      </w:pPr>
      <w:r w:rsidRPr="0036747B">
        <w:rPr>
          <w:rStyle w:val="CharacterBold"/>
        </w:rPr>
        <w:t>Stand up an integrated Manual project team in January</w:t>
      </w:r>
      <w:r w:rsidRPr="004A346A">
        <w:t xml:space="preserve"> pairing Deloitte program management with embedded enrollment, reconciliation, and program integrity SMEs drawn from Tasks 2, 3, 4, 8, and 9 — so the Manual is revised by practitioners who see how chapters on DMIs, SEPs, FTR, ER&amp;R, HICS, PDM, UEs, 1095-A corrections, appeals, and HRAs play out in live casework. </w:t>
      </w:r>
    </w:p>
    <w:p w14:paraId="5C79C6D5" w14:textId="77777777" w:rsidR="00AD36E5" w:rsidRDefault="004A346A" w:rsidP="0036747B">
      <w:pPr>
        <w:pStyle w:val="Bulletlevel1"/>
      </w:pPr>
      <w:r w:rsidRPr="0036747B">
        <w:rPr>
          <w:rStyle w:val="CharacterBold"/>
        </w:rPr>
        <w:t>Develop and maintain an Enrollment Manual Project Plan covering the four phases — Preparation, Edit/Review, Clearance, and Education/Publication — across the January–July timeline</w:t>
      </w:r>
      <w:r w:rsidRPr="004A346A">
        <w:t xml:space="preserve">, anchored to a master schedule with phase gates, owner assignments, version control, and explicit dependencies on regulatory inputs (the annual Payment Notice, Marketplace Stabilization Rule updates, the annual Letter to Issuers, and in-cycle CMS guidance) so CMS retains real-time visibility into status and slippage risk. </w:t>
      </w:r>
    </w:p>
    <w:p w14:paraId="4CCAB807" w14:textId="05EC7CBB" w:rsidR="00D3350C" w:rsidRDefault="004A346A" w:rsidP="0036747B">
      <w:pPr>
        <w:pStyle w:val="Bulletlevel1"/>
      </w:pPr>
      <w:r w:rsidRPr="0036747B">
        <w:rPr>
          <w:rStyle w:val="CharacterBold"/>
        </w:rPr>
        <w:t>Drive the Preparation Phase with a structured regulatory and operational change inventory</w:t>
      </w:r>
      <w:r w:rsidRPr="004A346A">
        <w:t xml:space="preserve">, scanning final rules, Payment Notices, sub-regulatory guidance, the annual Letter to Issuers, ER&amp;R lessons learned, HICS casework patterns, recurring DMI/SEP issues, and SBE/issuer feedback — translating each into a proposed redline scoped to the affected chapter(s) and exhibit(s) for CMS prioritization. </w:t>
      </w:r>
    </w:p>
    <w:p w14:paraId="6111B4EF" w14:textId="77777777" w:rsidR="00EF76F2" w:rsidRDefault="004A346A" w:rsidP="0036747B">
      <w:pPr>
        <w:pStyle w:val="Bulletlevel1"/>
      </w:pPr>
      <w:r w:rsidRPr="0036747B">
        <w:rPr>
          <w:rStyle w:val="CharacterBold"/>
        </w:rPr>
        <w:t>Use AI-assisted document analysis to accelerate the Edit/Review Phase</w:t>
      </w:r>
      <w:r w:rsidRPr="004A346A">
        <w:t xml:space="preserve"> by leveraging Deloitte's GenAI documentation tooling to run cross-reference checks, identify outdated citations, surface inconsistencies between chapters, and flag passages affected by superseded bulletins — while keeping editorial judgment with CMS SMEs and Deloitte content leads under a human-in-the-loop model. </w:t>
      </w:r>
    </w:p>
    <w:p w14:paraId="20FA8EA9" w14:textId="77777777" w:rsidR="00EF76F2" w:rsidRDefault="004A346A" w:rsidP="0036747B">
      <w:pPr>
        <w:pStyle w:val="Bulletlevel1"/>
      </w:pPr>
      <w:r w:rsidRPr="0036747B">
        <w:rPr>
          <w:rStyle w:val="CharacterBold"/>
        </w:rPr>
        <w:t>Manage CCIIO stakeholder engagement and meeting facilitation through a designated Deloitte Manual Lead</w:t>
      </w:r>
      <w:r w:rsidRPr="004A346A">
        <w:t xml:space="preserve"> who coordinates SME assignments, brokers cross-CCIIO decisions across Payment Policy &amp; Financial Management, Eligibility &amp; Enrollment, and the State Exchange Group, and runs the kick-off, weekly stand-ups, and SME working sessions using standardized agendas, decision logs, and </w:t>
      </w:r>
      <w:r w:rsidRPr="004A346A">
        <w:lastRenderedPageBreak/>
        <w:t xml:space="preserve">action trackers that record every disposition (accept / revise / defer / out-of-scope) with a documented rationale and clear owner. </w:t>
      </w:r>
    </w:p>
    <w:p w14:paraId="0AAB4638" w14:textId="77777777" w:rsidR="00A9200B" w:rsidRDefault="004A346A" w:rsidP="0036747B">
      <w:pPr>
        <w:pStyle w:val="Bulletlevel1"/>
      </w:pPr>
      <w:r w:rsidRPr="0036747B">
        <w:rPr>
          <w:rStyle w:val="CharacterBold"/>
        </w:rPr>
        <w:t>Apply rigorous version control and iteration tracking</w:t>
      </w:r>
      <w:r w:rsidRPr="004A346A">
        <w:t xml:space="preserve"> through a centralized, access-controlled working repository with redline-and-clean versioning, edit attribution, and an SME comment-resolution workflow — so no comment is lost between drafts and every change is traceable to a regulatory or operational source, consistent with the broader Program-Integrity-by-design approach. </w:t>
      </w:r>
    </w:p>
    <w:p w14:paraId="58ADED60" w14:textId="77777777" w:rsidR="00A9200B" w:rsidRDefault="004A346A" w:rsidP="0036747B">
      <w:pPr>
        <w:pStyle w:val="Bulletlevel1"/>
      </w:pPr>
      <w:r w:rsidRPr="0036747B">
        <w:rPr>
          <w:rStyle w:val="CharacterBold"/>
        </w:rPr>
        <w:t xml:space="preserve">Treat the Clearance Phase as a structured submission and adjudication process — </w:t>
      </w:r>
      <w:r w:rsidRPr="004A346A">
        <w:t xml:space="preserve">packaging clearance drafts with change summaries, source citations, and unresolved-issue logs for CCIIO leadership; managing comment cycles against committed turnaround windows; and escalating contested edits to the COR with options and recommendations rather than open questions. </w:t>
      </w:r>
    </w:p>
    <w:p w14:paraId="5C815ADB" w14:textId="77777777" w:rsidR="00A9200B" w:rsidRDefault="004A346A" w:rsidP="0036747B">
      <w:pPr>
        <w:pStyle w:val="Bulletlevel1"/>
      </w:pPr>
      <w:r w:rsidRPr="0036747B">
        <w:rPr>
          <w:rStyle w:val="CharacterBold"/>
        </w:rPr>
        <w:t>Coordinate the Education and Publication Phase as a clean handoff to the Stakeholder Engagement contractor —</w:t>
      </w:r>
      <w:r w:rsidRPr="004A346A">
        <w:t xml:space="preserve"> providing the final approved Manual with a substantive change summary, quick-reference change matrices for issuers and SBEs, and SME availability for downstream training development — so the Manual is operationalized for the issuer community, not just published.</w:t>
      </w:r>
    </w:p>
    <w:p w14:paraId="07BD2F18" w14:textId="77777777" w:rsidR="00A9200B" w:rsidRDefault="004A346A" w:rsidP="0036747B">
      <w:pPr>
        <w:pStyle w:val="Bulletlevel1"/>
      </w:pPr>
      <w:r w:rsidRPr="0036747B">
        <w:rPr>
          <w:rStyle w:val="CharacterBold"/>
        </w:rPr>
        <w:t>Maintain a Manual Change Log accessible to the COR</w:t>
      </w:r>
      <w:r w:rsidRPr="004A346A">
        <w:t xml:space="preserve"> capturing every proposed, accepted, deferred, and rejected change across all four phases, with cross-references to the originating regulation, guidance document, or operational issue — supporting the current cycle, forward-year planning, and any later inquiry into specific provisions. </w:t>
      </w:r>
    </w:p>
    <w:p w14:paraId="0415ED05" w14:textId="454AFC50" w:rsidR="005E1602" w:rsidRDefault="004A346A" w:rsidP="0036747B">
      <w:pPr>
        <w:pStyle w:val="Bulletlevel1"/>
      </w:pPr>
      <w:r w:rsidRPr="0036747B">
        <w:rPr>
          <w:rStyle w:val="CharacterBold"/>
        </w:rPr>
        <w:t>Carry Manual updates forward into ER&amp;R operations</w:t>
      </w:r>
      <w:r w:rsidRPr="004A346A">
        <w:t xml:space="preserve"> by refreshing SOPs, QA checklists, training materials, and CERRS/HICS configuration as needed under Task 9 — closing the loop so regulatory and policy changes captured in the Manual are reflected in how Deloitte processes disputes, casework, and reconciliation the moment the Manual takes effect.</w:t>
      </w:r>
    </w:p>
    <w:p w14:paraId="6EDBF6F0" w14:textId="5197F494" w:rsidR="003A1544" w:rsidRPr="000324D6" w:rsidRDefault="003A1544" w:rsidP="0036747B">
      <w:pPr>
        <w:pStyle w:val="Subheading1"/>
        <w:rPr>
          <w:b w:val="0"/>
        </w:rPr>
      </w:pPr>
      <w:r>
        <w:lastRenderedPageBreak/>
        <w:t xml:space="preserve">Task 10.4 </w:t>
      </w:r>
      <w:r w:rsidR="0036747B">
        <w:t>—</w:t>
      </w:r>
      <w:r w:rsidRPr="000324D6">
        <w:t xml:space="preserve"> </w:t>
      </w:r>
      <w:r w:rsidR="002F1DE3">
        <w:rPr>
          <w:bCs/>
        </w:rPr>
        <w:t xml:space="preserve">Death Periodic Data Matching </w:t>
      </w:r>
    </w:p>
    <w:p w14:paraId="270D544C" w14:textId="75284B48" w:rsidR="003B5B37" w:rsidRDefault="0036747B" w:rsidP="0036747B">
      <w:pPr>
        <w:pStyle w:val="FigureTitle"/>
      </w:pPr>
      <w:r>
        <w:t>Figure 1.2.9-5. [Deloitte to populate: figure title and graphic].</w:t>
      </w:r>
    </w:p>
    <w:p w14:paraId="05AA974C" w14:textId="2002FC54" w:rsidR="0036747B" w:rsidRPr="0036747B" w:rsidRDefault="0036747B" w:rsidP="0036747B">
      <w:pPr>
        <w:pStyle w:val="FigureGraphic"/>
      </w:pPr>
      <w:r>
        <w:rPr>
          <w:noProof/>
        </w:rPr>
        <w:drawing>
          <wp:inline distT="0" distB="0" distL="0" distR="0" wp14:anchorId="439FCF4A" wp14:editId="184F3582">
            <wp:extent cx="5175250" cy="4362450"/>
            <wp:effectExtent l="0" t="0" r="0" b="0"/>
            <wp:docPr id="1041789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a:extLst>
                        <a:ext uri="{28A0092B-C50C-407E-A947-70E740481C1C}">
                          <a14:useLocalDpi xmlns:a14="http://schemas.microsoft.com/office/drawing/2010/main" val="0"/>
                        </a:ext>
                      </a:extLst>
                    </a:blip>
                    <a:srcRect l="6837" t="7430" r="6100" b="1420"/>
                    <a:stretch>
                      <a:fillRect/>
                    </a:stretch>
                  </pic:blipFill>
                  <pic:spPr bwMode="auto">
                    <a:xfrm>
                      <a:off x="0" y="0"/>
                      <a:ext cx="5175250" cy="4362450"/>
                    </a:xfrm>
                    <a:prstGeom prst="rect">
                      <a:avLst/>
                    </a:prstGeom>
                    <a:noFill/>
                    <a:ln>
                      <a:noFill/>
                    </a:ln>
                    <a:extLst>
                      <a:ext uri="{53640926-AAD7-44D8-BBD7-CCE9431645EC}">
                        <a14:shadowObscured xmlns:a14="http://schemas.microsoft.com/office/drawing/2010/main"/>
                      </a:ext>
                    </a:extLst>
                  </pic:spPr>
                </pic:pic>
              </a:graphicData>
            </a:graphic>
          </wp:inline>
        </w:drawing>
      </w:r>
    </w:p>
    <w:p w14:paraId="724CAF47" w14:textId="201BB344" w:rsidR="00D24207" w:rsidRDefault="00A91CFE" w:rsidP="0036747B">
      <w:pPr>
        <w:pStyle w:val="BodyTextBulletIntro"/>
      </w:pPr>
      <w:r w:rsidRPr="00A91CFE">
        <w:t>Deloitte will operate Death PDM as a controlled, script-guided response lane aligned to the broader Task 7 support model. We will provide toll-free voicemail support with TTY capability, manage inbound consumer attestations, place outbound calls when appropriate, generate confirmation notices as attestations are received, and maintain accurate tracking of consumers successfully matched to the notified deceased-consumer list. We will provide CMS and the FFE with the required weekly running list through a repeatable reporting process that emphasizes timeliness, traceability, and data accuracy. This approach gives CMS a dependable mechanism to manage a sensitive, low-volume, high-consequence process with clear ownership, visible status, and consistent handling from intake through reporting.</w:t>
      </w:r>
    </w:p>
    <w:p w14:paraId="7DAF3281" w14:textId="77777777" w:rsidR="00845DAC" w:rsidRDefault="00845DAC" w:rsidP="0036747B">
      <w:pPr>
        <w:pStyle w:val="Bulletlevel1"/>
      </w:pPr>
      <w:r w:rsidRPr="0036747B">
        <w:rPr>
          <w:rStyle w:val="CharacterBold"/>
        </w:rPr>
        <w:t>Operate Death PDM as a campaign-based, surge-ready operation aligned to the twice-yearly cycle</w:t>
      </w:r>
      <w:r w:rsidRPr="00845DAC">
        <w:t xml:space="preserve">, scaling staffing and infrastructure up ahead of each notice mailing and back down between cycles — sized to ~5,000 initial warning notices per cycle and a &lt;1% attestation response rate, so CMS pays for capacity proportional to actual demand. </w:t>
      </w:r>
    </w:p>
    <w:p w14:paraId="437D115F" w14:textId="77777777" w:rsidR="00845DAC" w:rsidRDefault="00845DAC" w:rsidP="0036747B">
      <w:pPr>
        <w:pStyle w:val="Bulletlevel1"/>
      </w:pPr>
      <w:r w:rsidRPr="0036747B">
        <w:rPr>
          <w:rStyle w:val="CharacterBold"/>
        </w:rPr>
        <w:t>Stand up a dedicated toll-free Death PDM line with TTY and outbound callback support</w:t>
      </w:r>
      <w:r w:rsidRPr="00845DAC">
        <w:t xml:space="preserve">, routed through Deloitte's existing ER&amp;R contact center infrastructure under Task 7 — leveraging shared platform capabilities while keeping Death PDM handling logically separated to protect caller privacy and dignity. </w:t>
      </w:r>
    </w:p>
    <w:p w14:paraId="1D577FF9" w14:textId="77777777" w:rsidR="00845DAC" w:rsidRDefault="00845DAC" w:rsidP="0036747B">
      <w:pPr>
        <w:pStyle w:val="Bulletlevel1"/>
      </w:pPr>
      <w:r w:rsidRPr="0036747B">
        <w:rPr>
          <w:rStyle w:val="CharacterBold"/>
        </w:rPr>
        <w:t>Train a small, specialized response team in trauma-informed, empathetic call handling</w:t>
      </w:r>
      <w:r w:rsidRPr="00845DAC">
        <w:t xml:space="preserve">, recognizing callers are typically grieving family members or living individuals who received a wrongful </w:t>
      </w:r>
      <w:r w:rsidRPr="00845DAC">
        <w:lastRenderedPageBreak/>
        <w:t xml:space="preserve">death notice — emotionally charged scenarios where careful handling protects both the consumer and CMS from complaints. </w:t>
      </w:r>
    </w:p>
    <w:p w14:paraId="09403D40" w14:textId="4E4FD0F1" w:rsidR="00D157AE" w:rsidRDefault="00845DAC" w:rsidP="0036747B">
      <w:pPr>
        <w:pStyle w:val="Bulletlevel1"/>
      </w:pPr>
      <w:r w:rsidRPr="0036747B">
        <w:rPr>
          <w:rStyle w:val="CharacterBold"/>
        </w:rPr>
        <w:t>Apply a rigorous attestation verification protocol</w:t>
      </w:r>
      <w:r w:rsidRPr="00845DAC">
        <w:t xml:space="preserve"> for every call — capturing identity-verifying details, cross-referencing the CMS-provided list of notified deceased consumers, and flagging failed verifications </w:t>
      </w:r>
      <w:r w:rsidR="00FE0A7E">
        <w:t>for</w:t>
      </w:r>
      <w:r w:rsidRPr="00845DAC">
        <w:t xml:space="preserve"> adjudication rather than auto-accepting unverified claims — consistent with Deloitte's Program-Integrity-by-design approach. </w:t>
      </w:r>
    </w:p>
    <w:p w14:paraId="4C8988C6" w14:textId="77777777" w:rsidR="00A5094F" w:rsidRDefault="00845DAC" w:rsidP="0036747B">
      <w:pPr>
        <w:pStyle w:val="Bulletlevel1"/>
      </w:pPr>
      <w:r w:rsidRPr="0036747B">
        <w:rPr>
          <w:rStyle w:val="CharacterBold"/>
        </w:rPr>
        <w:t>Generate attestation receipt notices on a rolling basis</w:t>
      </w:r>
      <w:r w:rsidRPr="00845DAC">
        <w:t xml:space="preserve"> as verifications are confirmed, leveraging Task 6 notice generation, the existing Death PDM English and Spanish templates from Appendix B, and standard secure transfer to the Federal Marketplace Print contractor. </w:t>
      </w:r>
    </w:p>
    <w:p w14:paraId="776067D8" w14:textId="77777777" w:rsidR="00A5094F" w:rsidRDefault="00845DAC" w:rsidP="0036747B">
      <w:pPr>
        <w:pStyle w:val="Bulletlevel1"/>
      </w:pPr>
      <w:r w:rsidRPr="0036747B">
        <w:rPr>
          <w:rStyle w:val="CharacterBold"/>
        </w:rPr>
        <w:t>Maintain a single authoritative attestation log</w:t>
      </w:r>
      <w:r w:rsidRPr="00845DAC">
        <w:t xml:space="preserve"> capturing every call, attestation status (verified / unverified / unmatched), supporting evidence, receipt notice date, and final disposition — providing audit-ready traceability and a defensible record if a removal is later contested. </w:t>
      </w:r>
    </w:p>
    <w:p w14:paraId="7FB56D3D" w14:textId="77777777" w:rsidR="00A5094F" w:rsidRDefault="00845DAC" w:rsidP="0036747B">
      <w:pPr>
        <w:pStyle w:val="Bulletlevel1"/>
      </w:pPr>
      <w:r w:rsidRPr="0036747B">
        <w:rPr>
          <w:rStyle w:val="CharacterBold"/>
        </w:rPr>
        <w:t>Deliver the required weekly running list of successfully matched attestations to the FFE via secure email</w:t>
      </w:r>
      <w:r w:rsidRPr="00845DAC">
        <w:t xml:space="preserve">, in a COR-approved format, beginning the day the telephone line opens — so FFE operations can suppress automated removal without manual reconciliation. </w:t>
      </w:r>
    </w:p>
    <w:p w14:paraId="11BDF777" w14:textId="77777777" w:rsidR="00A5094F" w:rsidRDefault="00845DAC" w:rsidP="0036747B">
      <w:pPr>
        <w:pStyle w:val="Bulletlevel1"/>
      </w:pPr>
      <w:r w:rsidRPr="0036747B">
        <w:rPr>
          <w:rStyle w:val="CharacterBold"/>
        </w:rPr>
        <w:t>Coordinate attestation outcomes with the broader ER&amp;R termination process</w:t>
      </w:r>
      <w:r w:rsidRPr="00845DAC">
        <w:t xml:space="preserve"> documented in the FFE Enrollment Manual, so Death PDM results are reflected promptly in CERRS, HICS, and downstream FFE systems. </w:t>
      </w:r>
    </w:p>
    <w:p w14:paraId="5AB10877" w14:textId="77777777" w:rsidR="00A5094F" w:rsidRDefault="00845DAC" w:rsidP="0036747B">
      <w:pPr>
        <w:pStyle w:val="Bulletlevel1"/>
      </w:pPr>
      <w:r w:rsidRPr="0036747B">
        <w:rPr>
          <w:rStyle w:val="CharacterBold"/>
        </w:rPr>
        <w:t>Plan for the anticipated expansion to multi-member applications</w:t>
      </w:r>
      <w:r w:rsidRPr="00845DAC">
        <w:t xml:space="preserve"> by designing intake scripts, verification logic, and reporting formats to handle multiple subscribers per case from day one — so the operation is ready when CMS systems enable it, without rework. </w:t>
      </w:r>
    </w:p>
    <w:p w14:paraId="254E3C69" w14:textId="4698458D" w:rsidR="00845DAC" w:rsidRDefault="00845DAC" w:rsidP="0036747B">
      <w:pPr>
        <w:pStyle w:val="Bulletlevel1"/>
      </w:pPr>
      <w:r w:rsidRPr="0036747B">
        <w:rPr>
          <w:rStyle w:val="CharacterBold"/>
        </w:rPr>
        <w:t>Deliver post-cycle reporting to the COR</w:t>
      </w:r>
      <w:r w:rsidRPr="00845DAC">
        <w:t xml:space="preserve"> capturing call volume, attestation rates, verification outcomes, common caller concerns, and any patterns suggesting SSA data quality issues or notice-content improvements — turning each cycle into a feedback loop that strengthens the next.</w:t>
      </w:r>
    </w:p>
    <w:p w14:paraId="203BF964" w14:textId="77092641" w:rsidR="00F776AC" w:rsidRDefault="00D24207" w:rsidP="0036747B">
      <w:pPr>
        <w:pStyle w:val="Subheading1"/>
      </w:pPr>
      <w:r>
        <w:lastRenderedPageBreak/>
        <w:t>Task 10.</w:t>
      </w:r>
      <w:r w:rsidR="00DE4E87">
        <w:t>5</w:t>
      </w:r>
      <w:r>
        <w:t xml:space="preserve"> </w:t>
      </w:r>
      <w:r w:rsidR="0036747B">
        <w:t>—</w:t>
      </w:r>
      <w:r>
        <w:t xml:space="preserve"> </w:t>
      </w:r>
      <w:r w:rsidR="00A90C53">
        <w:t>Employer Notice Help</w:t>
      </w:r>
      <w:r w:rsidR="000B1DE7">
        <w:t>desk</w:t>
      </w:r>
      <w:r>
        <w:t xml:space="preserve"> </w:t>
      </w:r>
    </w:p>
    <w:p w14:paraId="3C8322C7" w14:textId="2CA677F8" w:rsidR="0036747B" w:rsidRDefault="0036747B" w:rsidP="0036747B">
      <w:pPr>
        <w:pStyle w:val="FigureTitle"/>
      </w:pPr>
      <w:r>
        <w:t>Figure 1.2.9-6. [Deloitte to populate: figure title and graphic].</w:t>
      </w:r>
    </w:p>
    <w:p w14:paraId="5028591B" w14:textId="6E96F0F8" w:rsidR="0036747B" w:rsidRPr="0036747B" w:rsidRDefault="0036747B" w:rsidP="0036747B">
      <w:pPr>
        <w:pStyle w:val="FigureGraphic"/>
      </w:pPr>
      <w:r>
        <w:rPr>
          <w:noProof/>
        </w:rPr>
        <w:drawing>
          <wp:inline distT="0" distB="0" distL="0" distR="0" wp14:anchorId="1CC860A8" wp14:editId="590F5D85">
            <wp:extent cx="5124450" cy="4784090"/>
            <wp:effectExtent l="0" t="0" r="0" b="0"/>
            <wp:docPr id="1948427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a:extLst>
                        <a:ext uri="{28A0092B-C50C-407E-A947-70E740481C1C}">
                          <a14:useLocalDpi xmlns:a14="http://schemas.microsoft.com/office/drawing/2010/main" val="0"/>
                        </a:ext>
                      </a:extLst>
                    </a:blip>
                    <a:srcRect l="7265" t="6803" r="6527"/>
                    <a:stretch>
                      <a:fillRect/>
                    </a:stretch>
                  </pic:blipFill>
                  <pic:spPr bwMode="auto">
                    <a:xfrm>
                      <a:off x="0" y="0"/>
                      <a:ext cx="5124450" cy="4784090"/>
                    </a:xfrm>
                    <a:prstGeom prst="rect">
                      <a:avLst/>
                    </a:prstGeom>
                    <a:noFill/>
                    <a:ln>
                      <a:noFill/>
                    </a:ln>
                    <a:extLst>
                      <a:ext uri="{53640926-AAD7-44D8-BBD7-CCE9431645EC}">
                        <a14:shadowObscured xmlns:a14="http://schemas.microsoft.com/office/drawing/2010/main"/>
                      </a:ext>
                    </a:extLst>
                  </pic:spPr>
                </pic:pic>
              </a:graphicData>
            </a:graphic>
          </wp:inline>
        </w:drawing>
      </w:r>
    </w:p>
    <w:p w14:paraId="3039C29C" w14:textId="02A57311" w:rsidR="00D24207" w:rsidRDefault="007F4CAB" w:rsidP="005E1602">
      <w:pPr>
        <w:pStyle w:val="BodyText"/>
      </w:pPr>
      <w:r w:rsidRPr="007F4CAB">
        <w:t xml:space="preserve">Deloitte will operate the Employer Notice Helpdesk as a CMS-aligned, script-governed support function that combines responsive employer service with disciplined issue tracking and reporting. We will provide toll-free and TTY-enabled telephone support, handle inbound calls and voicemails, place outbound calls as needed, and transfer employers to related support functions, including appeals, when required. Deloitte will use a CMS-reviewed and approved script, maintain organized call and issue triage and tracking, and coordinate closely with CMS and partner teams when launch timing, notice language, script content, or operational messaging changes. We will support required operating hours and provide recurring performance and issue reports so CMS has visibility </w:t>
      </w:r>
      <w:r w:rsidR="00C82AC0" w:rsidRPr="007F4CAB">
        <w:t>in contacting</w:t>
      </w:r>
      <w:r w:rsidRPr="007F4CAB">
        <w:t xml:space="preserve"> drivers, recurring questions, and operational trends. This approach gives CMS a stable helpdesk capability that can absorb policy, notice, and messaging updates without disrupting employer support.</w:t>
      </w:r>
    </w:p>
    <w:p w14:paraId="775036C3" w14:textId="77777777" w:rsidR="008E11F1" w:rsidRDefault="00110489" w:rsidP="0036747B">
      <w:pPr>
        <w:pStyle w:val="Bulletlevel1"/>
      </w:pPr>
      <w:r w:rsidRPr="0036747B">
        <w:rPr>
          <w:rStyle w:val="CharacterBold"/>
        </w:rPr>
        <w:t>Stand up the Helpdesk on Deloitte's existing ER&amp;R contact center infrastructure under Task 7</w:t>
      </w:r>
      <w:r w:rsidRPr="00110489">
        <w:t xml:space="preserve">, meeting CMS's preference for an existing system solution while inheriting proven SLA management, secure call recording, and reporting — minimizing standup time and platform cost. </w:t>
      </w:r>
    </w:p>
    <w:p w14:paraId="052025A1" w14:textId="77777777" w:rsidR="008E11F1" w:rsidRDefault="00110489" w:rsidP="0036747B">
      <w:pPr>
        <w:pStyle w:val="Bulletlevel1"/>
      </w:pPr>
      <w:r w:rsidRPr="0036747B">
        <w:rPr>
          <w:rStyle w:val="CharacterBold"/>
        </w:rPr>
        <w:lastRenderedPageBreak/>
        <w:t>Deploy a dedicated toll-free line with TTY</w:t>
      </w:r>
      <w:r w:rsidRPr="00110489">
        <w:t xml:space="preserve"> supporting real-time inbound calls, voicemail, outbound callbacks, and warm transfers to the employer appeals call center, operating Monday–Friday 8 AM–8 PM EST excluding federal holidays. </w:t>
      </w:r>
    </w:p>
    <w:p w14:paraId="1AFF4D09" w14:textId="5FEF947B" w:rsidR="00C06897" w:rsidRDefault="00110489" w:rsidP="0036747B">
      <w:pPr>
        <w:pStyle w:val="Bulletlevel1"/>
      </w:pPr>
      <w:r w:rsidRPr="0036747B">
        <w:rPr>
          <w:rStyle w:val="CharacterBold"/>
        </w:rPr>
        <w:t>Develop a CMS-approved Call Center script</w:t>
      </w:r>
      <w:r w:rsidRPr="00110489">
        <w:t xml:space="preserve"> anchored to current Employer Notice content and the underlying policy framework (employer-coverage affordability, minimum value, ICHRA/QSEHRA, appeals pathways), with a structured update cycle triggered by notice changes, regulatory updates, or recurring caller patterns. </w:t>
      </w:r>
    </w:p>
    <w:p w14:paraId="02120CA8" w14:textId="77777777" w:rsidR="00C06897" w:rsidRDefault="00110489" w:rsidP="0036747B">
      <w:pPr>
        <w:pStyle w:val="Bulletlevel1"/>
      </w:pPr>
      <w:r w:rsidRPr="0036747B">
        <w:rPr>
          <w:rStyle w:val="CharacterBold"/>
        </w:rPr>
        <w:t>Apply an organized triage protocol</w:t>
      </w:r>
      <w:r w:rsidRPr="00110489">
        <w:t xml:space="preserve"> classifying every contact by inquiry type, routing appeals questions to OHI's employer appeals call center, escalating suspected notice or data issues to CMS, and resolving informational inquiries at first contact where possible. </w:t>
      </w:r>
    </w:p>
    <w:p w14:paraId="2495078B" w14:textId="77777777" w:rsidR="00C06897" w:rsidRDefault="00110489" w:rsidP="0036747B">
      <w:pPr>
        <w:pStyle w:val="Bulletlevel1"/>
      </w:pPr>
      <w:r w:rsidRPr="0036747B">
        <w:rPr>
          <w:rStyle w:val="CharacterBold"/>
        </w:rPr>
        <w:t>Maintain a single tracking system of record</w:t>
      </w:r>
      <w:r w:rsidRPr="00110489">
        <w:t xml:space="preserve"> capturing every call and voicemail with timestamp, employer identifiers, inquiry category, disposition, transfer/escalation path, and resolution notes — providing audit-ready traceability and the data foundation for required reporting. </w:t>
      </w:r>
    </w:p>
    <w:p w14:paraId="0449A8F3" w14:textId="77777777" w:rsidR="00C06897" w:rsidRDefault="00110489" w:rsidP="0036747B">
      <w:pPr>
        <w:pStyle w:val="Bulletlevel1"/>
      </w:pPr>
      <w:r w:rsidRPr="0036747B">
        <w:rPr>
          <w:rStyle w:val="CharacterBold"/>
        </w:rPr>
        <w:t>Establish a launch coordination workstream with CCIIO, OHI, and adjacent contractors</w:t>
      </w:r>
      <w:r w:rsidRPr="00110489">
        <w:t xml:space="preserve"> (Federal Exchange Call Center, Stakeholder Engagement, Eligibility Support) covering go-live timing, script approvals, transfer protocols, and joint change control for future notice or messaging updates. </w:t>
      </w:r>
    </w:p>
    <w:p w14:paraId="32241883" w14:textId="77777777" w:rsidR="00C06897" w:rsidRDefault="00110489" w:rsidP="0036747B">
      <w:pPr>
        <w:pStyle w:val="Bulletlevel1"/>
      </w:pPr>
      <w:r w:rsidRPr="0036747B">
        <w:rPr>
          <w:rStyle w:val="CharacterBold"/>
        </w:rPr>
        <w:t>Train Helpdesk agents on Employer Notice subject matter</w:t>
      </w:r>
      <w:r w:rsidRPr="00110489">
        <w:t xml:space="preserve"> using Deloitte's ER&amp;R and FFE Manual SMEs — so agents knowledgeably address why notices are issued, employer-coverage standards, employer options, and appeals routing, while staying within informational support rather than adjudication. </w:t>
      </w:r>
    </w:p>
    <w:p w14:paraId="53DD187B" w14:textId="77777777" w:rsidR="00C06897" w:rsidRDefault="00110489" w:rsidP="0036747B">
      <w:pPr>
        <w:pStyle w:val="Bulletlevel1"/>
      </w:pPr>
      <w:r w:rsidRPr="0036747B">
        <w:rPr>
          <w:rStyle w:val="CharacterBold"/>
        </w:rPr>
        <w:t>Deliver the required weekly, monthly, and annual reports</w:t>
      </w:r>
      <w:r w:rsidRPr="00110489">
        <w:t xml:space="preserve"> covering call volume, handle time, abandonment, voicemail response, transfer rates, top inquiry categories, escalations, and emerging trends — at the COR's chosen frequency, supplemented by ad hoc reporting on request. </w:t>
      </w:r>
    </w:p>
    <w:p w14:paraId="10FFE991" w14:textId="77777777" w:rsidR="00C06897" w:rsidRDefault="00110489" w:rsidP="0036747B">
      <w:pPr>
        <w:pStyle w:val="Bulletlevel1"/>
      </w:pPr>
      <w:r w:rsidRPr="0036747B">
        <w:rPr>
          <w:rStyle w:val="CharacterBold"/>
        </w:rPr>
        <w:t>Surface recurring caller themes to CMS as actionable feedback —</w:t>
      </w:r>
      <w:r w:rsidRPr="00110489">
        <w:t xml:space="preserve"> patterns suggesting notice clarity issues, employer confusion on specific provisions, or upstream data problems — so the Helpdesk informs notice and policy refinement, not just inbound resolution. </w:t>
      </w:r>
    </w:p>
    <w:p w14:paraId="01CB495E" w14:textId="2D9B9BC5" w:rsidR="00C06897" w:rsidRDefault="00110489" w:rsidP="0036747B">
      <w:pPr>
        <w:pStyle w:val="Bulletlevel1"/>
      </w:pPr>
      <w:r w:rsidRPr="0036747B">
        <w:rPr>
          <w:rStyle w:val="CharacterBold"/>
        </w:rPr>
        <w:t>Apply Program-Integrity-by-design controls</w:t>
      </w:r>
      <w:r w:rsidRPr="00110489">
        <w:t xml:space="preserve"> including caller verification, restricted disclosure of privacy-protected consumer information, and clear handoff protocols when callers raise potential fraud or unauthorized-enrollment concerns.</w:t>
      </w:r>
    </w:p>
    <w:p w14:paraId="6953CE01" w14:textId="70200EF9" w:rsidR="00E96C11" w:rsidRDefault="00E96C11" w:rsidP="0036747B">
      <w:pPr>
        <w:pStyle w:val="Bulletlevel1"/>
      </w:pPr>
      <w:r w:rsidRPr="0036747B">
        <w:rPr>
          <w:rStyle w:val="CharacterBold"/>
        </w:rPr>
        <w:t xml:space="preserve">Proof Point </w:t>
      </w:r>
      <w:r w:rsidR="00F747B6" w:rsidRPr="0036747B">
        <w:rPr>
          <w:rStyle w:val="CharacterBold"/>
        </w:rPr>
        <w:t>|</w:t>
      </w:r>
      <w:r w:rsidRPr="0036747B">
        <w:rPr>
          <w:rStyle w:val="CharacterBold"/>
        </w:rPr>
        <w:t xml:space="preserve"> Rapid activation of targeted support operations:</w:t>
      </w:r>
      <w:r w:rsidRPr="00C06897">
        <w:rPr>
          <w:b/>
          <w:bCs/>
        </w:rPr>
        <w:t xml:space="preserve"> </w:t>
      </w:r>
      <w:r w:rsidRPr="00701A0B">
        <w:t>Deloitte rapidly deployed a targeted federal contact center operation for CDC’s Vaccine Administration Management System (VAMS) in response to high support demand at rollout. Deloitte stood up an AWS Connect-based call center to support end users, jurisdictions, and clinics, backed by training, quality assurance, reporting, SLA monitoring, and knowledge</w:t>
      </w:r>
      <w:r w:rsidR="004B0FE9">
        <w:t xml:space="preserve"> </w:t>
      </w:r>
      <w:r w:rsidRPr="00701A0B">
        <w:t>management support. Deloitte</w:t>
      </w:r>
      <w:r w:rsidR="004B0FE9">
        <w:t xml:space="preserve"> can</w:t>
      </w:r>
      <w:r w:rsidRPr="00701A0B">
        <w:t xml:space="preserve"> activate focused support operations quickly and run them with the structure and reporting discipline needed for CMS</w:t>
      </w:r>
      <w:r w:rsidR="004B0FE9">
        <w:t xml:space="preserve"> </w:t>
      </w:r>
      <w:r w:rsidRPr="00701A0B">
        <w:t>Task 10 support lanes.</w:t>
      </w:r>
    </w:p>
    <w:p w14:paraId="3DE8572F" w14:textId="7B75D0A2" w:rsidR="00D148F4" w:rsidRPr="00D148F4" w:rsidRDefault="00D148F4" w:rsidP="0036747B">
      <w:pPr>
        <w:pStyle w:val="Subheading1"/>
        <w:rPr>
          <w:b w:val="0"/>
        </w:rPr>
      </w:pPr>
      <w:r w:rsidRPr="0036747B">
        <w:t xml:space="preserve">Task 10.6 </w:t>
      </w:r>
      <w:r w:rsidR="0036747B" w:rsidRPr="0036747B">
        <w:t>—</w:t>
      </w:r>
      <w:r w:rsidRPr="0036747B">
        <w:t xml:space="preserve"> Projects</w:t>
      </w:r>
      <w:r>
        <w:rPr>
          <w:bCs/>
        </w:rPr>
        <w:t xml:space="preserve"> Related to the Scope of the SOW Inclusive of all Tasks</w:t>
      </w:r>
    </w:p>
    <w:p w14:paraId="243FE180" w14:textId="77777777" w:rsidR="00570384" w:rsidRDefault="00570384" w:rsidP="0036747B">
      <w:pPr>
        <w:pStyle w:val="Bulletlevel1"/>
      </w:pPr>
      <w:r w:rsidRPr="0036747B">
        <w:rPr>
          <w:rStyle w:val="CharacterBold"/>
        </w:rPr>
        <w:t>Treat the catch-all clause as a structured intake channel, not unbounded scope —</w:t>
      </w:r>
      <w:r w:rsidRPr="00570384">
        <w:t xml:space="preserve"> applying the Ad Hoc Request Intake and Scoping Protocol from Task 10.1 to confirm problem statement, deliverable format, success criteria, and timeline with the COR before work begins, and rolling each request into the Special Projects Tracker for unified visibility across all Task 10 subsections. </w:t>
      </w:r>
    </w:p>
    <w:p w14:paraId="4DA8EFB8" w14:textId="77777777" w:rsidR="00570384" w:rsidRDefault="00570384" w:rsidP="0036747B">
      <w:pPr>
        <w:pStyle w:val="Bulletlevel1"/>
      </w:pPr>
      <w:r w:rsidRPr="0036747B">
        <w:rPr>
          <w:rStyle w:val="CharacterBold"/>
        </w:rPr>
        <w:t xml:space="preserve">Draw on a cross-task SME bench spanning Tasks 1–9 — </w:t>
      </w:r>
      <w:r w:rsidRPr="00570384">
        <w:t xml:space="preserve">issuer disputes, 1095-A reconciliation, CCHC casework, FFE updates, notice generation, telephony, IT systems, and SOPs/QA — and apply Deloitte's surge-support model to scale resources up for short-duration projects without disrupting steady-state operations, consistent with the surge approach used during peak 1095-A periods. </w:t>
      </w:r>
    </w:p>
    <w:p w14:paraId="3FEDDBD2" w14:textId="5F676777" w:rsidR="003414BC" w:rsidRPr="003414BC" w:rsidRDefault="00570384" w:rsidP="003414BC">
      <w:pPr>
        <w:pStyle w:val="Bulletlevel1"/>
      </w:pPr>
      <w:r w:rsidRPr="0036747B">
        <w:rPr>
          <w:rStyle w:val="CharacterBold"/>
        </w:rPr>
        <w:lastRenderedPageBreak/>
        <w:t xml:space="preserve">Apply Program-Integrity-by-design and audit-ready traceability to every catch-all engagement — </w:t>
      </w:r>
      <w:r w:rsidRPr="00570384">
        <w:t>documenting scope, assumptions, and outcomes against COR direction — and convert recurring requests into right-sized operational capabilities under Task 9 (dashboards, SOPs, task-level enhancements) so repeat work is institutionalized rather than re-executed.</w:t>
      </w:r>
    </w:p>
    <w:p w14:paraId="3DE40421" w14:textId="77777777" w:rsidR="0036747B" w:rsidRPr="003414BC" w:rsidRDefault="0036747B" w:rsidP="0036747B">
      <w:pPr>
        <w:pStyle w:val="BodyText"/>
      </w:pPr>
    </w:p>
    <w:p w14:paraId="7C7F4E57" w14:textId="6877A547" w:rsidR="002F76CB" w:rsidRDefault="00664E97" w:rsidP="004C7234">
      <w:pPr>
        <w:pStyle w:val="Heading2"/>
      </w:pPr>
      <w:bookmarkStart w:id="81" w:name="_Toc227883186"/>
      <w:commentRangeStart w:id="82"/>
      <w:r>
        <w:t>1.3</w:t>
      </w:r>
      <w:r>
        <w:tab/>
      </w:r>
      <w:r w:rsidRPr="00664E97">
        <w:t xml:space="preserve">Sub-Section 1C: Understanding and Mitigation of </w:t>
      </w:r>
      <w:commentRangeStart w:id="83"/>
      <w:r w:rsidRPr="00664E97">
        <w:t>Risks</w:t>
      </w:r>
      <w:bookmarkEnd w:id="81"/>
      <w:commentRangeEnd w:id="82"/>
      <w:r w:rsidR="002A7A97">
        <w:rPr>
          <w:rStyle w:val="CommentReference"/>
          <w:sz w:val="26"/>
          <w:szCs w:val="26"/>
        </w:rPr>
        <w:commentReference w:id="82"/>
      </w:r>
      <w:commentRangeEnd w:id="83"/>
      <w:r w:rsidR="00ED6381">
        <w:rPr>
          <w:rStyle w:val="CommentReference"/>
          <w:sz w:val="26"/>
          <w:szCs w:val="26"/>
        </w:rPr>
        <w:commentReference w:id="83"/>
      </w:r>
      <w:r w:rsidR="004F360B">
        <w:t xml:space="preserve"> </w:t>
      </w:r>
      <w:r w:rsidR="004F360B" w:rsidRPr="00806273">
        <w:rPr>
          <w:color w:val="FF0000"/>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r>
              <w:t>Transition-In &amp; Knowledge Transfer</w:t>
            </w:r>
          </w:p>
        </w:tc>
        <w:tc>
          <w:tcPr>
            <w:tcW w:w="1380" w:type="pct"/>
          </w:tcPr>
          <w:p>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r>
              <w:t>Execute a structured Transition-In Plan submitted within 8 business days of award, with a Joint Operating Agreement signed with the incumbent within 7 calendar days. Deloitte will: (1) deploy TruNorth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r>
              <w:t>Seasonal Volume Surges &amp; Workforce Scalability</w:t>
            </w:r>
          </w:p>
        </w:tc>
        <w:tc>
          <w:tcPr>
            <w:tcW w:w="1380" w:type="pct"/>
          </w:tcPr>
          <w:p>
            <w:r>
              <w:t>Form 1095-A consumer dispute volumes triple during tax season (January–May), and ER&amp;R volumes peak for 120 days after Open Enrollment close. Failure to recruit, onboard, clear, and train the SOW-required ~100–120 temporary case analysts and 4 temporary team leads on time will breach the 2/5/10 business-day SLAs in SOW Table 4 and generate consumer harm during the highest-stakes period of the year.</w:t>
            </w:r>
          </w:p>
        </w:tc>
        <w:tc>
          <w:tcPr>
            <w:tcW w:w="2644" w:type="pct"/>
          </w:tcPr>
          <w:p>
            <w:r>
              <w:t>Maintain a pre-qualified surge staffing pipeline refreshed annually. Begin recruitment in November and start CMS background investigations at offer acceptance so the first wave is cleared, system-trained, and shadow-certified before January 1. Apply a returner-first model so prior-season caseworkers reach full productivity from day one. New hires train on prior-year root-cause case types under peer certification by returners. Release surge capacity in phases as volumes decline through June. Monthly tax-season readiness reports are submitted to the COR beginning in October.</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r>
              <w:t>PII / PHI / FTI Data Breach</w:t>
            </w:r>
          </w:p>
        </w:tc>
        <w:tc>
          <w:tcPr>
            <w:tcW w:w="1380" w:type="pct"/>
          </w:tcPr>
          <w:p>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r>
              <w:t>Implement HHS/CMS-approved encryption with current FIPS 140 validation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r>
              <w:t>Regulatory &amp; Policy Changes Mid-Contract</w:t>
            </w:r>
          </w:p>
        </w:tc>
        <w:tc>
          <w:tcPr>
            <w:tcW w:w="1380" w:type="pct"/>
          </w:tcPr>
          <w:p>
            <w:r>
              <w:t>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Enrollment Manual misalignment.</w:t>
            </w:r>
          </w:p>
        </w:tc>
        <w:tc>
          <w:tcPr>
            <w:tcW w:w="2644" w:type="pct"/>
          </w:tcPr>
          <w:p>
            <w:r>
              <w:t>Designate a Policy Watch function within the program management team that monitors the Federal Register, CMS guidance releases, REGTAP updates, and the Letter to Issuers continuously. Maintain a 30-day SOP rapid-update process pre-approved by the COR for non-substantive changes, with a structured change-impact assessment for substantive changes. Integrate Policy Watch outputs into the Annual Enrollment Manual revision under Task 10 so manual updates and CERRS configuration changes are coordinated, not sequenced.</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Fraud, Unauthorized Enrollments &amp; Program Integrity</w:t>
            </w:r>
          </w:p>
        </w:tc>
        <w:tc>
          <w:tcPr>
            <w:tcW w:w="1380" w:type="pct"/>
          </w:tcPr>
          <w:p>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r>
              <w:t>Analyze every new Marketplace enrollment for data anomalies consistent with UPS and UE patterns on a daily cadence. Implement rules-based detection models in coordination with the Center for Program Integrity (CPI) and OPOLE; refresh detection logic monthly based on emerging patterns. Embed program-integrity-by-design controls — supervisor sign-off before any retroactive override or batch correction, elevated QA sampling for high-risk case types, and a cross-task integrity risk register — into every dispute and casework workflow rather than running integrity as a periodic audit.</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Automated Business Rule Failures</w:t>
            </w:r>
          </w:p>
        </w:tc>
        <w:tc>
          <w:tcPr>
            <w:tcW w:w="1380" w:type="pct"/>
          </w:tcPr>
          <w:p>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r>
              <w:t>Operate the rule library through a governed lifecycle: every change moves through peer review, sandbox testing on prior-year case data, COR notification, and parallel-run validation against existing rule output before promotion. Manage rule changes through the existing JIRA process. Apply daily monitoring of resolution rates by dispute type with deviation triggers that distinguish rule failure from upstream data quality from new volume patterns — each driving a different corrective action.</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Service Level Agreement Performance Under Concurrent Peak Load</w:t>
            </w:r>
          </w:p>
        </w:tc>
        <w:tc>
          <w:tcPr>
            <w:tcW w:w="1380" w:type="pct"/>
          </w:tcPr>
          <w:p>
            <w:r>
              <w:t>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pressure across Tasks 2, 3, 4, and 5 creates compounding breach risk.</w:t>
            </w:r>
          </w:p>
        </w:tc>
        <w:tc>
          <w:tcPr>
            <w:tcW w:w="2644" w:type="pct"/>
          </w:tcPr>
          <w:p>
            <w:r>
              <w:t>Apply a unified case-routing dashboard that starts the SLA clock at intake and triggers early intervention when any case trends toward 70% of its SLA window. Cross-train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FFE Update Sequencing &amp; BUU Cycle Errors</w:t>
            </w:r>
          </w:p>
        </w:tc>
        <w:tc>
          <w:tcPr>
            <w:tcW w:w="1380" w:type="pct"/>
          </w:tcPr>
          <w:p>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r>
              <w:t>Treat FFE submissions as a precision execution function with full pipeline visibility to CMS at every stage. Map the downstream consequence of every retroactive action — which correction cycle it falls into, whether a corrected or voided 1095-A is generated, and the correct submission order — before any update is queued. Require supervisory sign-off with a complete time-stamped audit trail for batch corrections and manual overrides. Run automated pre-validation that the Operational Analytics Contractor and the QA Team can independently confirm before each submission window.</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FedRAMP / ATO Authorization &amp; Continuous Monitoring</w:t>
            </w:r>
          </w:p>
        </w:tc>
        <w:tc>
          <w:tcPr>
            <w:tcW w:w="1380" w:type="pct"/>
          </w:tcPr>
          <w:p>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r>
              <w:t>Maintain ATO continuity through a Security &amp; Privacy Officer-led continuous monitoring program with monthly OS/database/web/network vulnerability scan delivery, POA&amp;M updates against the HHS standard (15-day critical / 30-day high / 90-day medium / 360-day low), 3PAO annual reassessment scheduled outside Open Enrollment and tax season, and FedRAMP sponsor obligations for the Snowflake deployment governed as a standing responsibility rather than ad-hoc activity.</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Cross-Contractor Coordination Dependencies</w:t>
            </w:r>
          </w:p>
        </w:tc>
        <w:tc>
          <w:tcPr>
            <w:tcW w:w="1380" w:type="pct"/>
          </w:tcPr>
          <w:p>
            <w:r>
              <w:t>ER&amp;R cannot be delivered in isolation — performance depends on continuous coordination with the CMS Data Services Hub (DSH), Eligibility Support, Federal Exchange Call Center, FMPS, Marketplace System Integrator (MSI), 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r>
              <w:t>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 Maintain interface monitoring on every external dependency (Operations Analytics for reconciliation files; Print Contractor for notices; DSH for SOAP/HTTPS exchange) with alerts when latency or error rates breach thresholds — surfacing other-contractor issues to CMS through the COR with root-cause analysis rather than absorbing them silently.</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 1.3-1. Risk Register and Mitigation Strategies.</w:t>
      </w:r>
      <w:r w:rsidRPr="00374D6C"/>
      <w:r/>
      <w:r w:rsidRPr="00374D6C"/>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color w:val="FF0000"/>
        </w:rPr>
        <w:t>(</w:t>
      </w:r>
      <w:r w:rsidR="003D0CAF">
        <w:rPr>
          <w:color w:val="FF0000"/>
        </w:rPr>
        <w:t>Total 11</w:t>
      </w:r>
      <w:r w:rsidR="00A10BAA" w:rsidRPr="00806273">
        <w:rPr>
          <w:color w:val="FF0000"/>
        </w:rPr>
        <w:t xml:space="preserve"> Pages)</w:t>
      </w:r>
    </w:p>
    <w:p w14:paraId="3ED7E47D" w14:textId="7B7E9D7E" w:rsidR="00775066" w:rsidRDefault="00775066" w:rsidP="00775066">
      <w:pPr>
        <w:pStyle w:val="Heading2"/>
      </w:pPr>
      <w:bookmarkStart w:id="85" w:name="_Toc227883188"/>
      <w:r>
        <w:t>2.1</w:t>
      </w:r>
      <w:r>
        <w:tab/>
      </w:r>
      <w:commentRangeStart w:id="86"/>
      <w:r w:rsidRPr="00775066">
        <w:t>Sub-Section 2A: Management Approach</w:t>
      </w:r>
      <w:bookmarkEnd w:id="85"/>
      <w:commentRangeEnd w:id="86"/>
      <w:r w:rsidR="00044EEF">
        <w:rPr>
          <w:rStyle w:val="CommentReference"/>
          <w:sz w:val="26"/>
          <w:szCs w:val="26"/>
        </w:rPr>
        <w:commentReference w:id="86"/>
      </w:r>
      <w:r w:rsidR="003D0CAF">
        <w:t xml:space="preserve"> </w:t>
      </w:r>
      <w:r w:rsidR="003D0CAF" w:rsidRPr="00806273">
        <w:rPr>
          <w:color w:val="FF0000"/>
        </w:rPr>
        <w:t>(</w:t>
      </w:r>
      <w:r w:rsidR="003D0CAF">
        <w:rPr>
          <w:color w:val="FF0000"/>
        </w:rPr>
        <w:t>6</w:t>
      </w:r>
      <w:r w:rsidR="003D0CAF" w:rsidRPr="00806273">
        <w:rPr>
          <w:color w:val="FF0000"/>
        </w:rPr>
        <w:t xml:space="preserve"> </w:t>
      </w:r>
      <w:commentRangeStart w:id="87"/>
      <w:r w:rsidR="003D0CAF" w:rsidRPr="00806273">
        <w:rPr>
          <w:color w:val="FF0000"/>
        </w:rPr>
        <w:t>Pages</w:t>
      </w:r>
      <w:commentRangeEnd w:id="87"/>
      <w:r w:rsidR="00952715" w:rsidRPr="00806273">
        <w:rPr>
          <w:rStyle w:val="CommentReference"/>
          <w:color w:val="FF0000"/>
          <w:sz w:val="26"/>
          <w:szCs w:val="26"/>
        </w:rPr>
        <w:commentReference w:id="87"/>
      </w:r>
      <w:r w:rsidR="003D0CAF" w:rsidRPr="00806273">
        <w:rPr>
          <w:color w:val="FF0000"/>
        </w:rPr>
        <w:t>)</w:t>
      </w:r>
    </w:p>
    <w:p w14:paraId="50A74961" w14:textId="1FEE9EC3" w:rsidR="00775066" w:rsidRDefault="00BC43A6" w:rsidP="00BC43A6">
      <w:pPr>
        <w:pStyle w:val="Heading3"/>
      </w:pPr>
      <w:bookmarkStart w:id="88" w:name="_Toc227883189"/>
      <w:r>
        <w:t>2.1.1</w:t>
      </w:r>
      <w:r>
        <w:tab/>
      </w:r>
      <w:commentRangeStart w:id="89"/>
      <w:r w:rsidR="00036443" w:rsidRPr="00036443">
        <w:t>Task 1: Program Implementation and Oversight (PI&amp;O)</w:t>
      </w:r>
      <w:r w:rsidR="000306D0" w:rsidRPr="000306D0">
        <w:t xml:space="preserve"> </w:t>
      </w:r>
      <w:commentRangeEnd w:id="89"/>
      <w:r w:rsidR="009210AC" w:rsidRPr="000306D0">
        <w:rPr>
          <w:rStyle w:val="CommentReference"/>
          <w:sz w:val="24"/>
          <w:szCs w:val="26"/>
          <w:vertAlign w:val="superscript"/>
        </w:rPr>
        <w:commentReference w:id="89"/>
      </w:r>
      <w:r w:rsidR="000306D0" w:rsidRPr="000306D0">
        <w:rPr>
          <w:vertAlign w:val="superscript"/>
        </w:rPr>
        <w:t>(SOW 3.1)</w:t>
      </w:r>
      <w:bookmarkEnd w:id="88"/>
    </w:p>
    <w:p w14:paraId="5E5E8A92" w14:textId="3A9333EF" w:rsidR="009F2DA5" w:rsidRDefault="009F2DA5" w:rsidP="009F2DA5">
      <w:pPr>
        <w:pStyle w:val="BodyText"/>
      </w:pPr>
      <w:commentRangeStart w:id="90"/>
      <w:commentRangeStart w:id="91"/>
      <w:commentRangeStart w:id="92"/>
      <w:commentRangeStart w:id="93"/>
      <w:r>
        <w:t>ER&amp;R is not a single program — it is twelve interlocking tasks, four production systems, and a casework operation that touches more than 24 million Marketplace consumers each year. Disciplined program management is what keeps that operation running when issuer dispute volumes hit four million annually, when 1095-A volumes triple in February, when a single business-rule change can ripple across five State-Based Exchanges, and when a regulatory update lands mid-cycle. Deloitte will manage this task order through a single integrated operating model anchored to the SOW §3.1 schedule of obligations: contract kickoff within 12 business days of the start of the base period, a draft Project Implementation and Oversight Plan (PIOP) within 7 business days, the final PIOP within 60 days, and a working operating cadence in place from Day 1.</w:t>
      </w:r>
      <w:commentRangeEnd w:id="90"/>
      <w:r w:rsidR="004A3D30">
        <w:rPr>
          <w:rStyle w:val="CommentReference"/>
          <w:sz w:val="24"/>
          <w:szCs w:val="22"/>
        </w:rPr>
      </w:r>
      <w:commentRangeEnd w:id="91"/>
      <w:r>
        <w:rPr>
          <w:rStyle w:val="CommentReference"/>
          <w:sz w:val="24"/>
          <w:szCs w:val="22"/>
        </w:rPr>
      </w:r>
      <w:r/>
      <w:r w:rsidRPr="00DD7489">
        <w:rPr>
          <w:rStyle w:val="CharacterBold"/>
        </w:rPr>
      </w:r>
      <w:r w:rsidRPr="006909BC">
        <w:rPr>
          <w:b/>
        </w:rPr>
      </w:r>
      <w:r/>
      <w:commentRangeEnd w:id="92"/>
      <w:r w:rsidR="00887F22">
        <w:rPr>
          <w:rStyle w:val="CommentReference"/>
          <w:sz w:val="24"/>
          <w:szCs w:val="22"/>
        </w:rPr>
      </w:r>
      <w:commentRangeEnd w:id="93"/>
      <w:r w:rsidR="00241FD6">
        <w:rPr>
          <w:rStyle w:val="CommentReference"/>
          <w:sz w:val="24"/>
          <w:szCs w:val="22"/>
        </w:rPr>
      </w:r>
    </w:p>
    <w:p w14:paraId="7D08016B" w14:textId="6524BF74" w:rsidR="009F2DA5" w:rsidRDefault="009F2DA5" w:rsidP="009F2DA5">
      <w:pPr>
        <w:pStyle w:val="BodyText"/>
      </w:pPr>
      <w:r>
        <w:t>The PIOP is the primary management instrument and Deloitte's commitment of record to CMS. The PIOP will document Deloitte's approach across every project management knowledge area required by Attachment 2 §2A — scope management, time management, cost management, communication management, information security and privacy management, subcontractor monitoring, and risk and issue management — and will incorporate the work breakdown structure (WBS), schedule, milestones, key personnel, technology and AI transparency, and the structured collaboration model with CMS staff and other CMS contractors. The PIOP will be updated quarterly and ad hoc as conditions change, and Deloitte will not commit to any major staffing or ODC action without prior COR approval. Tooling discipline reinforces the plan: an integrated RAID log, a decision log, a milestone dashboard, and a JIRA-based change request backlog all maintained in a CMS-accessible workspace so the COR has continuous visibility, not periodic snapshots.</w:t>
      </w:r>
      <w:commentRangeStart w:id="94"/>
      <w:r/>
      <w:commentRangeEnd w:id="94"/>
      <w:r w:rsidR="00241FD6">
        <w:rPr>
          <w:rStyle w:val="CommentReference"/>
          <w:sz w:val="24"/>
          <w:szCs w:val="22"/>
        </w:rPr>
      </w:r>
      <w:r/>
      <w:r w:rsidRPr="00DD7489">
        <w:rPr>
          <w:rStyle w:val="CharacterBold"/>
        </w:rPr>
      </w:r>
      <w:r/>
    </w:p>
    <w:p w14:paraId="58836A32" w14:textId="15D84596" w:rsidR="009F2DA5" w:rsidRPr="00B23D8B" w:rsidRDefault="009F2DA5" w:rsidP="009F2DA5">
      <w:pPr>
        <w:pStyle w:val="BodyText"/>
      </w:pPr>
      <w:r>
        <w:t>Reporting cadence and meeting discipline are the engine that makes the PIOP operate as a living document rather than a one-time deliverable. Deloitte will deliver the Monthly Progress, Data and Cost Report by the third Monday of each month — two days before the Monthly Budget Review — covering task-by-task activity narrative, upcoming meetings and actions, outstanding issues requiring CMS action, unresolved items from the prior month, and full cost tracking by labor category, hours, rates, subcontractor costs, travel, ODCs, indirect costs, and total costs aggregated and broken out by task and sub-task. The monthly Form 1095-A Consumer Disputes and Enrollment Process Improvement Report will deliver prioritized, evidence-supported improvement recommendations covering the eight content elements in SOW §3.1 (education needs, triage and enrollment process changes, system integration, system efficiency improvements, regulatory authorization needs, cost-benefit analysis, stakeholder coordination, and data-churn reduction). Weekly meetings begin the week after kickoff with agenda one day prior, minutes within two business days, and at least four in-person meetings per year in the Baltimore-Washington corridor or at a CMS Regional Office. The Task Order Summary Report will deliver in draft in the 10th month of the final period of performance and final 30 days before task order end.</w:t>
      </w:r>
      <w:r w:rsidRPr="00DD7489">
        <w:rPr>
          <w:rStyle w:val="CharacterBold"/>
        </w:rPr>
      </w:r>
      <w:r/>
    </w:p>
    <w:p w14:paraId="0DB67D10" w14:textId="198C0180" w:rsidR="00074BEF" w:rsidRPr="00B23D8B" w:rsidRDefault="0054721F" w:rsidP="009F2DA5">
      <w:pPr>
        <w:pStyle w:val="BodyText"/>
      </w:pPr>
      <w:r w:rsidRPr="0054721F">
        <w:t>Risk and issue resolution is governed through the same six-phase risk management lifecycle described in Sub-Section 1C. Risks are identified continuously across all ten SOW tasks, scored for likelihood and impact, assigned an owner, and tracked to closure with mitigation actions documented in the RAID log and reviewed weekly. Communication runs through the COR as the single technical-direction channel, with a structured communication plan covering CMS, the Eligibility Support Contractor, the Federal Exchange Call Center Contractor, FMPS, the Marketplace System Integrator, the Operations Analytics Contractor, the Operations Support Contractor, the Federal Exchange Print Contractor, and the Stakeholder Engagement Contractor. Subcontractor work is governed under the same SLAs, QA standards, and reporting discipline that apply to Deloitte's prime work and is monitored through the Small Business Liaison Officer (Section 4) and the integrated quality program (Sub-Section 2B). Information security and privacy management is led by the Security &amp; Privacy Officer (Section 3.1) and operates as a continuous control function, not a periodic compliance review.</w:t>
      </w:r>
      <w:r w:rsidRPr="0054721F"/>
      <w:r w:rsidR="005F08C6"/>
      <w:r w:rsidR="00B469A1"/>
      <w:r w:rsidR="00B469A1" w:rsidRPr="00B469A1">
        <w:rPr>
          <w:highlight w:val="yellow"/>
        </w:rPr>
      </w:r>
      <w:r w:rsidR="00074BEF" w:rsidRPr="00B469A1">
        <w:rPr>
          <w:highlight w:val="yellow"/>
        </w:rPr>
      </w:r>
      <w:r w:rsidR="00074BEF" w:rsidRPr="00074BEF"/>
    </w:p>
    <w:p w14:paraId="6E78407A" w14:textId="5E12C0E7" w:rsidR="0081163E" w:rsidRDefault="0081163E" w:rsidP="0081163E">
      <w:pPr>
        <w:pStyle w:val="TableTitle"/>
      </w:pPr>
      <w:r>
        <w:t>Table 2.1.1-1. Approach Summary.</w:t>
      </w:r>
      <w:r w:rsidRPr="00374D6C"/>
      <w:r/>
      <w:r w:rsidRPr="00374D6C"/>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commentRangeStart w:id="95"/>
            <w:r w:rsidRPr="00C669B5">
              <w:t xml:space="preserve">Project </w:t>
            </w:r>
            <w:commentRangeEnd w:id="95"/>
            <w:r w:rsidR="008313B5" w:rsidRPr="00C669B5">
              <w:rPr>
                <w:rStyle w:val="CommentReference"/>
                <w:sz w:val="20"/>
                <w:szCs w:val="22"/>
              </w:rPr>
              <w:commentReference w:id="95"/>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6"/>
            <w:r w:rsidRPr="00455B46">
              <w:rPr>
                <w:rStyle w:val="CharacterBold"/>
              </w:rPr>
              <w:t>Key Milestones and Target Dates.</w:t>
            </w:r>
            <w:r w:rsidRPr="00A54353">
              <w:rPr>
                <w:rStyle w:val="CharacterBold"/>
              </w:rPr>
              <w:t xml:space="preserve"> </w:t>
            </w:r>
            <w:r w:rsidRPr="00A54353">
              <w:rPr>
                <w:rStyle w:val="CharacterBold"/>
                <w:b w:val="0"/>
                <w:bCs/>
              </w:rPr>
              <w:t>XXX</w:t>
            </w:r>
            <w:commentRangeEnd w:id="96"/>
            <w:r w:rsidR="009E3168">
              <w:rPr>
                <w:rStyle w:val="CommentReference"/>
                <w:bCs/>
                <w:sz w:val="20"/>
                <w:szCs w:val="22"/>
              </w:rPr>
              <w:commentReference w:id="96"/>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7"/>
            <w:r w:rsidRPr="00A54353">
              <w:rPr>
                <w:rStyle w:val="CharacterBold"/>
              </w:rPr>
              <w:t xml:space="preserve">Organizational Chart.  </w:t>
            </w:r>
            <w:r w:rsidRPr="00A54353">
              <w:rPr>
                <w:rStyle w:val="CharacterBold"/>
                <w:b w:val="0"/>
                <w:bCs/>
              </w:rPr>
              <w:t>X</w:t>
            </w:r>
            <w:commentRangeEnd w:id="97"/>
            <w:r w:rsidR="00DF1400" w:rsidRPr="00A54353">
              <w:rPr>
                <w:rStyle w:val="CommentReference"/>
                <w:b/>
                <w:sz w:val="20"/>
                <w:szCs w:val="22"/>
              </w:rPr>
              <w:commentReference w:id="97"/>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commentRangeStart w:id="98"/>
            <w:r>
              <w:rPr>
                <w:b/>
                <w:bCs/>
              </w:rPr>
              <w:t>Example Risk and Mitigation Strategy:</w:t>
            </w:r>
            <w:commentRangeEnd w:id="98"/>
            <w:r w:rsidR="00306A9C" w:rsidRPr="007A6221">
              <w:rPr>
                <w:rStyle w:val="CommentReference"/>
                <w:b/>
                <w:bCs/>
                <w:sz w:val="20"/>
                <w:szCs w:val="22"/>
              </w:rPr>
              <w:commentReference w:id="98"/>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Figure 2.1.1-1. [Deloitte to populate: figure title and graphic].</w:t>
      </w:r>
      <w:r>
        <w:rPr>
          <w:highlight w:val="yellow"/>
        </w:rPr>
      </w:r>
      <w:r w:rsidR="00BB1407" w:rsidRPr="00187EDF">
        <w:rPr>
          <w:highlight w:val="yellow"/>
        </w:rPr>
      </w:r>
      <w:r w:rsidR="00347CF1" w:rsidRPr="00187EDF">
        <w:rPr>
          <w:highlight w:val="yellow"/>
        </w:rPr>
      </w:r>
      <w:r w:rsidR="00187EDF" w:rsidRPr="00187EDF">
        <w:rPr>
          <w:highlight w:val="yellow"/>
        </w:rPr>
      </w:r>
      <w:r w:rsidR="00DD7489"/>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t>Table 2.1.1-2. Illustrative Milestone Measures by Task.</w:t>
      </w:r>
      <w:r w:rsidRPr="00A8308B"/>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rFonts w:eastAsia="Open Sans" w:cs="Open Sans"/>
          <w:b/>
          <w:color w:val="1D1D1B"/>
          <w:szCs w:val="24"/>
        </w:rPr>
        <w:t xml:space="preserve"> </w:t>
      </w:r>
      <w:r w:rsidRPr="00B07DCB">
        <w:rPr>
          <w:rFonts w:eastAsia="Open Sans" w:cs="Open Sans"/>
          <w:color w:val="1D1D1B"/>
          <w:szCs w:val="24"/>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rFonts w:eastAsia="Open Sans" w:cs="Open Sans"/>
          <w:b/>
          <w:color w:val="1D1D1B"/>
          <w:szCs w:val="24"/>
        </w:rPr>
        <w:t xml:space="preserve"> </w:t>
      </w:r>
      <w:r w:rsidRPr="00B07DCB">
        <w:rPr>
          <w:rFonts w:eastAsia="Open Sans" w:cs="Open Sans"/>
          <w:color w:val="1D1D1B"/>
          <w:szCs w:val="24"/>
        </w:rPr>
        <w:t xml:space="preserve">Rapid development of an initial Transition Management Plan </w:t>
      </w:r>
      <w:r w:rsidR="00FC057F">
        <w:rPr>
          <w:rFonts w:eastAsia="Open Sans" w:cs="Open Sans"/>
          <w:color w:val="1D1D1B"/>
          <w:szCs w:val="24"/>
        </w:rPr>
        <w:t>–</w:t>
      </w:r>
      <w:r w:rsidRPr="00B07DCB">
        <w:rPr>
          <w:rFonts w:eastAsia="Open Sans" w:cs="Open Sans"/>
          <w:color w:val="1D1D1B"/>
          <w:szCs w:val="24"/>
        </w:rPr>
        <w:t xml:space="preserve"> delivered within 8 business days </w:t>
      </w:r>
      <w:r w:rsidR="00FC057F">
        <w:rPr>
          <w:rFonts w:eastAsia="Open Sans" w:cs="Open Sans"/>
          <w:color w:val="1D1D1B"/>
          <w:szCs w:val="24"/>
        </w:rPr>
        <w:t>–</w:t>
      </w:r>
      <w:r w:rsidRPr="00B07DCB">
        <w:rPr>
          <w:rFonts w:eastAsia="Open Sans" w:cs="Open Sans"/>
          <w:color w:val="1D1D1B"/>
          <w:szCs w:val="24"/>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rFonts w:eastAsia="Open Sans" w:cs="Open Sans"/>
          <w:b/>
          <w:color w:val="1D1D1B"/>
          <w:szCs w:val="24"/>
        </w:rPr>
        <w:t xml:space="preserve"> </w:t>
      </w:r>
      <w:r w:rsidRPr="00B07DCB">
        <w:rPr>
          <w:rFonts w:eastAsia="Open Sans" w:cs="Open Sans"/>
          <w:color w:val="1D1D1B"/>
          <w:szCs w:val="24"/>
        </w:rPr>
        <w:t xml:space="preserve">Establishment of a clear baseline of the current environment </w:t>
      </w:r>
      <w:r w:rsidR="00FC057F">
        <w:rPr>
          <w:rFonts w:eastAsia="Open Sans" w:cs="Open Sans"/>
          <w:color w:val="1D1D1B"/>
          <w:szCs w:val="24"/>
        </w:rPr>
        <w:t>–</w:t>
      </w:r>
      <w:r w:rsidRPr="00B07DCB">
        <w:rPr>
          <w:rFonts w:eastAsia="Open Sans" w:cs="Open Sans"/>
          <w:color w:val="1D1D1B"/>
          <w:szCs w:val="24"/>
        </w:rPr>
        <w:t xml:space="preserve"> covering systems, interfaces, data (including PII), in-flight activities, licenses, warranties, SOPs, and </w:t>
      </w:r>
      <w:r w:rsidRPr="00B07DCB">
        <w:rPr>
          <w:rFonts w:eastAsia="Open Sans" w:cs="Open Sans"/>
          <w:color w:val="1D1D1B"/>
          <w:szCs w:val="24"/>
        </w:rPr>
        <w:lastRenderedPageBreak/>
        <w:t xml:space="preserve">security/ATO status </w:t>
      </w:r>
      <w:r w:rsidR="007513DF">
        <w:rPr>
          <w:rFonts w:eastAsia="Open Sans" w:cs="Open Sans"/>
          <w:color w:val="1D1D1B"/>
          <w:szCs w:val="24"/>
        </w:rPr>
        <w:t>–</w:t>
      </w:r>
      <w:r w:rsidRPr="00B07DCB">
        <w:rPr>
          <w:rFonts w:eastAsia="Open Sans" w:cs="Open Sans"/>
          <w:color w:val="1D1D1B"/>
          <w:szCs w:val="24"/>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rFonts w:eastAsia="Open Sans" w:cs="Open Sans"/>
          <w:b/>
          <w:color w:val="1D1D1B"/>
          <w:szCs w:val="24"/>
        </w:rPr>
        <w:t xml:space="preserve"> </w:t>
      </w:r>
      <w:r w:rsidRPr="00B07DCB">
        <w:rPr>
          <w:rFonts w:eastAsia="Open Sans" w:cs="Open Sans"/>
          <w:color w:val="1D1D1B"/>
          <w:szCs w:val="24"/>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rFonts w:eastAsia="Open Sans" w:cs="Open Sans"/>
          <w:color w:val="1D1D1B"/>
          <w:szCs w:val="2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color w:val="000000" w:themeColor="text1"/>
        </w:rPr>
        <w:t xml:space="preserve"> </w:t>
      </w:r>
      <w:r w:rsidR="00F0274C">
        <w:rPr>
          <w:color w:val="000000" w:themeColor="text1"/>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Figure 2.1.3-1. [Deloitte to populate: figure title and graphic].</w:t>
      </w:r>
      <w:r w:rsidRPr="0017680B">
        <w:rPr>
          <w:highlight w:val="yellow"/>
        </w:rPr>
      </w:r>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commentRangeStart w:id="102"/>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commentRangeEnd w:id="102"/>
      <w:r w:rsidR="001677A6" w:rsidRPr="0017680B">
        <w:rPr>
          <w:rStyle w:val="CommentReference"/>
          <w:sz w:val="24"/>
          <w:szCs w:val="22"/>
        </w:rPr>
        <w:commentReference w:id="102"/>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t>Table 2.1.3-2. Approach Summary.</w:t>
      </w:r>
      <w:r w:rsidR="0017680B"/>
      <w:r/>
      <w:r w:rsidR="0017680B"/>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commentRangeStart w:id="104"/>
      <w:r w:rsidRPr="00775066">
        <w:t>Sub-Section 2B: Quality Assurance Approach</w:t>
      </w:r>
      <w:bookmarkEnd w:id="103"/>
      <w:commentRangeEnd w:id="104"/>
      <w:r w:rsidR="000F5F6F">
        <w:rPr>
          <w:rStyle w:val="CommentReference"/>
          <w:sz w:val="26"/>
          <w:szCs w:val="26"/>
        </w:rPr>
        <w:commentReference w:id="104"/>
      </w:r>
      <w:r w:rsidR="003D0CAF">
        <w:t xml:space="preserve"> </w:t>
      </w:r>
      <w:r w:rsidR="003D0CAF" w:rsidRPr="00806273">
        <w:rPr>
          <w:color w:val="FF0000"/>
        </w:rPr>
        <w:t>(</w:t>
      </w:r>
      <w:r w:rsidR="005038DA">
        <w:rPr>
          <w:color w:val="FF0000"/>
        </w:rPr>
        <w:t>3</w:t>
      </w:r>
      <w:r w:rsidR="003D0CAF" w:rsidRPr="00806273">
        <w:rPr>
          <w:color w:val="FF0000"/>
        </w:rPr>
        <w:t xml:space="preserve"> Pages)</w:t>
      </w:r>
      <w:commentRangeStart w:id="105"/>
      <w:commentRangeStart w:id="106"/>
      <w:commentRangeEnd w:id="105"/>
      <w:r>
        <w:rPr>
          <w:rStyle w:val="CommentReference"/>
          <w:color w:val="FF0000"/>
          <w:sz w:val="26"/>
          <w:szCs w:val="26"/>
        </w:rPr>
        <w:commentReference w:id="105"/>
      </w:r>
      <w:commentRangeEnd w:id="106"/>
      <w:r>
        <w:rPr>
          <w:rStyle w:val="CommentReference"/>
          <w:color w:val="FF0000"/>
          <w:sz w:val="26"/>
          <w:szCs w:val="26"/>
        </w:rPr>
        <w:commentReference w:id="106"/>
      </w:r>
    </w:p>
    <w:p w14:paraId="1DD94A57" w14:textId="2A83B19E" w:rsidR="006932F9" w:rsidRPr="006932F9" w:rsidRDefault="000B6E3E" w:rsidP="00F2405B">
      <w:pPr>
        <w:pStyle w:val="Subheading1"/>
      </w:pPr>
      <w:commentRangeStart w:id="108"/>
      <w:r w:rsidRPr="000B6E3E">
        <w:t>Performance Management and Quality Control Methodologies and Approach</w:t>
      </w:r>
      <w:commentRangeEnd w:id="108"/>
      <w:r w:rsidR="00DF0388" w:rsidRPr="006932F9">
        <w:rPr>
          <w:rStyle w:val="CommentReference"/>
          <w:sz w:val="24"/>
          <w:szCs w:val="22"/>
        </w:rPr>
        <w:commentReference w:id="108"/>
      </w:r>
    </w:p>
    <w:p w14:paraId="15C04957" w14:textId="74A3C0E6" w:rsidR="671ED0E9" w:rsidRDefault="6B933427" w:rsidP="001349CE">
      <w:pPr>
        <w:pStyle w:val="BodyText"/>
      </w:pPr>
      <w:r>
        <w:t>Quality assurance for ER&amp;R is governed by the Service Level Agreements in SOW Tables 3 and 4, the Acceptable Quality Levels (AQLs) and Key Performance Indicators (KPIs) developed under SOW §3.9, and a Quality Assurance Surveillance Plan (QASP) that Deloitte will deliver within 45 days of the start of the base period. Deloitte's quality model is designed around three operating commitments. First, every quality measure ties directly to an SOW SLA, an AQL the contract obligates Deloitte to meet, or a KPI tied to a measurable program outcome — not to abstract maturity-model citations. Second, quality is built into execution rather than inspected at the end: every dispute, casework determination, FFE update, notice generation, and call interaction passes through pre-defined quality controls before it reaches CMS or a consumer. Third, quality findings drive process and SOP changes within a defined turnaround, so the same defect does not surface twice.</w:t>
      </w:r>
      <w:r/>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Performance is monitored continuously through a layered control architecture. Real-time operational dashboards in CERRS, HICS, SEED, and EDA CORE expose case status, dispute aging, SLA clock position, BUU cycle progress, notice generation pipeline state, call abandonment rate, voicemail age, and 834 ingestion job health to both Deloitte operations leadership and the COR. A daily operations stand-up reviews open SLA-at-risk cases, dispute trend anomalies, and any cross-task issue identified through the weekly cross-task data share described in Section 1B. Weekly Deloitte-CMS performance reviews summarize prior-week performance against every SOW SLA and AQL, surface root cause for any deviation, and document corrective action with a closure date. Monthly executive performance reporting feeds the Monthly Progress, Data and Cost Report, and quarterly portfolio reviews surface multi-month trends that warrant SOP, training, or staffing-model adjustments.</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Deloitte's Quality Oversight Lead, accountable directly to the Project Director and reporting independently to the COR on quality matters, owns the QC program. Day-to-day QC operates with separation of duties — caseworkers do not review their own work; supervisors review against published QC checklists; an independent QA team samples closed cases at rates calibrated to risk (elevated sampling for APTC determinations, retroactive adjustments, manual overrides, and any case involving CMS-directed VIP escalation). Every deliverable carries a documented QC sign-off before submission, with the reviewer name, review date, and any discrepancy log retained for audit. QC accountability is reinforced through performance metrics built into supervisor and lead role descriptions and through the SBLO governance applied to subcontractor work.</w:t>
      </w:r>
      <w:r w:rsidR="5FB2FB71"/>
      <w:r/>
      <w:r w:rsidR="3E03E27C"/>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Deloitte will meet or exceed every AQL defined in the SOW, including the explicit Service Level Agreements: 95% of high-complexity issuer disputes resolved within 10 business days (SOW Table 3); 100% of low-complexity Form 1095-A consumer disputes resolved within 2 business days; 100% of medium-complexity 1095-A disputes resolved within 5 business days; and 100% of high-complexity 1095-A disputes resolved within 10 business days (SOW Table 4). Additional AQLs developed jointly with CMS during the QASP finalization will cover deliverable acceptance (clarity, accuracy, timeliness, completeness), call center performance (speed of answer, abandonment, voicemail one-business-day response), notice generation pipeline accuracy and translation compliance, FFE update precision (zero sequencing errors per BUU cycle), and reporting timeliness (Monthly Progress, Data and Cost Report by the third Monday). Where ambiguity exists at the start of the base period, Deloitte will confirm AQLs with CMS during PIOP review rather than operate against an unverified standard.</w:t>
      </w:r>
      <w:r w:rsidR="03D6186F"/>
      <w:r/>
      <w:r w:rsidR="366DEA8E"/>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operate a structured performance self-assessment that runs in parallel with CMS oversight, not as a substitute for it. Each month, Deloitte's Quality Oversight Lead produces a self-assessment scorecard that grades performance against every published SLA, AQL, and KPI, identifies trend lines, and proposes any needed corrective action — submitted to the COR alongside the Monthly Progress, Data and Cost Report. This self-assessment is independent of operational reporting from caseworkers and supervisors and is the primary input to the quarterly performance trend review with CMS. The output also feeds Deloitte's Contractor Performance Assessment Reporting System (CPARS) input.</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deliver three monthly QA-related reports per SOW §3.9 (Quality Assurance Report, Monthly Performance Report, Business Process Improvement Report) and integrate performance data into the Monthly Progress, Data and Cost Report. Each QA report includes a forward-looking corrective action plan rather than a backward-looking metric dump: every defect, missed AQL, or trend deviation is paired with a root-cause hypothesis, a corrective action, an owner, and a closure date. Where Deloitte recommends a corrective action plan that requires CMS approval, that recommendation is brought forward in writing in the same reporting cycle the issue is observed.</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Deloitte applies a tiered correction model. Tier 1 (operational): caseworker-level errors are corrected by the caseworker, peer-reviewed by a supervisor, and logged for trend analysis. Tier 2 (process): repeated errors of the same type trigger an SOP review, a targeted training refresh, and a 30-day monitoring window before the action closes. Tier 3 (program): a missed AQL or a systemic trend triggers a formal Corrective Action Plan submitted to the COR within 5 business days of identification, including root cause analysis, remediation milestones, performance metrics demonstrating recovery, and a structured close-out review. Corrective actions are tracked to closure in the integrated RAID log, with monthly status visible to the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KPIs are derived from the SOW §3.9 data collection and analysis elements (a) entity submission types, (b) enrollee data accuracy, (c) reason codes, (d) effective dates, (e) terminations, (f) cancellations, (g) plan-level accuracy, (h) APTC/CSR validations, (i) ASC X12N 834/820 transaction reconciliation, (j) error reports, (k) error correction, (l) error reporting, (m) trending analysis of reconciliation, (n) source/content of common inquiries, (o) vulnerability identification, and (p) additional CMS-identified elements. The Performance Measurement Plan in this volume aligns each of these elements to a measurable KPI with a numeric target, a monitoring cadence, and an early-warning threshold. KPI definitions are presented to the COR for refinement and approval at the business process improvement kick-off and reported monthly thereafter through the Monthly Performance Report.</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
      </w:pPr>
      <w:r>
        <w:t>SLA management is operated as a continuous control function rather than a periodic review. Every case, dispute, deliverable, and call has its SLA clock started at intake — automatically in CERRS, HICS, and SEED for system-tracked items, and through the operational dashboard for non-system-tracked items. An SLA Risk Engine triggers supervisor intervention when any case crosses 70% of its allowed window, before the SLA itself is breached. SLA performance is reviewed daily at the operations stand-up and weekly at the Deloitte-CMS performance review, with any breach pattern triggering the Tier 3 Corrective Action Plan described above. SLA reporting follows the SOW deliverables schedule with daily, weekly, and monthly cadences as defined per task.</w:t>
      </w:r>
      <w:r w:rsidR="3BCF5B88"/>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Deloitte will deliver a draft Quality Assurance Surveillance Plan (QASP) within 45 days of the start of the base period per SOW §3.9, jointly review and finalize the QASP with the COR within 30 days of that review, and store the approved QASP in a CMS-approved location with version control. The QASP defines, for every SOW SLA and AQL: the measurement method, the data source, the responsible owner, the reporting cadence, the acceptable performance threshold, and the escalation mechanism for non-conformance. QASP updates follow PIOP change-control discipline and are submitted to CMS for review and approval whenever a PWS change, regulatory update, or COR direction warrants revision. The QASP is the single instrument linking Deloitte's performance to CPARS — making the relationship between day-to-day execution and downstream contractor evaluation transparent and verifiable.</w:t>
      </w:r>
    </w:p>
    <w:p w14:paraId="6565CF54" w14:textId="2940BAE9" w:rsidR="00775066" w:rsidRPr="00B17029" w:rsidRDefault="00775066" w:rsidP="00775066">
      <w:pPr>
        <w:pStyle w:val="Heading2"/>
        <w:rPr>
          <w:color w:val="FF0000"/>
        </w:rPr>
      </w:pPr>
      <w:bookmarkStart w:id="109" w:name="_Toc227883193"/>
      <w:r>
        <w:t>2.3</w:t>
      </w:r>
      <w:r>
        <w:tab/>
      </w:r>
      <w:commentRangeStart w:id="110"/>
      <w:r w:rsidRPr="00775066">
        <w:t>Sub-Section 2C: Staffing Plan</w:t>
      </w:r>
      <w:bookmarkEnd w:id="109"/>
      <w:commentRangeEnd w:id="110"/>
      <w:r w:rsidR="006828B1">
        <w:rPr>
          <w:rStyle w:val="CommentReference"/>
          <w:sz w:val="26"/>
          <w:szCs w:val="26"/>
        </w:rPr>
        <w:commentReference w:id="110"/>
      </w:r>
      <w:r w:rsidR="005038DA">
        <w:t xml:space="preserve"> </w:t>
      </w:r>
      <w:r w:rsidR="005038DA" w:rsidRPr="00806273">
        <w:rPr>
          <w:color w:val="FF0000"/>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commentRangeStart w:id="111"/>
      <w:r w:rsidRPr="00B22AFA">
        <w:t>Deloitte's staffing model responds to a single operating reality: ER&amp;R workload is concentrated, seasonal, and risk-sensitive. The staffing footprint at contract start is sized to deliver continuity across all ten SOW tasks from Day 1, scaled in proportion to the workload drivers (issuer disputes, 1095-A casework, CCHC, IT systems O&amp;M, and contact center support), and structured to flex up for tax season and Open Enrollment surge without disrupting steady-state operations. The workforce is organized into five integrated delivery towers — Business Operations, Technology Management, Program Management &amp; Program Controls, Quality Assurance / SOP / Knowledge Management, and SME / Program Integrity — staffed with a labor mix of senior leadership, mid-level operational analysts, junior caseworkers, and subject matter experts proportioned to the actual case complexity each tower handles. Prime and subcontractor personnel operate as one integrated delivery workforce under unified Deloitte governance, with subcontractor work governed by the same SLAs, AQLs, and QA standards described in Sub-Section 2B. The detailed organizational chart is provided in Figure 2.3-1; the labor mix matrix by labor category, task, and sub-task is provided in Volume II: Business Quote per the Attachment 2 pricing template instructions.</w:t>
      </w:r>
      <w:r w:rsidRPr="001349CE">
        <w:rPr>
          <w:rStyle w:val="CharacterBold"/>
        </w:rPr>
      </w:r>
      <w:r w:rsidRPr="00B22AFA"/>
      <w:r w:rsidRPr="001349CE">
        <w:rPr>
          <w:rStyle w:val="CharacterBold"/>
        </w:rPr>
      </w:r>
      <w:r w:rsidRPr="00B22AFA"/>
      <w:r w:rsidRPr="001349CE">
        <w:rPr>
          <w:rStyle w:val="CharacterBold"/>
        </w:rPr>
      </w:r>
      <w:r w:rsidRPr="00B22AFA"/>
      <w:r w:rsidRPr="001349CE">
        <w:rPr>
          <w:rStyle w:val="CharacterBold"/>
        </w:rPr>
      </w:r>
      <w:r w:rsidRPr="00B22AFA"/>
      <w:r/>
      <w:r w:rsidR="00B17029" w:rsidRPr="001349CE">
        <w:rPr>
          <w:rStyle w:val="CharacterBold"/>
        </w:rPr>
      </w:r>
      <w:commentRangeEnd w:id="111"/>
      <w:r w:rsidR="00C33993">
        <w:rPr>
          <w:rStyle w:val="CommentReference"/>
          <w:rFonts w:ascii="Courier New" w:hAnsi="Courier New"/>
        </w:rPr>
      </w:r>
    </w:p>
    <w:p w14:paraId="419B470C" w14:textId="01B93D6E" w:rsidR="00B17029" w:rsidRPr="0071582C" w:rsidRDefault="00FB51CD" w:rsidP="001349CE">
      <w:pPr>
        <w:pStyle w:val="FigureTitle"/>
      </w:pPr>
      <w:commentRangeStart w:id="112"/>
      <w:r>
        <w:lastRenderedPageBreak/>
        <w:t>Figure</w:t>
      </w:r>
      <w:commentRangeEnd w:id="112"/>
      <w:r>
        <w:rPr>
          <w:rStyle w:val="CommentReference"/>
          <w:sz w:val="24"/>
          <w:szCs w:val="22"/>
        </w:rPr>
        <w:commentReference w:id="112"/>
      </w:r>
      <w:r>
        <w:t xml:space="preserve"> 2.3-1. </w:t>
      </w:r>
      <w:r w:rsidR="001349CE">
        <w:t>Organizational Chart.</w:t>
      </w:r>
    </w:p>
    <w:p w14:paraId="325B2AF5" w14:textId="70C868A4" w:rsidR="001349CE" w:rsidRPr="001349CE" w:rsidRDefault="001349CE" w:rsidP="001349CE">
      <w:pPr>
        <w:pStyle w:val="FigureGraphic"/>
      </w:pPr>
      <w:commentRangeStart w:id="113"/>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commentRangeEnd w:id="113"/>
      <w:r w:rsidRPr="001349CE">
        <w:rPr>
          <w:rStyle w:val="CommentReference"/>
          <w:sz w:val="20"/>
          <w:szCs w:val="22"/>
        </w:rPr>
        <w:commentReference w:id="113"/>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commentRangeStart w:id="114"/>
      <w:r w:rsidRPr="00367BA6">
        <w:rPr>
          <w:b/>
          <w:bCs/>
        </w:rPr>
        <w:t>Deloitte's resource management approach is built around five operating commitments. First, role-based assignment: every caseworker, analyst, engineer, and supervisor is matched to a specific function within a specific tower, with documented role descriptions, competency requirements, and SOW-task accountability — eliminating the under-specified "generalist" model that creates SLA risk in casework operations. Second, lifecycle-aware staffing: the model phases through transition-in (months 1-3 emphasizing knowledge transfer, system access, and shadow operations), steady-state operations (months 4+ optimized for SLA performance and continuous improvement), peak periods (tax season and post-Open-Enrollment ramp), and transition-out (orderly turnover) — with explicit headcount and skill-mix requirements at each phase. Third, recruitment and retention discipline: Deloitte's CMS Marketplace recruiting bench, refreshed continuously and pre-cleared for federal background investigation processing, sources permanent staff with prior FFE/SBE experience and SOW-relevant federal healthcare data system experience. Fourth, integrated workforce management: prime and subcontractor staff operate as one team with shared training, shared QA standards, shared performance metrics, and a single Project Director accountable for total workforce performance. Fifth, transparent staffing visibility: the COR has continuous access to staffing levels by tower and task through the operations dashboard, with formal reporting via the Monthly Progress, Data and Cost Report and any staffing change of consequence flagged for COR concurrence in advance per SOW §3.1.</w:t>
      </w:r>
      <w:r w:rsidRPr="00367BA6"/>
      <w:r w:rsidR="00C91D75" w:rsidRPr="00C91D75"/>
      <w:commentRangeEnd w:id="114"/>
      <w:r w:rsidR="00956174">
        <w:rPr>
          <w:rStyle w:val="CommentReference"/>
          <w:rFonts w:ascii="Courier New" w:hAnsi="Courier New"/>
        </w:rPr>
      </w:r>
    </w:p>
    <w:p w14:paraId="63ABC5AC" w14:textId="63380A3E" w:rsidR="00760C47" w:rsidRPr="00760C47" w:rsidRDefault="00760C47" w:rsidP="0071582C">
      <w:pPr>
        <w:pStyle w:val="BodyText"/>
        <w:rPr>
          <w:b/>
          <w:color w:val="00B0F0"/>
        </w:rPr>
      </w:pPr>
      <w:r w:rsidRPr="00760C47">
        <w:rPr>
          <w:b/>
          <w:color w:val="00B0F0"/>
        </w:rPr>
        <w:t>[Deloitte to populate: detailed labor-mix matrix showing FTE counts by labor category by task / sub-task across the base period and four option periods, separated by prime and proposed subcontractors with current-on-staff vs. proposed-new flagged. Final matrix appears in Volume II: Business Quote per Attachment 2 pricing template; this volume references that matrix.]</w:t>
      </w:r>
      <w:r>
        <w:rPr>
          <w:b/>
          <w:color w:val="00B0F0"/>
        </w:rPr>
      </w:r>
      <w:r w:rsidRPr="00760C47">
        <w:rPr>
          <w:b/>
          <w:color w:val="00B0F0"/>
        </w:rPr>
      </w:r>
      <w:r w:rsidR="00445B8E">
        <w:rPr>
          <w:b/>
          <w:color w:val="00B0F0"/>
        </w:rPr>
      </w:r>
    </w:p>
    <w:p w14:paraId="71020036" w14:textId="4EC42A6B" w:rsidR="00B8451D" w:rsidRPr="005C1CC9" w:rsidRDefault="0071582C" w:rsidP="0071582C">
      <w:pPr>
        <w:pStyle w:val="Subheading1"/>
      </w:pPr>
      <w:commentRangeStart w:id="117"/>
      <w:r w:rsidRPr="0071582C">
        <w:t>Surge</w:t>
      </w:r>
      <w:commentRangeEnd w:id="117"/>
      <w:r>
        <w:rPr>
          <w:rStyle w:val="CommentReference"/>
          <w:sz w:val="24"/>
          <w:szCs w:val="22"/>
        </w:rPr>
        <w:commentReference w:id="117"/>
      </w:r>
      <w:r w:rsidR="00760C47">
        <w:t xml:space="preserve"> </w:t>
      </w:r>
      <w:commentRangeStart w:id="118"/>
      <w:r w:rsidR="00760C47">
        <w:t>Support</w:t>
      </w:r>
      <w:commentRangeEnd w:id="118"/>
      <w:r>
        <w:rPr>
          <w:rStyle w:val="CommentReference"/>
          <w:sz w:val="24"/>
          <w:szCs w:val="22"/>
        </w:rPr>
        <w:commentReference w:id="118"/>
      </w:r>
      <w:r w:rsidR="00760C47">
        <w:t xml:space="preserve"> </w:t>
      </w:r>
    </w:p>
    <w:p w14:paraId="2B75A7BF" w14:textId="2DAEC4FA" w:rsidR="007840F7" w:rsidRPr="007840F7" w:rsidRDefault="007840F7" w:rsidP="00FB51CD">
      <w:pPr>
        <w:pStyle w:val="BodyText"/>
      </w:pPr>
      <w:r w:rsidRPr="00FB51CD">
        <w:rPr>
          <w:rStyle w:val="CharacterBold"/>
        </w:rPr>
        <w:t>Form 1095-A consumer dispute volume triples between December and February and remains elevated through May (SOW assumptions, monthly volumes table). Deloitte's surge plan responds to that exact curve. Recruiting begins in early November for the temporary case analyst pool sized to the SOW assumption of approximately 100-120 temporary analysts and 4 temporary team leads. CMS background investigations begin at offer acceptance to ensure the first wave is cleared, system-trained, and shadow-certified before January 1. A returner-first model preferentially re-engages prior-season caseworkers — they skip baseline training, complete a policy update refresher, and reach full productivity from their first day back. New hires train on prior-year root-cause case types under peer certification by returners before touching a live case. Additional waves deploy in late January and February as volume climbs toward the February peak. The pool is released in phases beginning in May and concluding by early July as volumes return to baseline. Casework surge (queue balancing, backlog absorption, escalation coverage, complex-case overflow) and contact center surge (call coverage, voicemail response, supervisor-to-agent ratio maintenance) are managed as distinct operating disciplines so peak coverage in one channel does not degrade quality in another. Surge personnel receive role-based access to CERRS, HICS, and SEED with the same security controls, audit logging, and field-level masking that apply to permanent staff.</w:t>
      </w:r>
      <w:r w:rsidRPr="007840F7"/>
      <w:commentRangeStart w:id="119"/>
      <w:r w:rsidRPr="007840F7"/>
      <w:commentRangeEnd w:id="119"/>
      <w:r w:rsidRPr="007840F7">
        <w:rPr>
          <w:rStyle w:val="CommentReference"/>
          <w:sz w:val="24"/>
          <w:szCs w:val="22"/>
        </w:rPr>
      </w:r>
    </w:p>
    <w:p>
      <w:pPr>
        <w:pStyle w:val="BodyText"/>
      </w:pPr>
      <w:r>
        <w:t>Technical surge capacity is maintained in parallel. During Open Enrollment, the EDA CORE 834 ingestion pipeline processes thousands of transactions per hour; Deloitte pre-positions Snowflake performance-tuning capacity, on-call DevOps coverage, and incident response staffing at heightened readiness. Service desk Tier 2 and Tier 3 capacity flexes through a defined reserve pool that activates on threshold rather than after backlog accumulation. Release cadence and Change Control Board scheduling respect the SOW-required software-integration lockout windows during Open Enrollment so technical change does not introduce risk during the highest-stakes period of the year.</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color w:val="FF0000"/>
        </w:rPr>
        <w:t>(</w:t>
      </w:r>
      <w:r w:rsidR="00053351">
        <w:rPr>
          <w:color w:val="FF0000"/>
        </w:rPr>
        <w:t>Total 8</w:t>
      </w:r>
      <w:r w:rsidR="00053351" w:rsidRPr="00806273">
        <w:rPr>
          <w:color w:val="FF0000"/>
        </w:rPr>
        <w:t xml:space="preserve"> Pages)</w:t>
      </w:r>
    </w:p>
    <w:p w14:paraId="62D72ADA" w14:textId="4E0C3F0C" w:rsidR="007C62A0" w:rsidRDefault="00245804" w:rsidP="00245804">
      <w:pPr>
        <w:pStyle w:val="Heading2"/>
      </w:pPr>
      <w:bookmarkStart w:id="121" w:name="_Toc227883195"/>
      <w:r>
        <w:t>3.1</w:t>
      </w:r>
      <w:r>
        <w:tab/>
      </w:r>
      <w:commentRangeStart w:id="122"/>
      <w:r w:rsidR="007C62A0">
        <w:t>Sub-Section 3A: Key Personnel Qualifications</w:t>
      </w:r>
      <w:bookmarkEnd w:id="121"/>
      <w:commentRangeEnd w:id="122"/>
      <w:r w:rsidR="00BA6A25">
        <w:rPr>
          <w:rStyle w:val="CommentReference"/>
          <w:sz w:val="26"/>
          <w:szCs w:val="26"/>
        </w:rPr>
        <w:commentReference w:id="122"/>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rFonts w:ascii="Arial" w:eastAsia="Arial" w:hAnsi="Arial" w:cs="Arial"/>
          <w:color w:val="1F4E79"/>
          <w:szCs w:val="24"/>
        </w:rPr>
        <w:t>E</w:t>
      </w:r>
      <w:r w:rsidR="00995647" w:rsidRPr="00995647">
        <w:rPr>
          <w:rFonts w:ascii="Arial" w:eastAsia="Arial" w:hAnsi="Arial" w:cs="Arial"/>
          <w:color w:val="1F4E79"/>
          <w:szCs w:val="24"/>
        </w:rPr>
        <w:t>ducation</w:t>
      </w:r>
      <w:r w:rsidR="0002087E">
        <w:rPr>
          <w:rFonts w:ascii="Arial" w:eastAsia="Arial" w:hAnsi="Arial" w:cs="Arial"/>
          <w:color w:val="1F4E79"/>
          <w:szCs w:val="24"/>
        </w:rPr>
        <w:t>,</w:t>
      </w:r>
      <w:r w:rsidR="000210FF">
        <w:rPr>
          <w:rFonts w:ascii="Arial" w:eastAsia="Arial" w:hAnsi="Arial" w:cs="Arial"/>
          <w:color w:val="1F4E79"/>
          <w:szCs w:val="24"/>
        </w:rPr>
        <w:t xml:space="preserve"> </w:t>
      </w:r>
      <w:r w:rsidR="00995647" w:rsidRPr="00995647">
        <w:rPr>
          <w:rFonts w:ascii="Arial" w:eastAsia="Arial" w:hAnsi="Arial" w:cs="Arial"/>
          <w:color w:val="1F4E79"/>
          <w:szCs w:val="24"/>
        </w:rPr>
        <w:t>Professional Experience</w:t>
      </w:r>
      <w:r w:rsidR="0002087E">
        <w:rPr>
          <w:rFonts w:ascii="Arial" w:eastAsia="Arial" w:hAnsi="Arial" w:cs="Arial"/>
          <w:color w:val="1F4E79"/>
          <w:szCs w:val="24"/>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color w:val="595959"/>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color w:val="595959"/>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color w:val="595959"/>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color w:val="595959"/>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color w:val="595959"/>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color w:val="595959"/>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commentRangeStart w:id="123"/>
      <w:r>
        <w:t>Significant Leads</w:t>
      </w:r>
      <w:r w:rsidR="006B70F3">
        <w:t xml:space="preserve"> and Responsibilities </w:t>
      </w:r>
      <w:commentRangeEnd w:id="123"/>
      <w:r w:rsidR="001633F2">
        <w:rPr>
          <w:rStyle w:val="CommentReference"/>
          <w:sz w:val="24"/>
          <w:szCs w:val="22"/>
        </w:rPr>
        <w:commentReference w:id="123"/>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rFonts w:ascii="Arial" w:eastAsia="Arial" w:hAnsi="Arial" w:cs="Arial"/>
                <w:b/>
                <w:bCs/>
                <w:szCs w:val="20"/>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color w:val="595959"/>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color w:val="595959"/>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color w:val="595959"/>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color w:val="595959"/>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color w:val="595959"/>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 Deloitte maintains a pipeline of CMS-experienced professionals for each key position. At least one qualified backup candidate has been identified in advance for each key role.</w:t>
      </w:r>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 Where advance notice is available, Deloitte ensures a minimum 30-day co-performance period so outgoing and incoming personnel work in parallel, preserving operational continuity and institutional knowledge.</w:t>
      </w:r>
      <w:r/>
    </w:p>
    <w:p w14:paraId="6AA1AA88" w14:textId="77777777" w:rsidR="006557D6" w:rsidRPr="00245804" w:rsidRDefault="006557D6" w:rsidP="006557D6">
      <w:pPr>
        <w:pStyle w:val="Subheading1"/>
        <w:ind w:left="80"/>
      </w:pPr>
      <w:commentRangeStart w:id="124"/>
      <w:commentRangeStart w:id="125"/>
      <w:r>
        <w:t>Level of Effort</w:t>
      </w:r>
      <w:commentRangeEnd w:id="124"/>
      <w:r w:rsidRPr="00245804">
        <w:rPr>
          <w:rStyle w:val="CommentReference"/>
          <w:sz w:val="24"/>
          <w:szCs w:val="22"/>
        </w:rPr>
        <w:commentReference w:id="124"/>
      </w:r>
      <w:commentRangeEnd w:id="125"/>
      <w:r w:rsidRPr="00245804">
        <w:rPr>
          <w:rStyle w:val="CommentReference"/>
          <w:sz w:val="24"/>
          <w:szCs w:val="22"/>
        </w:rPr>
        <w:commentReference w:id="125"/>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commentRangeStart w:id="127"/>
      <w:r w:rsidR="007C62A0">
        <w:t>Sub-Section 3B: Corporate Experience</w:t>
      </w:r>
      <w:bookmarkEnd w:id="126"/>
      <w:commentRangeEnd w:id="127"/>
      <w:r w:rsidR="0010647B">
        <w:rPr>
          <w:rStyle w:val="CommentReference"/>
          <w:sz w:val="26"/>
          <w:szCs w:val="26"/>
        </w:rPr>
        <w:commentReference w:id="127"/>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7B53BC9" w14:textId="1DAB76A8"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commentRangeStart w:id="128"/>
      <w:r w:rsidRPr="00802C4A"/>
      <w:commentRangeEnd w:id="128"/>
      <w:r w:rsidR="00C52560" w:rsidRPr="00802C4A">
        <w:rPr>
          <w:rStyle w:val="CommentReference"/>
          <w:sz w:val="24"/>
          <w:szCs w:val="22"/>
        </w:rPr>
      </w:r>
      <w:r w:rsidRPr="00802C4A"/>
      <w:r w:rsidR="00225D53"/>
      <w:r w:rsidRPr="00802C4A"/>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commentRangeStart w:id="129"/>
            <w:r>
              <w:t xml:space="preserve">CalHEERS is </w:t>
            </w:r>
            <w:commentRangeEnd w:id="129"/>
            <w:r>
              <w:rPr>
                <w:rStyle w:val="CommentReference"/>
                <w:sz w:val="20"/>
                <w:szCs w:val="22"/>
              </w:rPr>
              <w:commentReference w:id="129"/>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commentRangeStart w:id="130"/>
      <w:r w:rsidRPr="00802C4A"/>
      <w:commentRangeEnd w:id="130"/>
      <w:r w:rsidR="001F05BC" w:rsidRPr="00802C4A">
        <w:rPr>
          <w:rStyle w:val="CommentReference"/>
          <w:sz w:val="24"/>
          <w:szCs w:val="22"/>
        </w:rPr>
      </w:r>
      <w:r w:rsidRPr="00802C4A"/>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commentRangeStart w:id="132"/>
      <w:r w:rsidRPr="00845269">
        <w:t xml:space="preserve">Section 4: Small Business </w:t>
      </w:r>
      <w:commentRangeEnd w:id="132"/>
      <w:r w:rsidR="00C06351" w:rsidRPr="00845269">
        <w:rPr>
          <w:rStyle w:val="CommentReference"/>
          <w:sz w:val="28"/>
          <w:szCs w:val="28"/>
        </w:rPr>
        <w:commentReference w:id="132"/>
      </w:r>
      <w:r w:rsidRPr="00845269">
        <w:t>Utilization</w:t>
      </w:r>
      <w:r w:rsidR="00A2440B">
        <w:t xml:space="preserve"> </w:t>
      </w:r>
      <w:r w:rsidR="00A2440B" w:rsidRPr="009804E4">
        <w:rPr>
          <w:color w:val="FF0000"/>
        </w:rPr>
        <w:t xml:space="preserve">(5 </w:t>
      </w:r>
      <w:r w:rsidR="009804E4" w:rsidRPr="009804E4">
        <w:rPr>
          <w:color w:val="FF0000"/>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pPr>
        <w:pStyle w:val="Subheading1"/>
      </w:pPr>
      <w:r>
        <w:t>4.1 Approach to Maximize Small Business Subcontracting</w:t>
      </w:r>
    </w:p>
    <w:p>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pPr>
        <w:pStyle w:val="Subheading1"/>
      </w:pPr>
      <w:r>
        <w:t>4.2 Proposed Small Business Subcontractors</w:t>
      </w:r>
    </w:p>
    <w:p>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pPr>
        <w:pStyle w:val="TableTitle"/>
      </w:pPr>
      <w:r>
        <w:t>Table 4.2-1. Proposed Small Business Subcontractors.</w:t>
      </w:r>
    </w:p>
    <w:p>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pPr>
        <w:pStyle w:val="Subheading1"/>
      </w:pPr>
      <w:r>
        <w:t>4.3 Commitment to Use Small Businesses</w:t>
      </w:r>
    </w:p>
    <w:p>
      <w:pPr>
        <w:pStyle w:val="BodyText"/>
      </w:pPr>
      <w:r>
        <w:t>Deloitte's commitment to small business participation is documented through three concrete instruments included with this quote as attachments and not counted against the Volume I page limit:</w:t>
      </w:r>
    </w:p>
    <w:p>
      <w:pPr>
        <w:pStyle w:val="Bulletlevel1"/>
      </w:pPr>
      <w:r>
        <w:t>Signed letters of commitment from each proposed small business subcontractor confirming availability, proposed labor categories, and willingness to perform the workshare described in Table 4.2-1.</w:t>
      </w:r>
    </w:p>
    <w:p>
      <w:pPr>
        <w:pStyle w:val="Bulletlevel1"/>
      </w:pPr>
      <w:r>
        <w:t>Draft subcontracting agreements outlining scope, performance standards, flow-down clauses (FAR/HHSAR/CMS-specific privacy and security clauses, Section 508, and the Conflict of Interest CMS clause), termination provisions, and reporting requirements.</w:t>
      </w:r>
    </w:p>
    <w:p>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pPr>
        <w:pStyle w:val="BodyText"/>
      </w:pPr>
      <w:r>
        <w:t>All proposed small business subcontractors will receive the same flow-down requirements that apply to Deloitte under the prime contract, including FAR Subpart 8.4, HHSAR clauses, the CMS Conflict of Interest (AUG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pPr>
        <w:pStyle w:val="Subheading1"/>
      </w:pPr>
      <w:r>
        <w:t>4.4 Subcontracting Plan Governance</w:t>
      </w:r>
    </w:p>
    <w:p>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(eSRS Individual and Summary Subcontract Reports). Deloitte's SBLO will:</w:t>
      </w:r>
    </w:p>
    <w:p>
      <w:pPr>
        <w:pStyle w:val="Bulletlevel1"/>
      </w:pPr>
      <w:r>
        <w:t>Track and report small business utilization monthly to the COR within the Monthly Progress, Data and Cost Report (SOW §3.1) — broken out by total dollars, labor categories, task/sub-task allocation, and socioeconomic category.</w:t>
      </w:r>
    </w:p>
    <w:p>
      <w:pPr>
        <w:pStyle w:val="Bulletlevel1"/>
      </w:pPr>
      <w:r>
        <w:t>Conduct quarterly small business performance reviews jointly with each subcontractor, surfacing ramp opportunities, risk indicators, and any need for corrective action — with results summarized to CMS.</w:t>
      </w:r>
    </w:p>
    <w:p>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pPr>
        <w:pStyle w:val="Bulletlevel1"/>
      </w:pPr>
      <w:r>
        <w:t>Document and report any planned changes to the subcontracting plan promptly, with rationale and impact analysis, so CMS retains continuous visibility into small business commitment execution.</w:t>
      </w:r>
    </w:p>
    <w:p>
      <w:pPr>
        <w:pStyle w:val="Subheading1"/>
      </w:pPr>
      <w:r>
        <w:t>4.5 Prime Contractor Workshare Disclosure</w:t>
      </w:r>
    </w:p>
    <w:p>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39E17E30" w14:textId="54FB4F50" w:rsidR="00E824A9" w:rsidRDefault="00E824A9" w:rsidP="00045B87">
      <w:pPr>
        <w:pStyle w:val="Heading1"/>
      </w:pPr>
      <w:bookmarkStart w:id="133" w:name="_Toc227883198"/>
      <w:r>
        <w:lastRenderedPageBreak/>
        <w:t>Appendix A</w:t>
      </w:r>
      <w:r>
        <w:tab/>
      </w:r>
      <w:commentRangeStart w:id="134"/>
      <w:r w:rsidR="00045B87">
        <w:t>Key Personnel Resumes</w:t>
      </w:r>
      <w:commentRangeEnd w:id="134"/>
      <w:r w:rsidR="00D4736E">
        <w:rPr>
          <w:rStyle w:val="CommentReference"/>
          <w:sz w:val="28"/>
          <w:szCs w:val="28"/>
        </w:rPr>
        <w:commentReference w:id="134"/>
      </w:r>
      <w:r w:rsidR="00CE4E4D">
        <w:t xml:space="preserve"> </w:t>
      </w:r>
      <w:r w:rsidR="00CE4E4D" w:rsidRPr="00CE4E4D">
        <w:rPr>
          <w:color w:val="FF0000"/>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commentRangeStart w:id="136"/>
      <w:r w:rsidRPr="00A07123">
        <w:t>Project Director</w:t>
      </w:r>
      <w:bookmarkEnd w:id="135"/>
      <w:commentRangeEnd w:id="136"/>
      <w:r w:rsidR="009A097D">
        <w:rPr>
          <w:rStyle w:val="CommentReference"/>
          <w:b w:val="0"/>
          <w:i/>
          <w:sz w:val="28"/>
          <w:szCs w:val="26"/>
        </w:rPr>
        <w:commentReference w:id="136"/>
      </w:r>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commentRangeStart w:id="138"/>
      <w:r w:rsidRPr="006065FF">
        <w:t>Project Manager (ER&amp;R)</w:t>
      </w:r>
      <w:bookmarkEnd w:id="137"/>
      <w:commentRangeEnd w:id="138"/>
      <w:r w:rsidR="004F0C03">
        <w:rPr>
          <w:rStyle w:val="CommentReference"/>
          <w:b w:val="0"/>
          <w:i/>
          <w:sz w:val="28"/>
          <w:szCs w:val="26"/>
        </w:rPr>
        <w:commentReference w:id="138"/>
      </w:r>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commentRangeStart w:id="140"/>
      <w:r w:rsidRPr="006065FF">
        <w:t>Project Manager (Form 1095-A &amp; CCHC)</w:t>
      </w:r>
      <w:bookmarkEnd w:id="139"/>
      <w:commentRangeEnd w:id="140"/>
      <w:r w:rsidR="006510DF">
        <w:rPr>
          <w:rStyle w:val="CommentReference"/>
          <w:b w:val="0"/>
          <w:i/>
          <w:sz w:val="28"/>
          <w:szCs w:val="26"/>
        </w:rPr>
        <w:commentReference w:id="140"/>
      </w:r>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commentRangeStart w:id="142"/>
      <w:r w:rsidRPr="006065FF">
        <w:t xml:space="preserve">Project Manager </w:t>
      </w:r>
      <w:r w:rsidR="005173D2" w:rsidRPr="005173D2">
        <w:t>(IT Data and Technical Support)</w:t>
      </w:r>
      <w:bookmarkEnd w:id="141"/>
      <w:commentRangeEnd w:id="142"/>
      <w:r w:rsidR="00CA7521">
        <w:rPr>
          <w:rStyle w:val="CommentReference"/>
          <w:b w:val="0"/>
          <w:i/>
          <w:sz w:val="28"/>
          <w:szCs w:val="26"/>
        </w:rPr>
        <w:commentReference w:id="142"/>
      </w:r>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commentRangeStart w:id="144"/>
      <w:r w:rsidR="00CE5E62" w:rsidRPr="00CE5E62">
        <w:t>Technical Director</w:t>
      </w:r>
      <w:bookmarkEnd w:id="143"/>
      <w:commentRangeEnd w:id="144"/>
      <w:r w:rsidR="00427099">
        <w:rPr>
          <w:rStyle w:val="CommentReference"/>
          <w:b w:val="0"/>
          <w:i/>
          <w:sz w:val="28"/>
          <w:szCs w:val="26"/>
        </w:rPr>
        <w:commentReference w:id="144"/>
      </w:r>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commentRangeStart w:id="146"/>
      <w:r w:rsidR="006079C6" w:rsidRPr="006079C6">
        <w:t>Security and Privacy Officer</w:t>
      </w:r>
      <w:bookmarkEnd w:id="145"/>
      <w:commentRangeEnd w:id="146"/>
      <w:r w:rsidR="00B574A9">
        <w:rPr>
          <w:rStyle w:val="CommentReference"/>
          <w:b w:val="0"/>
          <w:i/>
          <w:sz w:val="28"/>
          <w:szCs w:val="26"/>
        </w:rPr>
        <w:commentReference w:id="146"/>
      </w:r>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 1.1.1-1. Approach Summary.</w:t>
      </w:r>
      <w:r w:rsidRPr="00374D6C"/>
      <w:r/>
      <w:r w:rsidRPr="00374D6C"/>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p>
      <w:pPr>
        <w:pStyle w:val="Heading1"/>
      </w:pPr>
      <w:r>
        <w:t>Compliance Matrix</w:t>
      </w:r>
    </w:p>
    <w:p>
      <w:pPr>
        <w:pStyle w:val="BodyText"/>
      </w:pPr>
      <w:r>
        <w:t>The matrix below cross-walks every Statement of Work (SOW) task and every Volume I evaluation sub-factor in Attachment 2 to the Volume I section and page where Deloitte's response appears. The Compliance Matrix is provided in accordance with the indexing guidance in Attachment 2 and is advisory in nature; it imparts no information beyond the identification of content and is therefore not counted against the Volume I forty-page limit.</w:t>
      </w:r>
    </w:p>
    <w:p>
      <w:pPr>
        <w:pStyle w:val="TableTitle"/>
      </w:pPr>
      <w:r>
        <w:t>Table CM-1. Cross-Walk of SOW Requirements and Attachment 2 Evaluation Factors to Volume I Sections.</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SOW / Attachment 2 Reference</w:t>
            </w:r>
          </w:p>
        </w:tc>
        <w:tc>
          <w:tcPr>
            <w:tcW w:type="dxa" w:w="3120"/>
          </w:tcPr>
          <w:p>
            <w:r>
              <w:t>Volume I Section / Page</w:t>
            </w:r>
          </w:p>
        </w:tc>
      </w:tr>
      <w:tr>
        <w:tc>
          <w:tcPr>
            <w:tcW w:type="dxa" w:w="3120"/>
          </w:tcPr>
          <w:p>
            <w:r>
              <w:t>Att. 2 Factor 1: Technical Understanding &amp; Approach</w:t>
            </w:r>
          </w:p>
        </w:tc>
        <w:tc>
          <w:tcPr>
            <w:tcW w:type="dxa" w:w="3120"/>
          </w:tcPr>
          <w:p>
            <w:r>
              <w:t>Att. 2 §Volume I Section 1</w:t>
            </w:r>
          </w:p>
        </w:tc>
        <w:tc>
          <w:tcPr>
            <w:tcW w:type="dxa" w:w="3120"/>
          </w:tcPr>
          <w:p>
            <w:r/>
          </w:p>
        </w:tc>
      </w:tr>
      <w:tr>
        <w:tc>
          <w:tcPr>
            <w:tcW w:type="dxa" w:w="3120"/>
          </w:tcPr>
          <w:p>
            <w:r>
              <w:t>Sub-Factor 1A: Understanding of CMS' Program &amp; Acquisition Objectives</w:t>
            </w:r>
          </w:p>
        </w:tc>
        <w:tc>
          <w:tcPr>
            <w:tcW w:type="dxa" w:w="3120"/>
          </w:tcPr>
          <w:p>
            <w:r>
              <w:t>Att. 2 §1A</w:t>
            </w:r>
          </w:p>
        </w:tc>
        <w:tc>
          <w:tcPr>
            <w:tcW w:type="dxa" w:w="3120"/>
          </w:tcPr>
          <w:p>
            <w:r>
              <w:t>Section 1.1 (Sub-Section 1A) — p. [auto]</w:t>
            </w:r>
          </w:p>
        </w:tc>
      </w:tr>
      <w:tr>
        <w:tc>
          <w:tcPr>
            <w:tcW w:type="dxa" w:w="3120"/>
          </w:tcPr>
          <w:p>
            <w:r>
              <w:t>Sub-Factor 1B: Approach to Performing Requirements in the SOW (Tasks 2–10)</w:t>
            </w:r>
          </w:p>
        </w:tc>
        <w:tc>
          <w:tcPr>
            <w:tcW w:type="dxa" w:w="3120"/>
          </w:tcPr>
          <w:p>
            <w:r>
              <w:t>Att. 2 §1B; SOW §3.2–3.10</w:t>
            </w:r>
          </w:p>
        </w:tc>
        <w:tc>
          <w:tcPr>
            <w:tcW w:type="dxa" w:w="3120"/>
          </w:tcPr>
          <w:p>
            <w:r>
              <w:t>Section 1.2 (Sub-Section 1B) — p. [auto]</w:t>
            </w:r>
          </w:p>
        </w:tc>
      </w:tr>
      <w:tr>
        <w:tc>
          <w:tcPr>
            <w:tcW w:type="dxa" w:w="3120"/>
          </w:tcPr>
          <w:p>
            <w:r>
              <w:t>Task 2: ER&amp;R Issuer Disputes (incl. Subtask 2.1 Low Complexity, 2.2 High Complexity)</w:t>
            </w:r>
          </w:p>
        </w:tc>
        <w:tc>
          <w:tcPr>
            <w:tcW w:type="dxa" w:w="3120"/>
          </w:tcPr>
          <w:p>
            <w:r>
              <w:t>SOW §3.2, §3.2.1, §3.2.2</w:t>
            </w:r>
          </w:p>
        </w:tc>
        <w:tc>
          <w:tcPr>
            <w:tcW w:type="dxa" w:w="3120"/>
          </w:tcPr>
          <w:p>
            <w:r>
              <w:t>Section 1.2.1 — p. [auto]</w:t>
            </w:r>
          </w:p>
        </w:tc>
      </w:tr>
      <w:tr>
        <w:tc>
          <w:tcPr>
            <w:tcW w:type="dxa" w:w="3120"/>
          </w:tcPr>
          <w:p>
            <w:r>
              <w:t>Task 3: Form 1095-A Consumer Disputes (incl. Subtask 3.1 Low, 3.2 Medium, 3.3 High Complexity)</w:t>
            </w:r>
          </w:p>
        </w:tc>
        <w:tc>
          <w:tcPr>
            <w:tcW w:type="dxa" w:w="3120"/>
          </w:tcPr>
          <w:p>
            <w:r>
              <w:t>SOW §3.3, §3.3.1, §3.3.2, §3.3.3</w:t>
            </w:r>
          </w:p>
        </w:tc>
        <w:tc>
          <w:tcPr>
            <w:tcW w:type="dxa" w:w="3120"/>
          </w:tcPr>
          <w:p>
            <w:r>
              <w:t>Section 1.2.2 — p. [auto]</w:t>
            </w:r>
          </w:p>
        </w:tc>
      </w:tr>
      <w:tr>
        <w:tc>
          <w:tcPr>
            <w:tcW w:type="dxa" w:w="3120"/>
          </w:tcPr>
          <w:p>
            <w:r>
              <w:t>Task 4: Complex Case Help Center (CCHC)</w:t>
            </w:r>
          </w:p>
        </w:tc>
        <w:tc>
          <w:tcPr>
            <w:tcW w:type="dxa" w:w="3120"/>
          </w:tcPr>
          <w:p>
            <w:r>
              <w:t>SOW §3.4</w:t>
            </w:r>
          </w:p>
        </w:tc>
        <w:tc>
          <w:tcPr>
            <w:tcW w:type="dxa" w:w="3120"/>
          </w:tcPr>
          <w:p>
            <w:r>
              <w:t>Section 1.2.3 — p. [auto]</w:t>
            </w:r>
          </w:p>
        </w:tc>
      </w:tr>
      <w:tr>
        <w:tc>
          <w:tcPr>
            <w:tcW w:type="dxa" w:w="3120"/>
          </w:tcPr>
          <w:p>
            <w:r>
              <w:t>Task 5: Updating the FFE</w:t>
            </w:r>
          </w:p>
        </w:tc>
        <w:tc>
          <w:tcPr>
            <w:tcW w:type="dxa" w:w="3120"/>
          </w:tcPr>
          <w:p>
            <w:r>
              <w:t>SOW §3.5</w:t>
            </w:r>
          </w:p>
        </w:tc>
        <w:tc>
          <w:tcPr>
            <w:tcW w:type="dxa" w:w="3120"/>
          </w:tcPr>
          <w:p>
            <w:r>
              <w:t>Section 1.2.4 — p. [auto]</w:t>
            </w:r>
          </w:p>
        </w:tc>
      </w:tr>
      <w:tr>
        <w:tc>
          <w:tcPr>
            <w:tcW w:type="dxa" w:w="3120"/>
          </w:tcPr>
          <w:p>
            <w:r>
              <w:t>Task 6: Notice Generation</w:t>
            </w:r>
          </w:p>
        </w:tc>
        <w:tc>
          <w:tcPr>
            <w:tcW w:type="dxa" w:w="3120"/>
          </w:tcPr>
          <w:p>
            <w:r>
              <w:t>SOW §3.6</w:t>
            </w:r>
          </w:p>
        </w:tc>
        <w:tc>
          <w:tcPr>
            <w:tcW w:type="dxa" w:w="3120"/>
          </w:tcPr>
          <w:p>
            <w:r>
              <w:t>Section 1.2.5 — p. [auto]</w:t>
            </w:r>
          </w:p>
        </w:tc>
      </w:tr>
      <w:tr>
        <w:tc>
          <w:tcPr>
            <w:tcW w:type="dxa" w:w="3120"/>
          </w:tcPr>
          <w:p>
            <w:r>
              <w:t>Task 7: Telephone and Correspondence Support</w:t>
            </w:r>
          </w:p>
        </w:tc>
        <w:tc>
          <w:tcPr>
            <w:tcW w:type="dxa" w:w="3120"/>
          </w:tcPr>
          <w:p>
            <w:r>
              <w:t>SOW §3.7</w:t>
            </w:r>
          </w:p>
        </w:tc>
        <w:tc>
          <w:tcPr>
            <w:tcW w:type="dxa" w:w="3120"/>
          </w:tcPr>
          <w:p>
            <w:r>
              <w:t>Section 1.2.6 — p. [auto]</w:t>
            </w:r>
          </w:p>
        </w:tc>
      </w:tr>
      <w:tr>
        <w:tc>
          <w:tcPr>
            <w:tcW w:type="dxa" w:w="3120"/>
          </w:tcPr>
          <w:p>
            <w:r>
              <w:t>Task 8: IT Systems (CERRS, MCR, SEED, HICS, EDA CORE)</w:t>
            </w:r>
          </w:p>
        </w:tc>
        <w:tc>
          <w:tcPr>
            <w:tcW w:type="dxa" w:w="3120"/>
          </w:tcPr>
          <w:p>
            <w:r>
              <w:t>SOW §3.8, §3.8.1, §3.8.1.1, §3.8.1.2, §3.8.2, §3.8.3</w:t>
            </w:r>
          </w:p>
        </w:tc>
        <w:tc>
          <w:tcPr>
            <w:tcW w:type="dxa" w:w="3120"/>
          </w:tcPr>
          <w:p>
            <w:r>
              <w:t>Section 1.2.7 — p. [auto]</w:t>
            </w:r>
          </w:p>
        </w:tc>
      </w:tr>
      <w:tr>
        <w:tc>
          <w:tcPr>
            <w:tcW w:type="dxa" w:w="3120"/>
          </w:tcPr>
          <w:p>
            <w:r>
              <w:t>Task 9: SOPs Business Requirements &amp; Quality Assurance</w:t>
            </w:r>
          </w:p>
        </w:tc>
        <w:tc>
          <w:tcPr>
            <w:tcW w:type="dxa" w:w="3120"/>
          </w:tcPr>
          <w:p>
            <w:r>
              <w:t>SOW §3.9</w:t>
            </w:r>
          </w:p>
        </w:tc>
        <w:tc>
          <w:tcPr>
            <w:tcW w:type="dxa" w:w="3120"/>
          </w:tcPr>
          <w:p>
            <w:r>
              <w:t>Section 1.2.8 — p. [auto]</w:t>
            </w:r>
          </w:p>
        </w:tc>
      </w:tr>
      <w:tr>
        <w:tc>
          <w:tcPr>
            <w:tcW w:type="dxa" w:w="3120"/>
          </w:tcPr>
          <w:p>
            <w:r>
              <w:t>Task 10: Ad Hoc Work and Special Projects (incl. Enrollment Manual, Death PDM, Employer Notice Helpdesk)</w:t>
            </w:r>
          </w:p>
        </w:tc>
        <w:tc>
          <w:tcPr>
            <w:tcW w:type="dxa" w:w="3120"/>
          </w:tcPr>
          <w:p>
            <w:r>
              <w:t>SOW §3.10</w:t>
            </w:r>
          </w:p>
        </w:tc>
        <w:tc>
          <w:tcPr>
            <w:tcW w:type="dxa" w:w="3120"/>
          </w:tcPr>
          <w:p>
            <w:r>
              <w:t>Section 1.2.9 — p. [auto]</w:t>
            </w:r>
          </w:p>
        </w:tc>
      </w:tr>
      <w:tr>
        <w:tc>
          <w:tcPr>
            <w:tcW w:type="dxa" w:w="3120"/>
          </w:tcPr>
          <w:p>
            <w:r>
              <w:t>Sub-Factor 1C: Understanding and Mitigation of Risks (10 Risks + Risk Management Lifecycle)</w:t>
            </w:r>
          </w:p>
        </w:tc>
        <w:tc>
          <w:tcPr>
            <w:tcW w:type="dxa" w:w="3120"/>
          </w:tcPr>
          <w:p>
            <w:r>
              <w:t>Att. 2 §1C</w:t>
            </w:r>
          </w:p>
        </w:tc>
        <w:tc>
          <w:tcPr>
            <w:tcW w:type="dxa" w:w="3120"/>
          </w:tcPr>
          <w:p>
            <w:r>
              <w:t>Section 1.3 (Sub-Section 1C) — p. [auto]</w:t>
            </w:r>
          </w:p>
        </w:tc>
      </w:tr>
      <w:tr>
        <w:tc>
          <w:tcPr>
            <w:tcW w:type="dxa" w:w="3120"/>
          </w:tcPr>
          <w:p>
            <w:r>
              <w:t>Att. 2 Factor 2: Management Approach, Quality Assurance, and Staffing Plan</w:t>
            </w:r>
          </w:p>
        </w:tc>
        <w:tc>
          <w:tcPr>
            <w:tcW w:type="dxa" w:w="3120"/>
          </w:tcPr>
          <w:p>
            <w:r>
              <w:t>Att. 2 §Volume I Section 2</w:t>
            </w:r>
          </w:p>
        </w:tc>
        <w:tc>
          <w:tcPr>
            <w:tcW w:type="dxa" w:w="3120"/>
          </w:tcPr>
          <w:p>
            <w:r/>
          </w:p>
        </w:tc>
      </w:tr>
      <w:tr>
        <w:tc>
          <w:tcPr>
            <w:tcW w:type="dxa" w:w="3120"/>
          </w:tcPr>
          <w:p>
            <w:r>
              <w:t>Sub-Factor 2A: Management Approach (incl. Tasks 1, 11, 12)</w:t>
            </w:r>
          </w:p>
        </w:tc>
        <w:tc>
          <w:tcPr>
            <w:tcW w:type="dxa" w:w="3120"/>
          </w:tcPr>
          <w:p>
            <w:r>
              <w:t>Att. 2 §2A; SOW §3.1, §3.11, §3.12</w:t>
            </w:r>
          </w:p>
        </w:tc>
        <w:tc>
          <w:tcPr>
            <w:tcW w:type="dxa" w:w="3120"/>
          </w:tcPr>
          <w:p>
            <w:r>
              <w:t>Section 2.1 (Sub-Section 2A) — p. [auto]</w:t>
            </w:r>
          </w:p>
        </w:tc>
      </w:tr>
      <w:tr>
        <w:tc>
          <w:tcPr>
            <w:tcW w:type="dxa" w:w="3120"/>
          </w:tcPr>
          <w:p>
            <w:r>
              <w:t>Task 1: Program Implementation and Oversight (PI&amp;O) — PIOP, Kickoff, Reporting Cadence</w:t>
            </w:r>
          </w:p>
        </w:tc>
        <w:tc>
          <w:tcPr>
            <w:tcW w:type="dxa" w:w="3120"/>
          </w:tcPr>
          <w:p>
            <w:r>
              <w:t>SOW §3.1</w:t>
            </w:r>
          </w:p>
        </w:tc>
        <w:tc>
          <w:tcPr>
            <w:tcW w:type="dxa" w:w="3120"/>
          </w:tcPr>
          <w:p>
            <w:r>
              <w:t>Section 2.1.1 — p. [auto]</w:t>
            </w:r>
          </w:p>
        </w:tc>
      </w:tr>
      <w:tr>
        <w:tc>
          <w:tcPr>
            <w:tcW w:type="dxa" w:w="3120"/>
          </w:tcPr>
          <w:p>
            <w:r>
              <w:t>Task 11: Transition-Out (Optional)</w:t>
            </w:r>
          </w:p>
        </w:tc>
        <w:tc>
          <w:tcPr>
            <w:tcW w:type="dxa" w:w="3120"/>
          </w:tcPr>
          <w:p>
            <w:r>
              <w:t>SOW §3.11</w:t>
            </w:r>
          </w:p>
        </w:tc>
        <w:tc>
          <w:tcPr>
            <w:tcW w:type="dxa" w:w="3120"/>
          </w:tcPr>
          <w:p>
            <w:r>
              <w:t>Section 2.1.2 — p. [auto]</w:t>
            </w:r>
          </w:p>
        </w:tc>
      </w:tr>
      <w:tr>
        <w:tc>
          <w:tcPr>
            <w:tcW w:type="dxa" w:w="3120"/>
          </w:tcPr>
          <w:p>
            <w:r>
              <w:t>Task 12: Transition-In (Optional)</w:t>
            </w:r>
          </w:p>
        </w:tc>
        <w:tc>
          <w:tcPr>
            <w:tcW w:type="dxa" w:w="3120"/>
          </w:tcPr>
          <w:p>
            <w:r>
              <w:t>SOW §3.12</w:t>
            </w:r>
          </w:p>
        </w:tc>
        <w:tc>
          <w:tcPr>
            <w:tcW w:type="dxa" w:w="3120"/>
          </w:tcPr>
          <w:p>
            <w:r>
              <w:t>Section 2.1.3 — p. [auto]</w:t>
            </w:r>
          </w:p>
        </w:tc>
      </w:tr>
      <w:tr>
        <w:tc>
          <w:tcPr>
            <w:tcW w:type="dxa" w:w="3120"/>
          </w:tcPr>
          <w:p>
            <w:r>
              <w:t>Sub-Factor 2B: Quality Assurance Approach (KPIs, AQLs, SLAs, QASP)</w:t>
            </w:r>
          </w:p>
        </w:tc>
        <w:tc>
          <w:tcPr>
            <w:tcW w:type="dxa" w:w="3120"/>
          </w:tcPr>
          <w:p>
            <w:r>
              <w:t>Att. 2 §2B</w:t>
            </w:r>
          </w:p>
        </w:tc>
        <w:tc>
          <w:tcPr>
            <w:tcW w:type="dxa" w:w="3120"/>
          </w:tcPr>
          <w:p>
            <w:r>
              <w:t>Section 2.2 (Sub-Section 2B) — p. [auto]</w:t>
            </w:r>
          </w:p>
        </w:tc>
      </w:tr>
      <w:tr>
        <w:tc>
          <w:tcPr>
            <w:tcW w:type="dxa" w:w="3120"/>
          </w:tcPr>
          <w:p>
            <w:r>
              <w:t>Sub-Factor 2C: Staffing Plan (Workforce, Surge, Subcontractor Integration)</w:t>
            </w:r>
          </w:p>
        </w:tc>
        <w:tc>
          <w:tcPr>
            <w:tcW w:type="dxa" w:w="3120"/>
          </w:tcPr>
          <w:p>
            <w:r>
              <w:t>Att. 2 §2C</w:t>
            </w:r>
          </w:p>
        </w:tc>
        <w:tc>
          <w:tcPr>
            <w:tcW w:type="dxa" w:w="3120"/>
          </w:tcPr>
          <w:p>
            <w:r>
              <w:t>Section 2.3 (Sub-Section 2C) — p. [auto]</w:t>
            </w:r>
          </w:p>
        </w:tc>
      </w:tr>
      <w:tr>
        <w:tc>
          <w:tcPr>
            <w:tcW w:type="dxa" w:w="3120"/>
          </w:tcPr>
          <w:p>
            <w:r>
              <w:t>Att. 2 Factor 3: Key Personnel Qualifications and Corporate Experience</w:t>
            </w:r>
          </w:p>
        </w:tc>
        <w:tc>
          <w:tcPr>
            <w:tcW w:type="dxa" w:w="3120"/>
          </w:tcPr>
          <w:p>
            <w:r>
              <w:t>Att. 2 §Volume I Section 3</w:t>
            </w:r>
          </w:p>
        </w:tc>
        <w:tc>
          <w:tcPr>
            <w:tcW w:type="dxa" w:w="3120"/>
          </w:tcPr>
          <w:p>
            <w:r/>
          </w:p>
        </w:tc>
      </w:tr>
      <w:tr>
        <w:tc>
          <w:tcPr>
            <w:tcW w:type="dxa" w:w="3120"/>
          </w:tcPr>
          <w:p>
            <w:r>
              <w:t>Sub-Factor 3A: Key Personnel Qualifications</w:t>
            </w:r>
          </w:p>
        </w:tc>
        <w:tc>
          <w:tcPr>
            <w:tcW w:type="dxa" w:w="3120"/>
          </w:tcPr>
          <w:p>
            <w:r>
              <w:t>Att. 2 §3A</w:t>
            </w:r>
          </w:p>
        </w:tc>
        <w:tc>
          <w:tcPr>
            <w:tcW w:type="dxa" w:w="3120"/>
          </w:tcPr>
          <w:p>
            <w:r>
              <w:t>Section 3.1 (Sub-Section 3A) — p. [auto]</w:t>
            </w:r>
          </w:p>
        </w:tc>
      </w:tr>
      <w:tr>
        <w:tc>
          <w:tcPr>
            <w:tcW w:type="dxa" w:w="3120"/>
          </w:tcPr>
          <w:p>
            <w:r>
              <w:t>Project Director (8 yrs systems exp.; 5 yrs each: enrollment recon, sensitive contracts, federal healthcare data, call center)</w:t>
            </w:r>
          </w:p>
        </w:tc>
        <w:tc>
          <w:tcPr>
            <w:tcW w:type="dxa" w:w="3120"/>
          </w:tcPr>
          <w:p>
            <w:r>
              <w:t>Att. 2 §3A</w:t>
            </w:r>
          </w:p>
        </w:tc>
        <w:tc>
          <w:tcPr>
            <w:tcW w:type="dxa" w:w="3120"/>
          </w:tcPr>
          <w:p>
            <w:r>
              <w:t>Section 3.1, Table 3.1-1 + Appendix A.1 — p. [auto]</w:t>
            </w:r>
          </w:p>
        </w:tc>
      </w:tr>
      <w:tr>
        <w:tc>
          <w:tcPr>
            <w:tcW w:type="dxa" w:w="3120"/>
          </w:tcPr>
          <w:p>
            <w:r>
              <w:t>Project Manager (ER&amp;R) — 5 yrs exp., PMP</w:t>
            </w:r>
          </w:p>
        </w:tc>
        <w:tc>
          <w:tcPr>
            <w:tcW w:type="dxa" w:w="3120"/>
          </w:tcPr>
          <w:p>
            <w:r>
              <w:t>Att. 2 §3A</w:t>
            </w:r>
          </w:p>
        </w:tc>
        <w:tc>
          <w:tcPr>
            <w:tcW w:type="dxa" w:w="3120"/>
          </w:tcPr>
          <w:p>
            <w:r>
              <w:t>Section 3.1, Table 3.1-1 + Appendix A.2 — p. [auto]</w:t>
            </w:r>
          </w:p>
        </w:tc>
      </w:tr>
      <w:tr>
        <w:tc>
          <w:tcPr>
            <w:tcW w:type="dxa" w:w="3120"/>
          </w:tcPr>
          <w:p>
            <w:r>
              <w:t>Project Manager (Form 1095-A &amp; CCHC) — 5/5/5/3 yrs, PMP</w:t>
            </w:r>
          </w:p>
        </w:tc>
        <w:tc>
          <w:tcPr>
            <w:tcW w:type="dxa" w:w="3120"/>
          </w:tcPr>
          <w:p>
            <w:r>
              <w:t>Att. 2 §3A</w:t>
            </w:r>
          </w:p>
        </w:tc>
        <w:tc>
          <w:tcPr>
            <w:tcW w:type="dxa" w:w="3120"/>
          </w:tcPr>
          <w:p>
            <w:r>
              <w:t>Section 3.1, Table 3.1-1 + Appendix A.3 — p. [auto]</w:t>
            </w:r>
          </w:p>
        </w:tc>
      </w:tr>
      <w:tr>
        <w:tc>
          <w:tcPr>
            <w:tcW w:type="dxa" w:w="3120"/>
          </w:tcPr>
          <w:p>
            <w:r>
              <w:t>Project Manager (IT Data and Technical Support) — 8/5/5 yrs</w:t>
            </w:r>
          </w:p>
        </w:tc>
        <w:tc>
          <w:tcPr>
            <w:tcW w:type="dxa" w:w="3120"/>
          </w:tcPr>
          <w:p>
            <w:r>
              <w:t>Att. 2 §3A</w:t>
            </w:r>
          </w:p>
        </w:tc>
        <w:tc>
          <w:tcPr>
            <w:tcW w:type="dxa" w:w="3120"/>
          </w:tcPr>
          <w:p>
            <w:r>
              <w:t>Section 3.1, Table 3.1-1 + Appendix A.4 — p. [auto]</w:t>
            </w:r>
          </w:p>
        </w:tc>
      </w:tr>
      <w:tr>
        <w:tc>
          <w:tcPr>
            <w:tcW w:type="dxa" w:w="3120"/>
          </w:tcPr>
          <w:p>
            <w:r>
              <w:t>Technical Director — 8 yrs software, 5 yrs CMS Marketplace systems</w:t>
            </w:r>
          </w:p>
        </w:tc>
        <w:tc>
          <w:tcPr>
            <w:tcW w:type="dxa" w:w="3120"/>
          </w:tcPr>
          <w:p>
            <w:r>
              <w:t>Att. 2 §3A</w:t>
            </w:r>
          </w:p>
        </w:tc>
        <w:tc>
          <w:tcPr>
            <w:tcW w:type="dxa" w:w="3120"/>
          </w:tcPr>
          <w:p>
            <w:r>
              <w:t>Section 3.1, Table 3.1-1 + Appendix A.5 — p. [auto]</w:t>
            </w:r>
          </w:p>
        </w:tc>
      </w:tr>
      <w:tr>
        <w:tc>
          <w:tcPr>
            <w:tcW w:type="dxa" w:w="3120"/>
          </w:tcPr>
          <w:p>
            <w:r>
              <w:t>Security and Privacy Officer — 5 yrs CMS Info Sec, CISSP</w:t>
            </w:r>
          </w:p>
        </w:tc>
        <w:tc>
          <w:tcPr>
            <w:tcW w:type="dxa" w:w="3120"/>
          </w:tcPr>
          <w:p>
            <w:r>
              <w:t>Att. 2 §3A</w:t>
            </w:r>
          </w:p>
        </w:tc>
        <w:tc>
          <w:tcPr>
            <w:tcW w:type="dxa" w:w="3120"/>
          </w:tcPr>
          <w:p>
            <w:r>
              <w:t>Section 3.1, Table 3.1-1 + Appendix A.6 — p. [auto]</w:t>
            </w:r>
          </w:p>
        </w:tc>
      </w:tr>
      <w:tr>
        <w:tc>
          <w:tcPr>
            <w:tcW w:type="dxa" w:w="3120"/>
          </w:tcPr>
          <w:p>
            <w:r>
              <w:t>Sub-Factor 3B: Corporate Experience</w:t>
            </w:r>
          </w:p>
        </w:tc>
        <w:tc>
          <w:tcPr>
            <w:tcW w:type="dxa" w:w="3120"/>
          </w:tcPr>
          <w:p>
            <w:r>
              <w:t>Att. 2 §3B</w:t>
            </w:r>
          </w:p>
        </w:tc>
        <w:tc>
          <w:tcPr>
            <w:tcW w:type="dxa" w:w="3120"/>
          </w:tcPr>
          <w:p>
            <w:r>
              <w:t>Section 3.2 (Sub-Section 3B), Table 3.2-1 — p. [auto]</w:t>
            </w:r>
          </w:p>
        </w:tc>
      </w:tr>
      <w:tr>
        <w:tc>
          <w:tcPr>
            <w:tcW w:type="dxa" w:w="3120"/>
          </w:tcPr>
          <w:p>
            <w:r>
              <w:t>Att. 2 Factor 4: Utilization of Small Business (Evaluated, Not Rated; 5 page limit; not counted toward 40-page Vol I)</w:t>
            </w:r>
          </w:p>
        </w:tc>
        <w:tc>
          <w:tcPr>
            <w:tcW w:type="dxa" w:w="3120"/>
          </w:tcPr>
          <w:p>
            <w:r>
              <w:t>Att. 2 §Volume I Section 4</w:t>
            </w:r>
          </w:p>
        </w:tc>
        <w:tc>
          <w:tcPr>
            <w:tcW w:type="dxa" w:w="3120"/>
          </w:tcPr>
          <w:p>
            <w:r>
              <w:t>Section 4 — p. [auto]</w:t>
            </w:r>
          </w:p>
        </w:tc>
      </w:tr>
      <w:tr>
        <w:tc>
          <w:tcPr>
            <w:tcW w:type="dxa" w:w="3120"/>
          </w:tcPr>
          <w:p>
            <w:r>
              <w:t>15% Small Business Subcontracting Goal Plan + Subcontractor Table</w:t>
            </w:r>
          </w:p>
        </w:tc>
        <w:tc>
          <w:tcPr>
            <w:tcW w:type="dxa" w:w="3120"/>
          </w:tcPr>
          <w:p>
            <w:r>
              <w:t>Att. 2 §Section 4</w:t>
            </w:r>
          </w:p>
        </w:tc>
        <w:tc>
          <w:tcPr>
            <w:tcW w:type="dxa" w:w="3120"/>
          </w:tcPr>
          <w:p>
            <w:r>
              <w:t>Sections 4.1 / 4.2 / Table 4.2-1 — p. [auto]</w:t>
            </w:r>
          </w:p>
        </w:tc>
      </w:tr>
      <w:tr>
        <w:tc>
          <w:tcPr>
            <w:tcW w:type="dxa" w:w="3120"/>
          </w:tcPr>
          <w:p>
            <w:r>
              <w:t>Letters of Commitment / Draft Subcontracting Agreements / Teaming Arrangements</w:t>
            </w:r>
          </w:p>
        </w:tc>
        <w:tc>
          <w:tcPr>
            <w:tcW w:type="dxa" w:w="3120"/>
          </w:tcPr>
          <w:p>
            <w:r>
              <w:t>Att. 2 §Section 4</w:t>
            </w:r>
          </w:p>
        </w:tc>
        <w:tc>
          <w:tcPr>
            <w:tcW w:type="dxa" w:w="3120"/>
          </w:tcPr>
          <w:p>
            <w:r>
              <w:t>Section 4.3 (attached separately, not counted)</w:t>
            </w:r>
          </w:p>
        </w:tc>
      </w:tr>
      <w:tr>
        <w:tc>
          <w:tcPr>
            <w:tcW w:type="dxa" w:w="3120"/>
          </w:tcPr>
          <w:p>
            <w:r>
              <w:t>Subcontracting Plan Governance (FAR 19.704, HHSAR 352.219-70, eSRS)</w:t>
            </w:r>
          </w:p>
        </w:tc>
        <w:tc>
          <w:tcPr>
            <w:tcW w:type="dxa" w:w="3120"/>
          </w:tcPr>
          <w:p>
            <w:r>
              <w:t>FAR/HHSAR</w:t>
            </w:r>
          </w:p>
        </w:tc>
        <w:tc>
          <w:tcPr>
            <w:tcW w:type="dxa" w:w="3120"/>
          </w:tcPr>
          <w:p>
            <w:r>
              <w:t>Section 4.4 — p. [auto]</w:t>
            </w:r>
          </w:p>
        </w:tc>
      </w:tr>
      <w:tr>
        <w:tc>
          <w:tcPr>
            <w:tcW w:type="dxa" w:w="3120"/>
          </w:tcPr>
          <w:p>
            <w:r>
              <w:t>Compliance — Cross-Cutting Requirements</w:t>
            </w:r>
          </w:p>
        </w:tc>
        <w:tc>
          <w:tcPr>
            <w:tcW w:type="dxa" w:w="3120"/>
          </w:tcPr>
          <w:p>
            <w:r/>
          </w:p>
        </w:tc>
        <w:tc>
          <w:tcPr>
            <w:tcW w:type="dxa" w:w="3120"/>
          </w:tcPr>
          <w:p>
            <w:r/>
          </w:p>
        </w:tc>
      </w:tr>
      <w:tr>
        <w:tc>
          <w:tcPr>
            <w:tcW w:type="dxa" w:w="3120"/>
          </w:tcPr>
          <w:p>
            <w:r>
              <w:t>Page Limits, 12-pt body, single-spacing, page X of X numbering</w:t>
            </w:r>
          </w:p>
        </w:tc>
        <w:tc>
          <w:tcPr>
            <w:tcW w:type="dxa" w:w="3120"/>
          </w:tcPr>
          <w:p>
            <w:r>
              <w:t>Att. 2 §Formatting / §Page Limits</w:t>
            </w:r>
          </w:p>
        </w:tc>
        <w:tc>
          <w:tcPr>
            <w:tcW w:type="dxa" w:w="3120"/>
          </w:tcPr>
          <w:p>
            <w:r>
              <w:t>All sections (footers) — formatting compliant</w:t>
            </w:r>
          </w:p>
        </w:tc>
      </w:tr>
      <w:tr>
        <w:tc>
          <w:tcPr>
            <w:tcW w:type="dxa" w:w="3120"/>
          </w:tcPr>
          <w:p>
            <w:r>
              <w:t>RFQ Number 75FCMC26Q0068 on every page</w:t>
            </w:r>
          </w:p>
        </w:tc>
        <w:tc>
          <w:tcPr>
            <w:tcW w:type="dxa" w:w="3120"/>
          </w:tcPr>
          <w:p>
            <w:r>
              <w:t>Att. 2 §Indexing</w:t>
            </w:r>
          </w:p>
        </w:tc>
        <w:tc>
          <w:tcPr>
            <w:tcW w:type="dxa" w:w="3120"/>
          </w:tcPr>
          <w:p>
            <w:r>
              <w:t>Cover, headers/footers</w:t>
            </w:r>
          </w:p>
        </w:tc>
      </w:tr>
      <w:tr>
        <w:tc>
          <w:tcPr>
            <w:tcW w:type="dxa" w:w="3120"/>
          </w:tcPr>
          <w:p>
            <w:r>
              <w:t>Conflict of Interest disclosure (CMS COI clause AUG 2024)</w:t>
            </w:r>
          </w:p>
        </w:tc>
        <w:tc>
          <w:tcPr>
            <w:tcW w:type="dxa" w:w="3120"/>
          </w:tcPr>
          <w:p>
            <w:r>
              <w:t>Att. 2 §Volume III; Solicitation Conflict of Interest clause</w:t>
            </w:r>
          </w:p>
        </w:tc>
        <w:tc>
          <w:tcPr>
            <w:tcW w:type="dxa" w:w="3120"/>
          </w:tcPr>
          <w:p>
            <w:r>
              <w:t>Volume III: Conflict of Interest</w:t>
            </w:r>
          </w:p>
        </w:tc>
      </w:tr>
      <w:tr>
        <w:tc>
          <w:tcPr>
            <w:tcW w:type="dxa" w:w="3120"/>
          </w:tcPr>
          <w:p>
            <w:r>
              <w:t>Section 508 Accessibility Compliance (Attachment 4 checklist)</w:t>
            </w:r>
          </w:p>
        </w:tc>
        <w:tc>
          <w:tcPr>
            <w:tcW w:type="dxa" w:w="3120"/>
          </w:tcPr>
          <w:p>
            <w:r>
              <w:t>Att. 2 §Volume IV; Section 508 of the Rehabilitation Act</w:t>
            </w:r>
          </w:p>
        </w:tc>
        <w:tc>
          <w:tcPr>
            <w:tcW w:type="dxa" w:w="3120"/>
          </w:tcPr>
          <w:p>
            <w:r>
              <w:t>Volume IV: Section 508 Compliance</w:t>
            </w:r>
          </w:p>
        </w:tc>
      </w:tr>
      <w:tr>
        <w:tc>
          <w:tcPr>
            <w:tcW w:type="dxa" w:w="3120"/>
          </w:tcPr>
          <w:p>
            <w:r>
              <w:t>FedRAMP / HHS-OCIO Information Security &amp; Privacy</w:t>
            </w:r>
          </w:p>
        </w:tc>
        <w:tc>
          <w:tcPr>
            <w:tcW w:type="dxa" w:w="3120"/>
          </w:tcPr>
          <w:p>
            <w:r>
              <w:t>SOW §6 (Security &amp; Privacy); FedRAMP; HHS IS2P; CMS IS2P2</w:t>
            </w:r>
          </w:p>
        </w:tc>
        <w:tc>
          <w:tcPr>
            <w:tcW w:type="dxa" w:w="3120"/>
          </w:tcPr>
          <w:p>
            <w:r>
              <w:t>Sections 1.2.7, 2.2; Risk Register R3, R9</w:t>
            </w:r>
          </w:p>
        </w:tc>
      </w:tr>
      <w:tr>
        <w:tc>
          <w:tcPr>
            <w:tcW w:type="dxa" w:w="3120"/>
          </w:tcPr>
          <w:p>
            <w:r>
              <w:t>Privacy Act SORN 09-70-0560 Compliance</w:t>
            </w:r>
          </w:p>
        </w:tc>
        <w:tc>
          <w:tcPr>
            <w:tcW w:type="dxa" w:w="3120"/>
          </w:tcPr>
          <w:p>
            <w:r>
              <w:t>SOW §6.2</w:t>
            </w:r>
          </w:p>
        </w:tc>
        <w:tc>
          <w:tcPr>
            <w:tcW w:type="dxa" w:w="3120"/>
          </w:tcPr>
          <w:p>
            <w:r>
              <w:t>Sections 1.2.7, 2.2; Volume III</w:t>
            </w:r>
          </w:p>
        </w:tc>
      </w:tr>
    </w:tbl>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bbetts, William" w:date="2026-04-27T06:59:00Z" w:initials="TW">
    <w:p w14:paraId="1B25A828" w14:textId="0F394A51" w:rsidR="007D7DF3" w:rsidRDefault="007D7DF3">
      <w:pPr>
        <w:pStyle w:val="CommentText"/>
      </w:pPr>
      <w:r>
        <w:rPr>
          <w:rStyle w:val="CommentReference"/>
        </w:rPr>
        <w:annotationRef/>
      </w:r>
      <w:r w:rsidRPr="6F268D8F">
        <w:t>The cover page isn't technically scored, but we can use this space better. Maybe introduce our team and our win themes?</w:t>
      </w:r>
    </w:p>
  </w:comment>
  <w:comment w:id="2" w:author="Tibbetts, William" w:date="2026-04-27T08:08:00Z" w:initials="TW">
    <w:p w14:paraId="7583337B" w14:textId="72635912" w:rsidR="009A07ED" w:rsidRDefault="009A07ED">
      <w:pPr>
        <w:pStyle w:val="CommentText"/>
      </w:pPr>
      <w:r>
        <w:rPr>
          <w:rStyle w:val="CommentReference"/>
        </w:rPr>
        <w:annotationRef/>
      </w:r>
      <w:r w:rsidRPr="688B404D">
        <w:t>overall, there is some good content in here, we should think about re-outlining to make sure we are responsive to the RFP and re-map the content</w:t>
      </w:r>
    </w:p>
  </w:comment>
  <w:comment w:id="3" w:author="Bhatnagar, Abhas" w:date="2026-04-23T22:10:00Z" w:initials="AB">
    <w:p w14:paraId="3F64D291" w14:textId="77777777" w:rsidR="00801E03" w:rsidRDefault="00486D0C" w:rsidP="00801E03">
      <w:pPr>
        <w:pStyle w:val="CommentText"/>
      </w:pPr>
      <w:r>
        <w:rPr>
          <w:rStyle w:val="CommentReference"/>
        </w:rPr>
        <w:annotationRef/>
      </w:r>
      <w:r w:rsidR="00801E03">
        <w:rPr>
          <w:b/>
          <w:bCs/>
        </w:rPr>
        <w:t xml:space="preserve">Attachment 2 - </w:t>
      </w:r>
      <w:r w:rsidR="00801E03">
        <w:rPr>
          <w:b/>
          <w:bCs/>
          <w:color w:val="000000"/>
        </w:rPr>
        <w:t xml:space="preserve">VOLUME I: TECHNICAL QUOTE INSTRUCTIONS </w:t>
      </w:r>
      <w:r w:rsidR="00801E03">
        <w:rPr>
          <w:b/>
          <w:bCs/>
        </w:rPr>
        <w:t>, Pg 3</w:t>
      </w:r>
      <w:r w:rsidR="00801E03">
        <w:br/>
      </w:r>
      <w:r w:rsidR="00801E03">
        <w:br/>
      </w:r>
      <w:r w:rsidR="00801E03">
        <w:rPr>
          <w:color w:val="000000"/>
        </w:rPr>
        <w:t xml:space="preserve">The written technical quote </w:t>
      </w:r>
      <w:r w:rsidR="00801E03">
        <w:rPr>
          <w:b/>
          <w:bCs/>
          <w:color w:val="000000"/>
        </w:rPr>
        <w:t>shall</w:t>
      </w:r>
      <w:r w:rsidR="00801E03">
        <w:rPr>
          <w:color w:val="000000"/>
        </w:rPr>
        <w:t xml:space="preserve"> describe the Offeror’s approach to meeting the requirements of the Statement of Work (SOW). </w:t>
      </w:r>
      <w:r w:rsidR="00801E03">
        <w:rPr>
          <w:color w:val="323232"/>
        </w:rPr>
        <w:t xml:space="preserve">The contractor </w:t>
      </w:r>
      <w:r w:rsidR="00801E03">
        <w:rPr>
          <w:b/>
          <w:bCs/>
          <w:color w:val="323232"/>
        </w:rPr>
        <w:t>shall</w:t>
      </w:r>
      <w:r w:rsidR="00801E03">
        <w:rPr>
          <w:color w:val="323232"/>
        </w:rPr>
        <w:t xml:space="preserve"> provide a clear and concise presentation of the proposed technical approach. The presentation </w:t>
      </w:r>
      <w:r w:rsidR="00801E03">
        <w:rPr>
          <w:b/>
          <w:bCs/>
          <w:color w:val="323232"/>
        </w:rPr>
        <w:t>shall</w:t>
      </w:r>
      <w:r w:rsidR="00801E03">
        <w:rPr>
          <w:color w:val="323232"/>
        </w:rPr>
        <w:t xml:space="preserve"> be complete and cover all aspects of the scope of work. The contractor </w:t>
      </w:r>
      <w:r w:rsidR="00801E03">
        <w:rPr>
          <w:b/>
          <w:bCs/>
          <w:color w:val="323232"/>
        </w:rPr>
        <w:t>shall</w:t>
      </w:r>
      <w:r w:rsidR="00801E03">
        <w:rPr>
          <w:color w:val="323232"/>
        </w:rPr>
        <w:t xml:space="preserve"> provide sufficient detail in the quote to demonstrate technical understanding and capabilities of performing the requirements of the SOW. A contractor’s response that simply repeats the requirements or states </w:t>
      </w:r>
      <w:r w:rsidR="00801E03">
        <w:rPr>
          <w:b/>
          <w:bCs/>
          <w:color w:val="323232"/>
        </w:rPr>
        <w:t>“we will conform to the requirements as stated” or language to that effect, is not acceptable</w:t>
      </w:r>
      <w:r w:rsidR="00801E03">
        <w:rPr>
          <w:color w:val="323232"/>
        </w:rPr>
        <w:t xml:space="preserve"> and will be considered non-responsive. </w:t>
      </w:r>
      <w:r w:rsidR="00801E03">
        <w:rPr>
          <w:color w:val="323232"/>
        </w:rPr>
        <w:br/>
      </w:r>
      <w:r w:rsidR="00801E03">
        <w:rPr>
          <w:color w:val="323232"/>
        </w:rPr>
        <w:br/>
      </w:r>
      <w:r w:rsidR="00801E03">
        <w:rPr>
          <w:b/>
          <w:bCs/>
          <w:color w:val="000000"/>
        </w:rPr>
        <w:t>Attachment 2 - VOLUME I: Technical Quote Evaluation, Pg 20</w:t>
      </w:r>
    </w:p>
    <w:p w14:paraId="19EEDEBE" w14:textId="77777777" w:rsidR="00801E03" w:rsidRDefault="00801E03" w:rsidP="00801E03">
      <w:pPr>
        <w:pStyle w:val="CommentText"/>
      </w:pPr>
    </w:p>
    <w:p w14:paraId="7BE3DF3C" w14:textId="77777777" w:rsidR="00801E03" w:rsidRDefault="00801E03" w:rsidP="00801E03">
      <w:pPr>
        <w:pStyle w:val="CommentText"/>
      </w:pPr>
      <w:r>
        <w:rPr>
          <w:color w:val="000000"/>
        </w:rPr>
        <w:t xml:space="preserve">For Technical Evaluation Factors 1 through 4 (see table below) the Offeror’s technical quote </w:t>
      </w:r>
      <w:r>
        <w:rPr>
          <w:b/>
          <w:bCs/>
          <w:color w:val="000000"/>
        </w:rPr>
        <w:t>will</w:t>
      </w:r>
      <w:r>
        <w:rPr>
          <w:color w:val="000000"/>
        </w:rPr>
        <w:t xml:space="preserve"> be evaluated for the level of confidence it provides CMS in the Offeror’s </w:t>
      </w:r>
      <w:r>
        <w:rPr>
          <w:b/>
          <w:bCs/>
          <w:color w:val="000000"/>
        </w:rPr>
        <w:t>ability to successfully perform the requirements</w:t>
      </w:r>
      <w:r>
        <w:rPr>
          <w:color w:val="000000"/>
        </w:rPr>
        <w:t xml:space="preserve"> in the SOW. </w:t>
      </w:r>
    </w:p>
    <w:p w14:paraId="6FF7F42F" w14:textId="77777777" w:rsidR="00801E03" w:rsidRDefault="00801E03" w:rsidP="00801E03">
      <w:pPr>
        <w:pStyle w:val="CommentText"/>
      </w:pPr>
      <w:r>
        <w:rPr>
          <w:color w:val="000000"/>
        </w:rPr>
        <w:t xml:space="preserve">The non-price evaluation factors (Technical Evaluation Factors) are listed below and are </w:t>
      </w:r>
      <w:r>
        <w:rPr>
          <w:b/>
          <w:bCs/>
          <w:color w:val="000000"/>
        </w:rPr>
        <w:t xml:space="preserve">in the descending order of importance. </w:t>
      </w:r>
      <w:r>
        <w:rPr>
          <w:b/>
          <w:bCs/>
          <w:color w:val="000000"/>
        </w:rPr>
        <w:br/>
      </w:r>
      <w:r>
        <w:rPr>
          <w:b/>
          <w:bCs/>
          <w:color w:val="000000"/>
        </w:rPr>
        <w:br/>
      </w:r>
    </w:p>
    <w:p w14:paraId="165FA4CA" w14:textId="77777777" w:rsidR="00801E03" w:rsidRDefault="00801E03" w:rsidP="00801E03">
      <w:pPr>
        <w:pStyle w:val="CommentText"/>
      </w:pPr>
      <w:r>
        <w:rPr>
          <w:color w:val="000000"/>
        </w:rPr>
        <w:t xml:space="preserve">Evaluation Factor 1: Technical Understanding and Approach </w:t>
      </w:r>
    </w:p>
    <w:p w14:paraId="6E419AA5" w14:textId="77777777" w:rsidR="00801E03" w:rsidRDefault="00801E03" w:rsidP="00801E03">
      <w:pPr>
        <w:pStyle w:val="CommentText"/>
      </w:pPr>
      <w:r>
        <w:rPr>
          <w:color w:val="000000"/>
        </w:rPr>
        <w:t xml:space="preserve">Evaluation Factor 2: Management Approach, Quality Assurance and Staffing Plan </w:t>
      </w:r>
    </w:p>
    <w:p w14:paraId="65D68DCC" w14:textId="77777777" w:rsidR="00801E03" w:rsidRDefault="00801E03" w:rsidP="00801E03">
      <w:pPr>
        <w:pStyle w:val="CommentText"/>
      </w:pPr>
      <w:r>
        <w:rPr>
          <w:color w:val="000000"/>
        </w:rPr>
        <w:t xml:space="preserve">Evaluation Factor 3: Key Personnel Qualifications and Corporate Experience </w:t>
      </w:r>
    </w:p>
    <w:p w14:paraId="730AADA3" w14:textId="77777777" w:rsidR="00801E03" w:rsidRDefault="00801E03" w:rsidP="00801E03">
      <w:pPr>
        <w:pStyle w:val="CommentText"/>
      </w:pPr>
      <w:r>
        <w:rPr>
          <w:color w:val="000000"/>
        </w:rPr>
        <w:t>Evaluation Factor 4: Utilization of Small Business (Evaluated, but not rated)</w:t>
      </w:r>
    </w:p>
    <w:p w14:paraId="7BB440F2" w14:textId="77777777" w:rsidR="00801E03" w:rsidRDefault="00801E03" w:rsidP="00801E03">
      <w:pPr>
        <w:pStyle w:val="CommentText"/>
      </w:pPr>
    </w:p>
    <w:p w14:paraId="4D2C7222" w14:textId="77777777" w:rsidR="00801E03" w:rsidRDefault="00801E03" w:rsidP="00801E03">
      <w:pPr>
        <w:pStyle w:val="CommentText"/>
      </w:pPr>
      <w:r>
        <w:rPr>
          <w:b/>
          <w:bCs/>
        </w:rPr>
        <w:t xml:space="preserve">Attachment 2 - </w:t>
      </w:r>
      <w:r>
        <w:rPr>
          <w:b/>
          <w:bCs/>
          <w:color w:val="000000"/>
        </w:rPr>
        <w:t xml:space="preserve">VOLUME I, Section 1: Technical Understanding and Approach, Pg 4 </w:t>
      </w:r>
    </w:p>
    <w:p w14:paraId="3D2363AF" w14:textId="77777777" w:rsidR="00801E03" w:rsidRDefault="00801E03" w:rsidP="00801E03">
      <w:pPr>
        <w:pStyle w:val="CommentText"/>
      </w:pPr>
      <w:r>
        <w:rPr>
          <w:color w:val="000000"/>
        </w:rPr>
        <w:t xml:space="preserve">This section of the written technical quote </w:t>
      </w:r>
      <w:r>
        <w:rPr>
          <w:b/>
          <w:bCs/>
          <w:color w:val="000000"/>
        </w:rPr>
        <w:t>shall</w:t>
      </w:r>
      <w:r>
        <w:rPr>
          <w:color w:val="000000"/>
        </w:rPr>
        <w:t xml:space="preserve"> demonstrate the Offeror’s understanding of the SOW’s requirements, as well as the </w:t>
      </w:r>
      <w:r>
        <w:rPr>
          <w:b/>
          <w:bCs/>
          <w:color w:val="000000"/>
        </w:rPr>
        <w:t>soundness</w:t>
      </w:r>
      <w:r>
        <w:rPr>
          <w:color w:val="000000"/>
        </w:rPr>
        <w:t xml:space="preserve"> and </w:t>
      </w:r>
      <w:r>
        <w:rPr>
          <w:b/>
          <w:bCs/>
          <w:color w:val="000000"/>
        </w:rPr>
        <w:t>feasibility</w:t>
      </w:r>
      <w:r>
        <w:rPr>
          <w:color w:val="000000"/>
        </w:rPr>
        <w:t xml:space="preserve"> of delivering the proposed product(s) and/or service(s) within the operational constraints of the CMS environment. </w:t>
      </w:r>
    </w:p>
    <w:p w14:paraId="11B4088B" w14:textId="77777777" w:rsidR="00801E03" w:rsidRDefault="00801E03" w:rsidP="00801E03">
      <w:pPr>
        <w:pStyle w:val="CommentText"/>
      </w:pPr>
    </w:p>
    <w:p w14:paraId="42B8796A" w14:textId="77777777" w:rsidR="00801E03" w:rsidRDefault="00801E03" w:rsidP="00801E03">
      <w:pPr>
        <w:pStyle w:val="CommentText"/>
      </w:pPr>
      <w:r>
        <w:rPr>
          <w:b/>
          <w:bCs/>
          <w:color w:val="000000"/>
        </w:rPr>
        <w:t xml:space="preserve">Attachment 2 - VOLUME I: Technical Evaluation Factor 1 - Technical Understanding and Approach, Pg 21 </w:t>
      </w:r>
    </w:p>
    <w:p w14:paraId="3A16A4D6" w14:textId="77777777" w:rsidR="00801E03" w:rsidRDefault="00801E03" w:rsidP="00801E03">
      <w:pPr>
        <w:pStyle w:val="CommentText"/>
      </w:pPr>
      <w:r>
        <w:rPr>
          <w:color w:val="000000"/>
        </w:rPr>
        <w:t xml:space="preserve">The Government </w:t>
      </w:r>
      <w:r>
        <w:rPr>
          <w:b/>
          <w:bCs/>
          <w:color w:val="000000"/>
        </w:rPr>
        <w:t>will</w:t>
      </w:r>
      <w:r>
        <w:rPr>
          <w:color w:val="000000"/>
        </w:rPr>
        <w:t xml:space="preserve"> evaluate the Offeror’s understanding of the requirements and proposed technical approach relative to the Offeror’s technical ability to perform the requirements set forth in the SOW. Technical Approach </w:t>
      </w:r>
      <w:r>
        <w:rPr>
          <w:b/>
          <w:bCs/>
          <w:color w:val="000000"/>
        </w:rPr>
        <w:t>will</w:t>
      </w:r>
      <w:r>
        <w:rPr>
          <w:color w:val="000000"/>
        </w:rPr>
        <w:t xml:space="preserve"> be evaluated to determine the extent to which the Offeror demonstrates a comprehensive, sound, efficient, and reasonable approach to performing all contract requirements and tasks (except for Task 1: Program Implementation and Oversight, Task 11: Transition-Out (Optional) and Task 12: Transition-In (Optional). The Government will evaluate proposed methods, processes, and tools to assess the feasibility, completeness, and effectiveness of the proposed approach. The evaluation </w:t>
      </w:r>
      <w:r>
        <w:rPr>
          <w:b/>
          <w:bCs/>
          <w:color w:val="000000"/>
        </w:rPr>
        <w:t>will</w:t>
      </w:r>
      <w:r>
        <w:rPr>
          <w:color w:val="000000"/>
        </w:rPr>
        <w:t xml:space="preserve"> focus on the following elements: </w:t>
      </w:r>
    </w:p>
    <w:p w14:paraId="11BE6A9B" w14:textId="77777777" w:rsidR="00801E03" w:rsidRDefault="00801E03" w:rsidP="00801E03">
      <w:pPr>
        <w:pStyle w:val="CommentText"/>
      </w:pPr>
      <w:r>
        <w:rPr>
          <w:color w:val="000000"/>
        </w:rPr>
        <w:t xml:space="preserve">1. Sub-Factor 1A: Understanding of CMS’ Program and Acquisition Objectives </w:t>
      </w:r>
    </w:p>
    <w:p w14:paraId="510C6D03" w14:textId="77777777" w:rsidR="00801E03" w:rsidRDefault="00801E03" w:rsidP="00801E03">
      <w:pPr>
        <w:pStyle w:val="CommentText"/>
      </w:pPr>
      <w:r>
        <w:rPr>
          <w:color w:val="000000"/>
        </w:rPr>
        <w:t xml:space="preserve">2. Sub-Factor 1B: Approach to Performing Requirements Identified in the SOW </w:t>
      </w:r>
    </w:p>
    <w:p w14:paraId="467C6C46" w14:textId="77777777" w:rsidR="00801E03" w:rsidRDefault="00801E03" w:rsidP="00801E03">
      <w:pPr>
        <w:pStyle w:val="CommentText"/>
      </w:pPr>
      <w:r>
        <w:rPr>
          <w:color w:val="000000"/>
        </w:rPr>
        <w:t xml:space="preserve">3. Sub-Factor 1C: Understanding and Mitigation of Risks </w:t>
      </w:r>
    </w:p>
  </w:comment>
  <w:comment w:id="4" w:author="Bowman, Kelly" w:date="2026-04-27T08:03:00Z" w:initials="KB">
    <w:p w14:paraId="112FAD1D" w14:textId="77777777" w:rsidR="00577FD6" w:rsidRDefault="00577FD6" w:rsidP="00577FD6">
      <w:pPr>
        <w:pStyle w:val="CommentText"/>
      </w:pPr>
      <w:r>
        <w:rPr>
          <w:rStyle w:val="CommentReference"/>
        </w:rPr>
        <w:annotationRef/>
      </w:r>
      <w:r>
        <w:t xml:space="preserve">Isn’t sections 1, 2, and 3 combined 40 pages? </w:t>
      </w:r>
    </w:p>
  </w:comment>
  <w:comment w:id="5" w:author="Bowman, Kelly" w:date="2026-04-27T07:58:00Z" w:initials="KB">
    <w:p w14:paraId="0690FA56" w14:textId="77777777" w:rsidR="00AC5460" w:rsidRDefault="00AC5460" w:rsidP="00AC5460">
      <w:pPr>
        <w:pStyle w:val="CommentText"/>
      </w:pPr>
      <w:r>
        <w:rPr>
          <w:rStyle w:val="CommentReference"/>
        </w:rPr>
        <w:annotationRef/>
      </w:r>
      <w:r>
        <w:rPr>
          <w:b/>
          <w:bCs/>
          <w:color w:val="000000"/>
        </w:rPr>
        <w:t>EVAL CRITERIA BOILED DOWN:</w:t>
      </w:r>
    </w:p>
    <w:p w14:paraId="02E059A9" w14:textId="77777777" w:rsidR="00AC5460" w:rsidRDefault="00AC5460" w:rsidP="00AC5460">
      <w:pPr>
        <w:pStyle w:val="CommentText"/>
      </w:pPr>
      <w:r>
        <w:rPr>
          <w:b/>
          <w:bCs/>
          <w:color w:val="000000"/>
        </w:rPr>
        <w:t>“</w:t>
      </w:r>
      <w:r>
        <w:rPr>
          <w:color w:val="000000"/>
        </w:rPr>
        <w:t xml:space="preserve">comprehensive, sound, efficient, and reasonable approach” </w:t>
      </w:r>
    </w:p>
    <w:p w14:paraId="7C91B162" w14:textId="77777777" w:rsidR="00AC5460" w:rsidRDefault="00AC5460" w:rsidP="00AC5460">
      <w:pPr>
        <w:pStyle w:val="CommentText"/>
      </w:pPr>
      <w:r>
        <w:rPr>
          <w:color w:val="000000"/>
        </w:rPr>
        <w:t xml:space="preserve">“feasibility, completeness, and effectiveness” of “methods, processes, and tools” </w:t>
      </w:r>
    </w:p>
  </w:comment>
  <w:comment w:id="7" w:author="Jain, Rajat" w:date="2026-04-23T22:24:00Z" w:initials="RJ">
    <w:p w14:paraId="04051B1A" w14:textId="77777777" w:rsidR="005A229D" w:rsidRDefault="005A229D" w:rsidP="005A229D">
      <w:pPr>
        <w:pStyle w:val="CommentText"/>
      </w:pPr>
      <w:r>
        <w:rPr>
          <w:rStyle w:val="CommentReference"/>
        </w:rPr>
        <w:annotationRef/>
      </w:r>
      <w:r>
        <w:rPr>
          <w:b/>
          <w:bCs/>
        </w:rPr>
        <w:t xml:space="preserve">Attachment 2 - </w:t>
      </w:r>
      <w:r>
        <w:rPr>
          <w:b/>
          <w:bCs/>
          <w:color w:val="000000"/>
        </w:rPr>
        <w:t xml:space="preserve">VOLUME I: Sub-Section 1A: Understanding of CMS’ Program and Acquisition Objectives </w:t>
      </w:r>
      <w:r>
        <w:rPr>
          <w:b/>
          <w:bCs/>
        </w:rPr>
        <w:t>, Pg 4</w:t>
      </w:r>
    </w:p>
    <w:p w14:paraId="52ED7868" w14:textId="77777777" w:rsidR="005A229D" w:rsidRDefault="005A229D" w:rsidP="005A229D">
      <w:pPr>
        <w:pStyle w:val="CommentText"/>
      </w:pPr>
    </w:p>
    <w:p w14:paraId="7B30FDF4" w14:textId="77777777" w:rsidR="005A229D" w:rsidRDefault="005A229D" w:rsidP="005A229D">
      <w:pPr>
        <w:pStyle w:val="CommentText"/>
      </w:pPr>
      <w:r>
        <w:rPr>
          <w:color w:val="000000"/>
        </w:rPr>
        <w:t xml:space="preserve">Offerors </w:t>
      </w:r>
      <w:r>
        <w:rPr>
          <w:b/>
          <w:bCs/>
          <w:color w:val="000000"/>
        </w:rPr>
        <w:t xml:space="preserve">shall </w:t>
      </w:r>
      <w:r>
        <w:rPr>
          <w:color w:val="000000"/>
        </w:rPr>
        <w:t xml:space="preserve">provide a narrative showing understanding of the background, vision, task order objectives, and desired program and task order outcomes for the Enrollment Resolution &amp; Reconciliation, Form 1095-A Data Reporting (ER&amp;R). </w:t>
      </w:r>
    </w:p>
    <w:p w14:paraId="218B611E" w14:textId="77777777" w:rsidR="005A229D" w:rsidRDefault="005A229D" w:rsidP="005A229D">
      <w:pPr>
        <w:pStyle w:val="CommentText"/>
      </w:pPr>
    </w:p>
    <w:p w14:paraId="7B198FE4" w14:textId="77777777" w:rsidR="005A229D" w:rsidRDefault="005A229D" w:rsidP="005A229D">
      <w:pPr>
        <w:pStyle w:val="CommentText"/>
      </w:pPr>
      <w:r>
        <w:rPr>
          <w:b/>
          <w:bCs/>
          <w:color w:val="000000"/>
        </w:rPr>
        <w:t>Attachment 2 - VOLUME I:Technical Evaluation Factor 1, Pg 21</w:t>
      </w:r>
    </w:p>
    <w:p w14:paraId="1EB20F6C" w14:textId="77777777" w:rsidR="005A229D" w:rsidRDefault="005A229D" w:rsidP="005A229D">
      <w:pPr>
        <w:pStyle w:val="CommentText"/>
      </w:pPr>
    </w:p>
    <w:p w14:paraId="300663CC" w14:textId="77777777" w:rsidR="005A229D" w:rsidRDefault="005A229D" w:rsidP="005A229D">
      <w:pPr>
        <w:pStyle w:val="CommentText"/>
      </w:pPr>
      <w:r>
        <w:rPr>
          <w:color w:val="000000"/>
        </w:rPr>
        <w:t xml:space="preserve">The evaluation </w:t>
      </w:r>
      <w:r>
        <w:rPr>
          <w:b/>
          <w:bCs/>
          <w:color w:val="000000"/>
        </w:rPr>
        <w:t>will</w:t>
      </w:r>
      <w:r>
        <w:rPr>
          <w:color w:val="000000"/>
        </w:rPr>
        <w:t xml:space="preserve"> focus on the following elements: Understanding of CMS’ Program and Acquisition Objectives </w:t>
      </w:r>
    </w:p>
    <w:p w14:paraId="002F607B" w14:textId="77777777" w:rsidR="005A229D" w:rsidRDefault="005A229D" w:rsidP="005A229D">
      <w:pPr>
        <w:pStyle w:val="CommentText"/>
      </w:pPr>
    </w:p>
    <w:p w14:paraId="3494FA38" w14:textId="77777777" w:rsidR="005A229D" w:rsidRDefault="005A229D" w:rsidP="005A229D">
      <w:pPr>
        <w:pStyle w:val="CommentText"/>
      </w:pPr>
    </w:p>
    <w:p w14:paraId="524FFE47" w14:textId="77777777" w:rsidR="005A229D" w:rsidRDefault="005A229D" w:rsidP="005A229D">
      <w:pPr>
        <w:pStyle w:val="CommentText"/>
      </w:pPr>
    </w:p>
    <w:p w14:paraId="47B5D933" w14:textId="77777777" w:rsidR="005A229D" w:rsidRDefault="005A229D" w:rsidP="005A229D">
      <w:pPr>
        <w:pStyle w:val="CommentText"/>
      </w:pPr>
    </w:p>
  </w:comment>
  <w:comment w:id="8" w:author="Tibbetts, William" w:date="2026-04-27T07:03:00Z" w:initials="TW">
    <w:p w14:paraId="0F40F631" w14:textId="706D80C3" w:rsidR="007D7DF3" w:rsidRDefault="007D7DF3">
      <w:pPr>
        <w:pStyle w:val="CommentText"/>
      </w:pPr>
      <w:r>
        <w:rPr>
          <w:rStyle w:val="CommentReference"/>
        </w:rPr>
        <w:annotationRef/>
      </w:r>
      <w:r w:rsidRPr="53FB7D36">
        <w:t xml:space="preserve">I'm thinking we need a paragraph introduction that covers our team and high level win themes and notes the importance of this work and then we get into a more detailed understanding section that shows that we understand the background, vision, task order objectives from the SOO and map them to outcomes/differentiators </w:t>
      </w:r>
    </w:p>
  </w:comment>
  <w:comment w:id="9" w:author="Tibbetts, William" w:date="2026-04-27T06:39:00Z" w:initials="TW">
    <w:p w14:paraId="57CB2C08" w14:textId="6849F3F6" w:rsidR="00A92553" w:rsidRDefault="00A92553">
      <w:pPr>
        <w:pStyle w:val="CommentText"/>
      </w:pPr>
      <w:r>
        <w:rPr>
          <w:rStyle w:val="CommentReference"/>
        </w:rPr>
        <w:annotationRef/>
      </w:r>
      <w:r w:rsidRPr="671B5ED1">
        <w:t>We need to introduce our team (subs) at some point</w:t>
      </w:r>
    </w:p>
  </w:comment>
  <w:comment w:id="10" w:author="Tibbetts, William" w:date="2026-04-27T06:42:00Z" w:initials="TW">
    <w:p w14:paraId="28824E59" w14:textId="4BBB8743" w:rsidR="007D7DF3" w:rsidRDefault="007D7DF3">
      <w:pPr>
        <w:pStyle w:val="CommentText"/>
      </w:pPr>
      <w:r>
        <w:rPr>
          <w:rStyle w:val="CommentReference"/>
        </w:rPr>
        <w:annotationRef/>
      </w:r>
      <w:r w:rsidRPr="7695B6B3">
        <w:t xml:space="preserve">I think its a little early to dive into FWA and would suggest moving the purple text down or get rid of it. It's a win theme for us, but not the primary thing on CCIIO's mind </w:t>
      </w:r>
    </w:p>
  </w:comment>
  <w:comment w:id="13" w:author="Tibbetts, William" w:date="2026-04-27T06:45:00Z" w:initials="TW">
    <w:p w14:paraId="5BB95CCE" w14:textId="3CD94FB7" w:rsidR="007D7DF3" w:rsidRDefault="007D7DF3">
      <w:pPr>
        <w:pStyle w:val="CommentText"/>
      </w:pPr>
      <w:r>
        <w:rPr>
          <w:rStyle w:val="CommentReference"/>
        </w:rPr>
        <w:annotationRef/>
      </w:r>
      <w:r w:rsidRPr="1723C197">
        <w:t>Do we want to add a FWA win theme here?</w:t>
      </w:r>
    </w:p>
  </w:comment>
  <w:comment w:id="14" w:author="Bowman, Kelly" w:date="2026-04-27T08:17:00Z" w:initials="KB">
    <w:p w14:paraId="2A1D3191" w14:textId="77777777" w:rsidR="00CA3896" w:rsidRDefault="00CA3896" w:rsidP="00CA3896">
      <w:pPr>
        <w:pStyle w:val="CommentText"/>
      </w:pPr>
      <w:r>
        <w:rPr>
          <w:rStyle w:val="CommentReference"/>
        </w:rPr>
        <w:annotationRef/>
      </w:r>
      <w:r>
        <w:t>The consumer should come first - re-order so the consumer is at the top of this list</w:t>
      </w:r>
    </w:p>
  </w:comment>
  <w:comment w:id="19" w:author="Jain, Rajat" w:date="2026-04-23T22:28:00Z" w:initials="RJ">
    <w:p w14:paraId="327BBEE1" w14:textId="77777777" w:rsidR="008A2E01" w:rsidRDefault="008A2E01" w:rsidP="008A2E01">
      <w:pPr>
        <w:pStyle w:val="CommentText"/>
      </w:pPr>
      <w:r>
        <w:rPr>
          <w:rStyle w:val="CommentReference"/>
        </w:rPr>
        <w:annotationRef/>
      </w:r>
      <w:r>
        <w:rPr>
          <w:b/>
          <w:bCs/>
        </w:rPr>
        <w:t xml:space="preserve">Attachment 2 - </w:t>
      </w:r>
      <w:r>
        <w:rPr>
          <w:b/>
          <w:bCs/>
          <w:color w:val="000000"/>
        </w:rPr>
        <w:t xml:space="preserve">VOLUME I: Sub-Section 1B: Approach to Performing the Requirements Identified in the SOW </w:t>
      </w:r>
      <w:r>
        <w:rPr>
          <w:b/>
          <w:bCs/>
        </w:rPr>
        <w:t>, Pg 4</w:t>
      </w:r>
    </w:p>
    <w:p w14:paraId="50568AC2" w14:textId="77777777" w:rsidR="008A2E01" w:rsidRDefault="008A2E01" w:rsidP="008A2E01">
      <w:pPr>
        <w:pStyle w:val="CommentText"/>
      </w:pPr>
    </w:p>
    <w:p w14:paraId="2316228C" w14:textId="77777777" w:rsidR="008A2E01" w:rsidRDefault="008A2E01" w:rsidP="008A2E01">
      <w:pPr>
        <w:pStyle w:val="CommentText"/>
      </w:pPr>
      <w:r>
        <w:rPr>
          <w:color w:val="000000"/>
        </w:rPr>
        <w:t>Offerors shall provide a narrative of their technical approach for meeting all of the requirements and tasks identified in the SOW (except for Task 1: Program Implementation and Oversight, Task 11: Transition-Out (Optional) and Task 12: Transition-In (Optional). The approach for Task 1, Task 11, and Task 12 should be covered under Sub-Section 2A: Management Approach). While adhering to CMS’ broad goals and requirements, Offerors are encouraged to propose innovative and efficient solutions to meet the ER&amp;R goals and objectives. The approach should be detailed, complete, and consistent. Offerors are encouraged to provide clear, succinct process flow diagrams, tables, charts, and other visual aids to demonstrate their proposed processes and techniques. A narrative of the Offeror’s technical approach shall address each of the following tasks (and associated sub-tasks) identified in the SOW: Task 2-10</w:t>
      </w:r>
    </w:p>
    <w:p w14:paraId="2338282F" w14:textId="77777777" w:rsidR="008A2E01" w:rsidRDefault="008A2E01" w:rsidP="008A2E01">
      <w:pPr>
        <w:pStyle w:val="CommentText"/>
      </w:pPr>
    </w:p>
    <w:p w14:paraId="3C6A45F3" w14:textId="77777777" w:rsidR="008A2E01" w:rsidRDefault="008A2E01" w:rsidP="008A2E01">
      <w:pPr>
        <w:pStyle w:val="CommentText"/>
      </w:pPr>
      <w:r>
        <w:rPr>
          <w:b/>
          <w:bCs/>
          <w:color w:val="000000"/>
        </w:rPr>
        <w:t>Attachment 2 - VOLUME I:Technical Evaluation Factor 1, Pg 21</w:t>
      </w:r>
    </w:p>
    <w:p w14:paraId="540A61EE" w14:textId="77777777" w:rsidR="008A2E01" w:rsidRDefault="008A2E01" w:rsidP="008A2E01">
      <w:pPr>
        <w:pStyle w:val="CommentText"/>
      </w:pPr>
    </w:p>
    <w:p w14:paraId="2D5BBB75" w14:textId="77777777" w:rsidR="008A2E01" w:rsidRDefault="008A2E01" w:rsidP="008A2E01">
      <w:pPr>
        <w:pStyle w:val="CommentText"/>
      </w:pPr>
      <w:r>
        <w:rPr>
          <w:color w:val="000000"/>
        </w:rPr>
        <w:t xml:space="preserve">The evaluation will focus on the following elements: Approach to Performing Requirements Identified in the SOW </w:t>
      </w:r>
    </w:p>
    <w:p w14:paraId="333342BC" w14:textId="77777777" w:rsidR="008A2E01" w:rsidRDefault="008A2E01" w:rsidP="008A2E01">
      <w:pPr>
        <w:pStyle w:val="CommentText"/>
      </w:pPr>
    </w:p>
    <w:p w14:paraId="5093E7DC" w14:textId="77777777" w:rsidR="008A2E01" w:rsidRDefault="008A2E01" w:rsidP="005B6F6F">
      <w:pPr>
        <w:pStyle w:val="CommentText"/>
      </w:pPr>
    </w:p>
  </w:comment>
  <w:comment w:id="21" w:author="Tibbetts, William" w:date="2026-04-27T07:07:00Z" w:initials="TW">
    <w:p w14:paraId="4C62FDC9" w14:textId="451E0182" w:rsidR="007D7DF3" w:rsidRDefault="007D7DF3">
      <w:pPr>
        <w:pStyle w:val="CommentText"/>
      </w:pPr>
      <w:r>
        <w:rPr>
          <w:rStyle w:val="CommentReference"/>
        </w:rPr>
        <w:annotationRef/>
      </w:r>
      <w:r w:rsidRPr="3E655C0C">
        <w:t>This is pretty transition heavy, I would start with our understanding of the importance of task 2 then get into our proposed methods, processes, tools of our approach to completing the task</w:t>
      </w:r>
    </w:p>
  </w:comment>
  <w:comment w:id="22" w:author="Bowman, Kelly" w:date="2026-04-27T08:00:00Z" w:initials="KB">
    <w:p w14:paraId="18D1D841" w14:textId="77777777" w:rsidR="00601B3C" w:rsidRDefault="00601B3C" w:rsidP="00601B3C">
      <w:pPr>
        <w:pStyle w:val="CommentText"/>
      </w:pPr>
      <w:r>
        <w:rPr>
          <w:rStyle w:val="CommentReference"/>
        </w:rPr>
        <w:annotationRef/>
      </w:r>
      <w:r>
        <w:t>Agree, see note above</w:t>
      </w:r>
    </w:p>
  </w:comment>
  <w:comment w:id="23" w:author="Bowman, Kelly" w:date="2026-04-27T08:24:00Z" w:initials="KB">
    <w:p w14:paraId="69B73DFA" w14:textId="77777777" w:rsidR="002A1669" w:rsidRDefault="002A1669" w:rsidP="002A1669">
      <w:pPr>
        <w:pStyle w:val="CommentText"/>
      </w:pPr>
      <w:r>
        <w:rPr>
          <w:rStyle w:val="CommentReference"/>
        </w:rPr>
        <w:annotationRef/>
      </w:r>
      <w:r>
        <w:t>Some of the writing is in present and some in future tense. Switch everything to present tense</w:t>
      </w:r>
    </w:p>
  </w:comment>
  <w:comment w:id="24" w:author="Bowman, Kelly" w:date="2026-04-27T08:12:00Z" w:initials="KB">
    <w:p w14:paraId="5BD4BE12" w14:textId="77777777" w:rsidR="00136D3E" w:rsidRDefault="00136D3E" w:rsidP="00136D3E">
      <w:pPr>
        <w:pStyle w:val="CommentText"/>
      </w:pPr>
      <w:r>
        <w:rPr>
          <w:rStyle w:val="CommentReference"/>
        </w:rPr>
        <w:annotationRef/>
      </w:r>
      <w:r>
        <w:t>Per instructions - transition in is in sub-section 1B, please move it out of this section</w:t>
      </w:r>
    </w:p>
  </w:comment>
  <w:comment w:id="25" w:author="Tibbetts, William" w:date="2026-04-27T07:08:00Z" w:initials="TW">
    <w:p w14:paraId="514BCAEC" w14:textId="134429A2" w:rsidR="007D7DF3" w:rsidRDefault="007D7DF3">
      <w:pPr>
        <w:pStyle w:val="CommentText"/>
      </w:pPr>
      <w:r>
        <w:rPr>
          <w:rStyle w:val="CommentReference"/>
        </w:rPr>
        <w:annotationRef/>
      </w:r>
      <w:r w:rsidRPr="20E7445A">
        <w:t>We should talk about how to include proprietary tools that we may not have talked to the customer about. This may scare them. It may be better as a callout box that details how we used TruNorth on another government project and how it could apply to ERR</w:t>
      </w:r>
    </w:p>
  </w:comment>
  <w:comment w:id="43" w:author="Jennings, Ben" w:date="2026-04-26T12:32:00Z" w:initials="BJ">
    <w:p w14:paraId="18568756" w14:textId="77777777" w:rsidR="008E092C" w:rsidRDefault="008E092C" w:rsidP="008E092C">
      <w:pPr>
        <w:pStyle w:val="CommentText"/>
      </w:pPr>
      <w:r>
        <w:rPr>
          <w:rStyle w:val="CommentReference"/>
        </w:rPr>
        <w:annotationRef/>
      </w:r>
      <w:r>
        <w:t>Overall Notes:</w:t>
      </w:r>
      <w:r>
        <w:br/>
        <w:t xml:space="preserve"> - Deliverables from writing guide not necessary</w:t>
      </w:r>
    </w:p>
    <w:p w14:paraId="4A92BE91" w14:textId="77777777" w:rsidR="008E092C" w:rsidRDefault="008E092C" w:rsidP="008E092C">
      <w:pPr>
        <w:pStyle w:val="CommentText"/>
      </w:pPr>
      <w:r>
        <w:t xml:space="preserve"> - See if we can cut out things that are just repeating the SOW</w:t>
      </w:r>
    </w:p>
    <w:p w14:paraId="0A07C44F" w14:textId="77777777" w:rsidR="008E092C" w:rsidRDefault="008E092C" w:rsidP="008E092C">
      <w:pPr>
        <w:pStyle w:val="CommentText"/>
      </w:pPr>
      <w:r>
        <w:t xml:space="preserve"> - focus on the people side</w:t>
      </w:r>
    </w:p>
  </w:comment>
  <w:comment w:id="44" w:author="Jennings, Ben" w:date="2026-04-26T14:51:00Z" w:initials="BJ">
    <w:p w14:paraId="26AD2F54" w14:textId="77777777" w:rsidR="0027044E" w:rsidRDefault="0027044E" w:rsidP="0027044E">
      <w:pPr>
        <w:pStyle w:val="CommentText"/>
      </w:pPr>
      <w:r>
        <w:rPr>
          <w:rStyle w:val="CommentReference"/>
        </w:rPr>
        <w:annotationRef/>
      </w:r>
      <w:r>
        <w:t>Review for future tense</w:t>
      </w:r>
    </w:p>
  </w:comment>
  <w:comment w:id="46" w:author="Jennings, Ben" w:date="2026-04-26T12:21:00Z" w:initials="BJ">
    <w:p w14:paraId="5333E8A0" w14:textId="77777777" w:rsidR="00437C78" w:rsidRDefault="00437C78" w:rsidP="00437C78">
      <w:pPr>
        <w:pStyle w:val="CommentText"/>
      </w:pPr>
      <w:r>
        <w:rPr>
          <w:rStyle w:val="CommentReference"/>
        </w:rPr>
        <w:annotationRef/>
      </w:r>
      <w:r>
        <w:t>Awkward, can compress</w:t>
      </w:r>
    </w:p>
  </w:comment>
  <w:comment w:id="45" w:author="Jennings, Ben" w:date="2026-04-26T12:21:00Z" w:initials="BJ">
    <w:p w14:paraId="09702961" w14:textId="77777777" w:rsidR="00437C78" w:rsidRDefault="00437C78" w:rsidP="00437C78">
      <w:pPr>
        <w:pStyle w:val="CommentText"/>
      </w:pPr>
      <w:r>
        <w:rPr>
          <w:rStyle w:val="CommentReference"/>
        </w:rPr>
        <w:annotationRef/>
      </w:r>
      <w:r>
        <w:t>Can combine these</w:t>
      </w:r>
    </w:p>
  </w:comment>
  <w:comment w:id="47" w:author="Jennings, Ben" w:date="2026-04-26T14:06:00Z" w:initials="BJ">
    <w:p w14:paraId="2B97751F" w14:textId="77777777" w:rsidR="00914960" w:rsidRDefault="00914960" w:rsidP="00914960">
      <w:pPr>
        <w:pStyle w:val="CommentText"/>
      </w:pPr>
      <w:r>
        <w:rPr>
          <w:rStyle w:val="CommentReference"/>
        </w:rPr>
        <w:annotationRef/>
      </w:r>
      <w:r>
        <w:t>There’s no longer section numbering like this.</w:t>
      </w:r>
    </w:p>
  </w:comment>
  <w:comment w:id="48" w:author="Jennings, Ben" w:date="2026-04-26T12:31:00Z" w:initials="BJ">
    <w:p w14:paraId="4AC5698B" w14:textId="77777777" w:rsidR="00477000" w:rsidRDefault="00477000" w:rsidP="00477000">
      <w:pPr>
        <w:pStyle w:val="CommentText"/>
      </w:pPr>
      <w:r>
        <w:rPr>
          <w:rStyle w:val="CommentReference"/>
        </w:rPr>
        <w:annotationRef/>
      </w:r>
      <w:r>
        <w:rPr>
          <w:color w:val="212121"/>
          <w:highlight w:val="white"/>
        </w:rPr>
        <w:t>we might have to separate it or rewrite it. There is no much substance about what Deloitte can do in this section.</w:t>
      </w:r>
      <w:r>
        <w:t xml:space="preserve"> </w:t>
      </w:r>
    </w:p>
  </w:comment>
  <w:comment w:id="49" w:author="Jennings, Ben" w:date="2026-04-26T12:26:00Z" w:initials="BJ">
    <w:p w14:paraId="68D8BE2B" w14:textId="333FE10B" w:rsidR="00431364" w:rsidRDefault="00431364" w:rsidP="00431364">
      <w:pPr>
        <w:pStyle w:val="CommentText"/>
      </w:pPr>
      <w:r>
        <w:rPr>
          <w:rStyle w:val="CommentReference"/>
        </w:rPr>
        <w:annotationRef/>
      </w:r>
      <w:r>
        <w:t>Review for repetition</w:t>
      </w:r>
    </w:p>
  </w:comment>
  <w:comment w:id="50" w:author="Noorani, Bilal" w:date="2026-04-26T16:51:00Z" w:initials="BN">
    <w:p w14:paraId="5E8BF986" w14:textId="77777777" w:rsidR="009409F6" w:rsidRDefault="009409F6" w:rsidP="009409F6">
      <w:r>
        <w:rPr>
          <w:rStyle w:val="CommentReference"/>
        </w:rPr>
        <w:annotationRef/>
      </w:r>
      <w:r>
        <w:rPr>
          <w:sz w:val="20"/>
          <w:szCs w:val="20"/>
        </w:rPr>
        <w:t>We may have to remove it given it belongs to the future state.</w:t>
      </w:r>
    </w:p>
  </w:comment>
  <w:comment w:id="51" w:author="Borhan, Zerina" w:date="2026-04-26T23:00:00Z" w:initials="ZB">
    <w:p w14:paraId="2599AF8A" w14:textId="77777777" w:rsidR="009B1E5F" w:rsidRDefault="009B1E5F" w:rsidP="009B1E5F">
      <w:pPr>
        <w:pStyle w:val="CommentText"/>
      </w:pPr>
      <w:r>
        <w:rPr>
          <w:rStyle w:val="CommentReference"/>
        </w:rPr>
        <w:annotationRef/>
      </w:r>
      <w:r>
        <w:t xml:space="preserve">Can add Altered Imagine Model instead? </w:t>
      </w:r>
    </w:p>
  </w:comment>
  <w:comment w:id="53" w:author="Borhan, Zerina" w:date="2026-04-26T23:11:00Z" w:initials="ZB">
    <w:p w14:paraId="07F64CBD" w14:textId="77777777" w:rsidR="00041619" w:rsidRDefault="00041619" w:rsidP="00041619">
      <w:pPr>
        <w:pStyle w:val="CommentText"/>
        <w:numPr>
          <w:ilvl w:val="0"/>
          <w:numId w:val="80"/>
        </w:numPr>
      </w:pPr>
      <w:r>
        <w:rPr>
          <w:rStyle w:val="CommentReference"/>
        </w:rPr>
        <w:annotationRef/>
      </w:r>
      <w:r>
        <w:rPr>
          <w:color w:val="1A1A1A"/>
        </w:rPr>
        <w:t>Conduct advanced fraud training for all CCHC staff, focusing on social engineering tactics, red flag identification, and secure escalation procedures.</w:t>
      </w:r>
    </w:p>
    <w:p w14:paraId="0EEAA702" w14:textId="77777777" w:rsidR="00041619" w:rsidRDefault="00041619" w:rsidP="00041619">
      <w:pPr>
        <w:pStyle w:val="CommentText"/>
        <w:numPr>
          <w:ilvl w:val="0"/>
          <w:numId w:val="80"/>
        </w:numPr>
      </w:pPr>
      <w:r>
        <w:rPr>
          <w:color w:val="1A1A1A"/>
        </w:rPr>
        <w:t>Enhance the case management system to provide agents with a real-time risk score for the consumer or case they are handling using the models made under tasks 2 + 3.</w:t>
      </w:r>
    </w:p>
    <w:p w14:paraId="5B15C1FB" w14:textId="77777777" w:rsidR="00041619" w:rsidRDefault="00041619" w:rsidP="00041619">
      <w:pPr>
        <w:pStyle w:val="CommentText"/>
        <w:numPr>
          <w:ilvl w:val="0"/>
          <w:numId w:val="80"/>
        </w:numPr>
      </w:pPr>
      <w:r>
        <w:rPr>
          <w:color w:val="1A1A1A"/>
        </w:rPr>
        <w:t>Triage for potential high-risk/integrity-impacting cases (e.g., repeated mismatches, multiple open cases).</w:t>
      </w:r>
    </w:p>
    <w:p w14:paraId="6CBF943F" w14:textId="77777777" w:rsidR="00041619" w:rsidRDefault="00041619" w:rsidP="00041619">
      <w:pPr>
        <w:pStyle w:val="CommentText"/>
        <w:numPr>
          <w:ilvl w:val="0"/>
          <w:numId w:val="80"/>
        </w:numPr>
      </w:pPr>
      <w:r>
        <w:rPr>
          <w:color w:val="1A1A1A"/>
        </w:rPr>
        <w:t>Disciplined audit trail and escalation to CMS for patterns indicating systemic control gaps.</w:t>
      </w:r>
    </w:p>
    <w:p w14:paraId="2AEC1D4C" w14:textId="77777777" w:rsidR="00041619" w:rsidRDefault="00041619" w:rsidP="00041619">
      <w:pPr>
        <w:pStyle w:val="CommentText"/>
      </w:pPr>
      <w:r>
        <w:t>PI in Call Center Ops</w:t>
      </w:r>
    </w:p>
  </w:comment>
  <w:comment w:id="55" w:author="Borhan, Zerina" w:date="2026-04-26T23:13:00Z" w:initials="ZB">
    <w:p w14:paraId="511F2C9C" w14:textId="77777777" w:rsidR="00A70C01" w:rsidRDefault="00A70C01" w:rsidP="00A70C01">
      <w:pPr>
        <w:pStyle w:val="CommentText"/>
      </w:pPr>
      <w:r>
        <w:rPr>
          <w:rStyle w:val="CommentReference"/>
        </w:rPr>
        <w:annotationRef/>
      </w:r>
      <w:r>
        <w:t xml:space="preserve">PI approach : </w:t>
      </w:r>
    </w:p>
    <w:p w14:paraId="33FF4965" w14:textId="77777777" w:rsidR="00A70C01" w:rsidRDefault="00A70C01" w:rsidP="00A70C01">
      <w:pPr>
        <w:pStyle w:val="CommentText"/>
        <w:numPr>
          <w:ilvl w:val="0"/>
          <w:numId w:val="81"/>
        </w:numPr>
      </w:pPr>
      <w:r>
        <w:t>Perform automated reconciliations to verify that BUU updates align to source evidence and downstream posting results, helping detect unsupported or inconsistent changes before they affect the FFE.</w:t>
      </w:r>
    </w:p>
    <w:p w14:paraId="63AF70AB" w14:textId="77777777" w:rsidR="00A70C01" w:rsidRDefault="00A70C01" w:rsidP="00A70C01">
      <w:pPr>
        <w:pStyle w:val="CommentText"/>
        <w:numPr>
          <w:ilvl w:val="0"/>
          <w:numId w:val="81"/>
        </w:numPr>
      </w:pPr>
      <w:r>
        <w:t>Use post-update sampling and data integrity validation/modeling to identify common issues, recurring error patterns, and potential control gaps requiring remediation.</w:t>
      </w:r>
    </w:p>
    <w:p w14:paraId="2E077F52" w14:textId="77777777" w:rsidR="00A70C01" w:rsidRDefault="00A70C01" w:rsidP="00A70C01">
      <w:pPr>
        <w:pStyle w:val="CommentText"/>
        <w:numPr>
          <w:ilvl w:val="0"/>
          <w:numId w:val="81"/>
        </w:numPr>
      </w:pPr>
      <w:r>
        <w:t>Apply risk-based manual review for erroneous electronic transactions and heightened governance for non-standard BUU updates to reduce PI/FWA risk while preserving throughput by slowing only higher-risk items.</w:t>
      </w:r>
    </w:p>
  </w:comment>
  <w:comment w:id="58" w:author="Marsh, Hana" w:date="2026-04-25T19:35:00Z" w:initials="HM">
    <w:p w14:paraId="4F226D04" w14:textId="0DD79742" w:rsidR="00F44734" w:rsidRDefault="00F44734" w:rsidP="00F44734">
      <w:pPr>
        <w:pStyle w:val="CommentText"/>
      </w:pPr>
      <w:r>
        <w:rPr>
          <w:rStyle w:val="CommentReference"/>
        </w:rPr>
        <w:annotationRef/>
      </w:r>
      <w:r>
        <w:t xml:space="preserve">Task 7 is not a generic contact center; it is CMS’s multi-stakeholder, multi-channel resolution function for the Marketplace. Through coordinated inbound and outbound calls, after-hours voicemail, issuer email support, and written correspondence, the contractor supports consumers, issuers, FFE staff, and SBEs in moving cases to resolution with consistency, visibility, and compliance. The SOW calls for inbound and outbound phone support, direct phone numbers with voicemail outside business hours, issuer call and email support through the ER&amp;R Support Center, outbound outreach when live contact can expedite resolution, CMS-approved scripts and SOPs, ongoing staff training, and weekly and monthly reporting. </w:t>
      </w:r>
    </w:p>
    <w:p w14:paraId="76BD1D99" w14:textId="77777777" w:rsidR="00F44734" w:rsidRDefault="00F44734" w:rsidP="00F44734">
      <w:pPr>
        <w:pStyle w:val="CommentText"/>
      </w:pPr>
    </w:p>
    <w:p w14:paraId="50256D0B" w14:textId="77777777" w:rsidR="00F44734" w:rsidRDefault="00F44734" w:rsidP="00F44734">
      <w:pPr>
        <w:pStyle w:val="CommentText"/>
      </w:pPr>
      <w:r>
        <w:t xml:space="preserve">This task operates in a complex Marketplace ecosystem where each stakeholder group brings different needs, dependencies, and escalation paths. Consumers need clear, plain-language support and sensitive handling of enrollment and eligibility issues. Issuers need operationally precise coordination, documented communications, and timely follow-up. FFE staff, SBEs, and other Marketplace partners need clean handoffs, reliable status visibility, and dependable follow-through across organizational lines. For that reason, Task 7 is best understood as a closed-loop resolution workflow, not a set of disconnected channels. Each interaction should contribute to a single case history that supports downstream actions, formal decisions, and status updates. </w:t>
      </w:r>
    </w:p>
    <w:p w14:paraId="46D51F94" w14:textId="77777777" w:rsidR="00F44734" w:rsidRDefault="00F44734" w:rsidP="00F44734">
      <w:pPr>
        <w:pStyle w:val="CommentText"/>
      </w:pPr>
    </w:p>
    <w:p w14:paraId="79294FC6" w14:textId="77777777" w:rsidR="00F44734" w:rsidRDefault="00F44734" w:rsidP="00F44734">
      <w:pPr>
        <w:pStyle w:val="CommentText"/>
      </w:pPr>
      <w:r>
        <w:t xml:space="preserve">Deloitte will deliver Task 7 as a stakeholder-based resolution model, not just queue management. We will align triage, routing, outreach, communications, and escalation paths to the needs of each stakeholder group while maintaining one common control structure across the operation. This approach will help CMS reduce rework, shorten cycle time, and maintain consistent guidance across consumers, issuers, FFE staff, SBEs, and related Marketplace partners. </w:t>
      </w:r>
    </w:p>
    <w:p w14:paraId="40E6450F" w14:textId="77777777" w:rsidR="00F44734" w:rsidRDefault="00F44734" w:rsidP="00F44734">
      <w:pPr>
        <w:pStyle w:val="CommentText"/>
      </w:pPr>
    </w:p>
    <w:p w14:paraId="5CF41A1A" w14:textId="77777777" w:rsidR="00F44734" w:rsidRDefault="00F44734" w:rsidP="00F44734">
      <w:pPr>
        <w:pStyle w:val="CommentText"/>
      </w:pPr>
      <w:r>
        <w:t xml:space="preserve">We will run a unified multi-channel workflow in which inbound calls, outbound calls, voicemail, issuer emails, and correspondence work together to advance case resolution. Outbound support will be used proactively when live outreach can resolve missing information, confirm next steps, or unblock a case faster than written exchanges alone, including during higher-volume periods for Form 1095-A disputes, unauthorized enrollments, and UPS cases. We will also treat voicemail as an active, SLA-driven intake lane with clear ownership, prioritization, aging visibility, and one-business-day response discipline. Where approved by CMS, Deloitte can apply AI-assisted transcription and triage to help staff categorize messages faster and surface urgent issues sooner while keeping human review and CMS-approved scripting in place. </w:t>
      </w:r>
    </w:p>
    <w:p w14:paraId="1B9A467E" w14:textId="77777777" w:rsidR="00F44734" w:rsidRDefault="00F44734" w:rsidP="00F44734">
      <w:pPr>
        <w:pStyle w:val="CommentText"/>
      </w:pPr>
    </w:p>
    <w:p w14:paraId="088F0A99" w14:textId="77777777" w:rsidR="00F44734" w:rsidRDefault="00F44734" w:rsidP="00F44734">
      <w:pPr>
        <w:pStyle w:val="CommentText"/>
      </w:pPr>
      <w:r>
        <w:t xml:space="preserve">Deloitte will provide a distinct issuer-support lane through the ER&amp;R Support Center for issuer calls and emails, documentation in Enrollment Community, coordinated issuer communications, and support for testing and recommendations tied to Enrollment Data Alignment. At the same time, we will manage the handoff-heavy operating environment across CMS, issuers, states, SBEs, the Exchange Call Center, and related contractors through defined transfer points, escalation triggers, and visible status tracking. This will give CMS stronger operational control and lower the risk of dropped transfers, duplicate work, or conflicting guidance. </w:t>
      </w:r>
    </w:p>
    <w:p w14:paraId="7296333F" w14:textId="77777777" w:rsidR="00F44734" w:rsidRDefault="00F44734" w:rsidP="00F44734">
      <w:pPr>
        <w:pStyle w:val="CommentText"/>
      </w:pPr>
    </w:p>
    <w:p w14:paraId="0738E36A" w14:textId="77777777" w:rsidR="00F44734" w:rsidRDefault="00F44734" w:rsidP="00F44734">
      <w:pPr>
        <w:pStyle w:val="CommentText"/>
      </w:pPr>
      <w:r>
        <w:t xml:space="preserve">Delivery will be supported by disciplined workforce management, quality assurance, training, and knowledge management. We will forecast seasonal and intraday demand, align staffing to volume patterns, monitor quality and script adherence, keep SOPs and QRGs current, and refresh training as policy or process direction changes. These controls matter because Task 7 volumes ebb and flow, case complexity varies by stakeholder, and CMS expects representatives to resolve complex cases efficiently and with sensitivity. </w:t>
      </w:r>
    </w:p>
    <w:p w14:paraId="2C78FFCC" w14:textId="77777777" w:rsidR="00F44734" w:rsidRDefault="00F44734" w:rsidP="00F44734">
      <w:pPr>
        <w:pStyle w:val="CommentText"/>
      </w:pPr>
    </w:p>
    <w:p w14:paraId="46D811AC" w14:textId="77777777" w:rsidR="00F44734" w:rsidRDefault="00F44734" w:rsidP="00F44734">
      <w:pPr>
        <w:pStyle w:val="CommentText"/>
      </w:pPr>
      <w:r>
        <w:t xml:space="preserve">Finally, Deloitte will treat Task 7 as an improvement engine, not only a service-delivery function. Using weekly and monthly reporting, escalation reviews, and recurring trend analysis, we will help CMS identify pain points, recommend script and workflow updates, and support issuer communications when cross-issuer patterns emerge. The result will be a compliant, visible, and continuously improving resolution function that supports faster case movement and a better stakeholder experience across the Marketplace. </w:t>
      </w:r>
    </w:p>
  </w:comment>
  <w:comment w:id="59" w:author="Marsh, Hana" w:date="2026-04-25T18:53:00Z" w:initials="HM">
    <w:p w14:paraId="0E687C86" w14:textId="7763D275" w:rsidR="004E7BE1" w:rsidRDefault="00E72CE8" w:rsidP="004E7BE1">
      <w:pPr>
        <w:pStyle w:val="CommentText"/>
      </w:pPr>
      <w:r>
        <w:rPr>
          <w:rStyle w:val="CommentReference"/>
        </w:rPr>
        <w:annotationRef/>
      </w:r>
      <w:r w:rsidR="004E7BE1">
        <w:t>Can make this a visual/graphic.</w:t>
      </w:r>
    </w:p>
  </w:comment>
  <w:comment w:id="60" w:author="Krause Schmidt, Phil" w:date="2026-04-25T19:53:00Z" w:initials="PK">
    <w:p w14:paraId="261972F3" w14:textId="77777777" w:rsidR="000713EF" w:rsidRDefault="000713EF" w:rsidP="000713EF">
      <w:pPr>
        <w:pStyle w:val="CommentText"/>
      </w:pPr>
      <w:r>
        <w:rPr>
          <w:rStyle w:val="CommentReference"/>
        </w:rPr>
        <w:annotationRef/>
      </w:r>
      <w:r>
        <w:t>Yes or table for space</w:t>
      </w:r>
    </w:p>
  </w:comment>
  <w:comment w:id="61" w:author="Marsh, Hana" w:date="2026-04-25T18:56:00Z" w:initials="HM">
    <w:p w14:paraId="5F9C9625" w14:textId="77777777" w:rsidR="004E7BE1" w:rsidRDefault="004E7BE1" w:rsidP="004E7BE1">
      <w:pPr>
        <w:pStyle w:val="CommentText"/>
      </w:pPr>
      <w:r>
        <w:rPr>
          <w:rStyle w:val="CommentReference"/>
        </w:rPr>
        <w:annotationRef/>
      </w:r>
      <w:r>
        <w:t>Can make this a table</w:t>
      </w:r>
    </w:p>
  </w:comment>
  <w:comment w:id="62" w:author="Krause Schmidt, Phil" w:date="2026-04-25T19:56:00Z" w:initials="PK">
    <w:p w14:paraId="0EBAA838" w14:textId="77777777" w:rsidR="00811BEA" w:rsidRDefault="00811BEA" w:rsidP="00811BEA">
      <w:pPr>
        <w:pStyle w:val="CommentText"/>
      </w:pPr>
      <w:r>
        <w:rPr>
          <w:rStyle w:val="CommentReference"/>
        </w:rPr>
        <w:annotationRef/>
      </w:r>
      <w:r>
        <w:t>Yes thinking category - sample measures - impact to ER&amp;R and Marketplace</w:t>
      </w:r>
    </w:p>
  </w:comment>
  <w:comment w:id="63" w:author="Marsh, Hana" w:date="2026-04-25T18:59:00Z" w:initials="HM">
    <w:p w14:paraId="7DABF88F" w14:textId="77777777" w:rsidR="00772824" w:rsidRDefault="00772824" w:rsidP="00772824">
      <w:pPr>
        <w:pStyle w:val="CommentText"/>
      </w:pPr>
      <w:r>
        <w:rPr>
          <w:rStyle w:val="CommentReference"/>
        </w:rPr>
        <w:annotationRef/>
      </w:r>
      <w:r>
        <w:t>Will also need some federal quals</w:t>
      </w:r>
    </w:p>
  </w:comment>
  <w:comment w:id="64" w:author="Krause Schmidt, Phil" w:date="2026-04-25T19:57:00Z" w:initials="PK">
    <w:p w14:paraId="3B1EA8FE" w14:textId="7FDEEADD" w:rsidR="00811BEA" w:rsidRDefault="00811BEA" w:rsidP="00811BEA">
      <w:pPr>
        <w:pStyle w:val="CommentText"/>
      </w:pPr>
      <w:r>
        <w:rPr>
          <w:rStyle w:val="CommentReference"/>
        </w:rPr>
        <w:annotationRef/>
      </w:r>
      <w:r>
        <w:fldChar w:fldCharType="begin"/>
      </w:r>
      <w:r>
        <w:instrText>HYPERLINK "mailto:gkelley@deloitte.com"</w:instrText>
      </w:r>
      <w:bookmarkStart w:id="68" w:name="_@_114257DEB65743C1B4822BF38BC5A6E4Z"/>
      <w:r>
        <w:fldChar w:fldCharType="separate"/>
      </w:r>
      <w:bookmarkEnd w:id="68"/>
      <w:r w:rsidRPr="00811BEA">
        <w:rPr>
          <w:rStyle w:val="Mention"/>
          <w:noProof/>
        </w:rPr>
        <w:t>@Kelley, Gabrielle</w:t>
      </w:r>
      <w:r>
        <w:fldChar w:fldCharType="end"/>
      </w:r>
      <w:r>
        <w:t xml:space="preserve">  - any standout suggestions?</w:t>
      </w:r>
    </w:p>
  </w:comment>
  <w:comment w:id="65" w:author="Krause Schmidt, Phil" w:date="2026-04-25T20:30:00Z" w:initials="PK">
    <w:p w14:paraId="0EA79AFD" w14:textId="77777777" w:rsidR="00095BFA" w:rsidRDefault="00095BFA" w:rsidP="00095BFA">
      <w:pPr>
        <w:pStyle w:val="CommentText"/>
      </w:pPr>
      <w:r>
        <w:rPr>
          <w:rStyle w:val="CommentReference"/>
        </w:rPr>
        <w:annotationRef/>
      </w:r>
      <w:r>
        <w:t>Added a few from deck</w:t>
      </w:r>
    </w:p>
  </w:comment>
  <w:comment w:id="66" w:author="Krause Schmidt, Phil" w:date="2026-04-25T20:32:00Z" w:initials="PK">
    <w:p w14:paraId="3F9420A4" w14:textId="77777777" w:rsidR="00715790" w:rsidRDefault="00715790" w:rsidP="00D93F37">
      <w:pPr>
        <w:pStyle w:val="CommentText"/>
        <w:numPr>
          <w:ilvl w:val="0"/>
          <w:numId w:val="31"/>
        </w:numPr>
      </w:pPr>
      <w:r>
        <w:rPr>
          <w:rStyle w:val="CommentReference"/>
        </w:rPr>
        <w:annotationRef/>
      </w:r>
      <w:r>
        <w:t>Prior text, recommend we use table and lead in / close out summary statements for red</w:t>
      </w:r>
      <w:r>
        <w:br/>
      </w:r>
      <w:r>
        <w:br/>
      </w:r>
      <w:r>
        <w:rPr>
          <w:b/>
          <w:bCs/>
        </w:rPr>
        <w:t>Covered California Health Insurance Exchange Contact Center</w:t>
      </w:r>
      <w:r>
        <w:br/>
        <w:t xml:space="preserve">Deloitte stood up Amazon Connect in about </w:t>
      </w:r>
      <w:r>
        <w:rPr>
          <w:b/>
          <w:bCs/>
        </w:rPr>
        <w:t>40 hours</w:t>
      </w:r>
      <w:r>
        <w:t xml:space="preserve"> during annual enrollment, when contact volume peaks near </w:t>
      </w:r>
      <w:r>
        <w:rPr>
          <w:b/>
          <w:bCs/>
        </w:rPr>
        <w:t>300,000 contacts per month</w:t>
      </w:r>
      <w:r>
        <w:t xml:space="preserve">. Deloitte provided project management, engineering, testing, training, and hypercare, led go-live and SSO migration with </w:t>
      </w:r>
      <w:r>
        <w:rPr>
          <w:b/>
          <w:bCs/>
        </w:rPr>
        <w:t>zero critical or high-impact issues</w:t>
      </w:r>
      <w:r>
        <w:t xml:space="preserve">, and continues to support enhancements such as courtesy callback, post-call survey, conversational IVR, custom agent desktop, and advanced reporting. </w:t>
      </w:r>
      <w:r>
        <w:rPr>
          <w:color w:val="C00000"/>
        </w:rPr>
        <w:t>Lead proof: digital exchange support, continuity under load, and practical contact-center modernization.</w:t>
      </w:r>
    </w:p>
    <w:p w14:paraId="30B5046D" w14:textId="77777777" w:rsidR="00715790" w:rsidRDefault="00715790" w:rsidP="00D93F37">
      <w:pPr>
        <w:pStyle w:val="CommentText"/>
        <w:numPr>
          <w:ilvl w:val="0"/>
          <w:numId w:val="31"/>
        </w:numPr>
      </w:pPr>
      <w:r>
        <w:rPr>
          <w:b/>
          <w:bCs/>
        </w:rPr>
        <w:t>Virginia Department of Health COVID-19 Information Center</w:t>
      </w:r>
      <w:r>
        <w:br/>
        <w:t xml:space="preserve">Deloitte rapidly stood up a contact center in </w:t>
      </w:r>
      <w:r>
        <w:rPr>
          <w:b/>
          <w:bCs/>
        </w:rPr>
        <w:t>10 days</w:t>
      </w:r>
      <w:r>
        <w:t xml:space="preserve">, configured telephony and ServiceNow, created knowledge articles, trained and sourced </w:t>
      </w:r>
      <w:r>
        <w:rPr>
          <w:b/>
          <w:bCs/>
        </w:rPr>
        <w:t>750+ agents</w:t>
      </w:r>
      <w:r>
        <w:t xml:space="preserve">, and handled more than </w:t>
      </w:r>
      <w:r>
        <w:rPr>
          <w:b/>
          <w:bCs/>
        </w:rPr>
        <w:t>1.3 million inbound and outbound calls</w:t>
      </w:r>
      <w:r>
        <w:t xml:space="preserve">. The program included multilingual support, chatbot capabilities, command center operations, QA, reporting, training, and workforce management. </w:t>
      </w:r>
      <w:r>
        <w:rPr>
          <w:color w:val="C00000"/>
        </w:rPr>
        <w:t>Proof for: support for rapid mobilization, multi-stakeholder public-sector support, and surge operations.</w:t>
      </w:r>
    </w:p>
    <w:p w14:paraId="2B77A310" w14:textId="77777777" w:rsidR="00715790" w:rsidRDefault="00715790" w:rsidP="00D93F37">
      <w:pPr>
        <w:pStyle w:val="CommentText"/>
        <w:numPr>
          <w:ilvl w:val="0"/>
          <w:numId w:val="31"/>
        </w:numPr>
      </w:pPr>
      <w:r>
        <w:rPr>
          <w:b/>
          <w:bCs/>
        </w:rPr>
        <w:t>New York State Department of Health COVID-19 Vaccine Management Call Center</w:t>
      </w:r>
      <w:r>
        <w:br/>
        <w:t xml:space="preserve">Deloitte took over management of existing vendor agents, deployed </w:t>
      </w:r>
      <w:r>
        <w:rPr>
          <w:b/>
          <w:bCs/>
        </w:rPr>
        <w:t>4,000+ surge support agents</w:t>
      </w:r>
      <w:r>
        <w:t xml:space="preserve">, handled </w:t>
      </w:r>
      <w:r>
        <w:rPr>
          <w:b/>
          <w:bCs/>
        </w:rPr>
        <w:t>5 million+ calls</w:t>
      </w:r>
      <w:r>
        <w:t xml:space="preserve">, including </w:t>
      </w:r>
      <w:r>
        <w:rPr>
          <w:b/>
          <w:bCs/>
        </w:rPr>
        <w:t>100,000+ calls/day at peak</w:t>
      </w:r>
      <w:r>
        <w:t xml:space="preserve">, and implemented QA, WFM, IVR redesign, reporting, micro-learning, and performance coaching. Outcomes included a </w:t>
      </w:r>
      <w:r>
        <w:rPr>
          <w:b/>
          <w:bCs/>
        </w:rPr>
        <w:t>53% reduction in hold time</w:t>
      </w:r>
      <w:r>
        <w:t xml:space="preserve">, </w:t>
      </w:r>
      <w:r>
        <w:rPr>
          <w:b/>
          <w:bCs/>
        </w:rPr>
        <w:t>75% reduction in Tier 2 escalations</w:t>
      </w:r>
      <w:r>
        <w:t xml:space="preserve">, and improved empathy and call-closing quality. </w:t>
      </w:r>
      <w:r>
        <w:rPr>
          <w:color w:val="C00000"/>
        </w:rPr>
        <w:t>Proof for: WFM, QA, training, and high-volume surge stabilization.</w:t>
      </w:r>
    </w:p>
    <w:p w14:paraId="62318B72" w14:textId="77777777" w:rsidR="00715790" w:rsidRDefault="00715790" w:rsidP="00D93F37">
      <w:pPr>
        <w:pStyle w:val="CommentText"/>
        <w:numPr>
          <w:ilvl w:val="0"/>
          <w:numId w:val="31"/>
        </w:numPr>
      </w:pPr>
      <w:r>
        <w:rPr>
          <w:b/>
          <w:bCs/>
        </w:rPr>
        <w:t>Pandemic Electronic Benefits Transfer (District of Columbia)</w:t>
      </w:r>
      <w:r>
        <w:br/>
        <w:t xml:space="preserve">Deloitte set up, staffed, trained, and launched a contact center in </w:t>
      </w:r>
      <w:r>
        <w:rPr>
          <w:b/>
          <w:bCs/>
        </w:rPr>
        <w:t>25 days</w:t>
      </w:r>
      <w:r>
        <w:t xml:space="preserve">, implemented a cloud-based solution in </w:t>
      </w:r>
      <w:r>
        <w:rPr>
          <w:b/>
          <w:bCs/>
        </w:rPr>
        <w:t>5 weeks</w:t>
      </w:r>
      <w:r>
        <w:t xml:space="preserve">, handled nearly </w:t>
      </w:r>
      <w:r>
        <w:rPr>
          <w:b/>
          <w:bCs/>
        </w:rPr>
        <w:t>24,000 calls</w:t>
      </w:r>
      <w:r>
        <w:t xml:space="preserve">, and supported an end-to-end managed service model with QA, command center oversight, and reporting. </w:t>
      </w:r>
      <w:r>
        <w:rPr>
          <w:color w:val="C00000"/>
        </w:rPr>
        <w:t>Proof for: government integration, contact-center launch discipline, and back-office linkage</w:t>
      </w:r>
      <w:r>
        <w:t>.</w:t>
      </w:r>
    </w:p>
  </w:comment>
  <w:comment w:id="67" w:author="Krause Schmidt, Phil" w:date="2026-04-25T20:37:00Z" w:initials="PK">
    <w:p w14:paraId="6BDB6368" w14:textId="77777777" w:rsidR="006908C8" w:rsidRDefault="006908C8" w:rsidP="006908C8">
      <w:pPr>
        <w:pStyle w:val="CommentText"/>
      </w:pPr>
      <w:r>
        <w:rPr>
          <w:rStyle w:val="CommentReference"/>
        </w:rPr>
        <w:annotationRef/>
      </w:r>
      <w:r>
        <w:t>May need approval for federal proof points</w:t>
      </w:r>
    </w:p>
  </w:comment>
  <w:comment w:id="69" w:author="Tibbetts, William" w:date="2026-04-27T07:38:00Z" w:initials="TW">
    <w:p w14:paraId="790C2EBE" w14:textId="78EEDEF2" w:rsidR="007004CD" w:rsidRDefault="007004CD">
      <w:pPr>
        <w:pStyle w:val="CommentText"/>
      </w:pPr>
      <w:r>
        <w:rPr>
          <w:rStyle w:val="CommentReference"/>
        </w:rPr>
        <w:annotationRef/>
      </w:r>
      <w:r w:rsidRPr="5F795B19">
        <w:t>I'd pick 1-2 of the strongest, most relevant and turn it into a callout box</w:t>
      </w:r>
    </w:p>
  </w:comment>
  <w:comment w:id="71" w:author="Waqar Chaudhry" w:date="2026-04-25T18:26:00Z" w:initials="WC">
    <w:p w14:paraId="63A5C210" w14:textId="77777777" w:rsidR="00C6190E" w:rsidRDefault="00C6190E" w:rsidP="00C6190E">
      <w:pPr>
        <w:pStyle w:val="CommentText"/>
      </w:pPr>
      <w:r>
        <w:rPr>
          <w:rStyle w:val="CommentReference"/>
        </w:rPr>
        <w:annotationRef/>
      </w:r>
      <w:r>
        <w:t>Need our graphic team to update this diagram to include EDA Core &amp; align with the Proposal theme</w:t>
      </w:r>
    </w:p>
  </w:comment>
  <w:comment w:id="72" w:author="Mwebaza, Justine" w:date="2026-04-26T21:32:00Z" w:initials="JM">
    <w:p w14:paraId="7471FBAC" w14:textId="190C562E" w:rsidR="00625471" w:rsidRDefault="00625471" w:rsidP="00625471">
      <w:pPr>
        <w:pStyle w:val="CommentText"/>
      </w:pPr>
      <w:r>
        <w:rPr>
          <w:rStyle w:val="CommentReference"/>
        </w:rPr>
        <w:annotationRef/>
      </w:r>
      <w:r>
        <w:fldChar w:fldCharType="begin"/>
      </w:r>
      <w:r>
        <w:instrText>HYPERLINK "mailto:abhabhatnagar@deloitte.com"</w:instrText>
      </w:r>
      <w:bookmarkStart w:id="73" w:name="_@_96CB9BECACF24DB28D6CADBAFBB3A989Z"/>
      <w:r>
        <w:fldChar w:fldCharType="separate"/>
      </w:r>
      <w:bookmarkEnd w:id="73"/>
      <w:r w:rsidRPr="00625471">
        <w:rPr>
          <w:rStyle w:val="Mention"/>
          <w:noProof/>
        </w:rPr>
        <w:t>@Bhatnagar, Abhas</w:t>
      </w:r>
      <w:r>
        <w:fldChar w:fldCharType="end"/>
      </w:r>
      <w:r>
        <w:t xml:space="preserve"> , add a callout box and add this placeholder text in it - Title = Proof Point Heading - delete this section when callout box is in place.</w:t>
      </w:r>
    </w:p>
  </w:comment>
  <w:comment w:id="79" w:author="Seibert, Samuel" w:date="2026-04-25T22:05:00Z" w:initials="SS">
    <w:p w14:paraId="2AC88344" w14:textId="6ABECF26" w:rsidR="00B53833" w:rsidRDefault="00B53833" w:rsidP="00B53833">
      <w:pPr>
        <w:pStyle w:val="CommentText"/>
      </w:pPr>
      <w:r>
        <w:rPr>
          <w:rStyle w:val="CommentReference"/>
        </w:rPr>
        <w:annotationRef/>
      </w:r>
      <w:r>
        <w:fldChar w:fldCharType="begin"/>
      </w:r>
      <w:r>
        <w:instrText>HYPERLINK "mailto:ngummo@deloitte.com"</w:instrText>
      </w:r>
      <w:bookmarkStart w:id="80" w:name="_@_663A227597454871B8713194E8F15669Z"/>
      <w:r>
        <w:fldChar w:fldCharType="separate"/>
      </w:r>
      <w:bookmarkEnd w:id="80"/>
      <w:r w:rsidRPr="00B53833">
        <w:rPr>
          <w:rStyle w:val="Mention"/>
          <w:noProof/>
        </w:rPr>
        <w:t>@Gummo, Nick</w:t>
      </w:r>
      <w:r>
        <w:fldChar w:fldCharType="end"/>
      </w:r>
      <w:r>
        <w:t xml:space="preserve"> </w:t>
      </w:r>
    </w:p>
  </w:comment>
  <w:comment w:id="82" w:author="Jain, Rajat" w:date="2026-04-23T22:32:00Z" w:initials="RJ">
    <w:p w14:paraId="3355737C" w14:textId="5ABEBD20" w:rsidR="002A7A97" w:rsidRDefault="002A7A97" w:rsidP="002A7A97">
      <w:pPr>
        <w:pStyle w:val="CommentText"/>
      </w:pPr>
      <w:r>
        <w:rPr>
          <w:rStyle w:val="CommentReference"/>
        </w:rPr>
        <w:annotationRef/>
      </w:r>
      <w:r>
        <w:rPr>
          <w:b/>
          <w:bCs/>
        </w:rPr>
        <w:t xml:space="preserve">Attachment 2 - </w:t>
      </w:r>
      <w:r>
        <w:rPr>
          <w:b/>
          <w:bCs/>
          <w:color w:val="000000"/>
        </w:rPr>
        <w:t>VOLUME I: Sub-Section 1C: Understanding and Mitigation of Risks</w:t>
      </w:r>
      <w:r>
        <w:rPr>
          <w:b/>
          <w:bCs/>
        </w:rPr>
        <w:t>, Pg 5</w:t>
      </w:r>
    </w:p>
    <w:p w14:paraId="703C2BEB" w14:textId="77777777" w:rsidR="002A7A97" w:rsidRDefault="002A7A97" w:rsidP="002A7A97">
      <w:pPr>
        <w:pStyle w:val="CommentText"/>
      </w:pPr>
    </w:p>
    <w:p w14:paraId="4F6DC856" w14:textId="77777777" w:rsidR="002A7A97" w:rsidRDefault="002A7A97" w:rsidP="002A7A97">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p w14:paraId="41AB6FB9" w14:textId="77777777" w:rsidR="002A7A97" w:rsidRDefault="002A7A97" w:rsidP="002A7A97">
      <w:pPr>
        <w:pStyle w:val="CommentText"/>
      </w:pPr>
    </w:p>
    <w:p w14:paraId="68E9D5EF" w14:textId="77777777" w:rsidR="002A7A97" w:rsidRDefault="002A7A97" w:rsidP="002A7A97">
      <w:pPr>
        <w:pStyle w:val="CommentText"/>
      </w:pPr>
      <w:r>
        <w:rPr>
          <w:b/>
          <w:bCs/>
          <w:color w:val="000000"/>
        </w:rPr>
        <w:t>Attachment 2 - VOLUME I:Technical Evaluation Factor 1, Pg 21</w:t>
      </w:r>
    </w:p>
    <w:p w14:paraId="6DC127D5" w14:textId="77777777" w:rsidR="002A7A97" w:rsidRDefault="002A7A97" w:rsidP="002A7A97">
      <w:pPr>
        <w:pStyle w:val="CommentText"/>
      </w:pPr>
    </w:p>
    <w:p w14:paraId="262219CE" w14:textId="77777777" w:rsidR="002A7A97" w:rsidRDefault="002A7A97" w:rsidP="002A7A97">
      <w:pPr>
        <w:pStyle w:val="CommentText"/>
      </w:pPr>
      <w:r>
        <w:rPr>
          <w:color w:val="000000"/>
        </w:rPr>
        <w:t xml:space="preserve">The evaluation will focus on the following elements:Understanding and Mitigation of Risks </w:t>
      </w:r>
    </w:p>
    <w:p w14:paraId="0544BE65" w14:textId="77777777" w:rsidR="002A7A97" w:rsidRDefault="002A7A97" w:rsidP="002A7A97">
      <w:pPr>
        <w:pStyle w:val="CommentText"/>
      </w:pPr>
    </w:p>
    <w:p w14:paraId="3B144B32" w14:textId="77777777" w:rsidR="002A7A97" w:rsidRDefault="002A7A97" w:rsidP="002A7A97">
      <w:pPr>
        <w:pStyle w:val="CommentText"/>
      </w:pPr>
    </w:p>
  </w:comment>
  <w:comment w:id="83" w:author="Fields, April" w:date="2026-04-23T12:59:00Z" w:initials="AF">
    <w:p w14:paraId="7CCE8EE8" w14:textId="77777777" w:rsidR="00ED6381" w:rsidRDefault="00ED6381" w:rsidP="00ED6381">
      <w:pPr>
        <w:pStyle w:val="CommentText"/>
      </w:pPr>
      <w:r>
        <w:rPr>
          <w:rStyle w:val="CommentReference"/>
        </w:rPr>
        <w:annotationRef/>
      </w:r>
      <w:r>
        <w:rPr>
          <w:b/>
          <w:bCs/>
          <w:color w:val="000000"/>
        </w:rPr>
        <w:t xml:space="preserve">Sub-Section 1C: Understanding and Mitigation of Risks </w:t>
      </w:r>
    </w:p>
    <w:p w14:paraId="22DF345D" w14:textId="77777777" w:rsidR="00ED6381" w:rsidRDefault="00ED6381" w:rsidP="00ED6381">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comment>
  <w:comment w:id="86" w:author="Jain, Rajat" w:date="2026-04-23T22:38:00Z" w:initials="RJ">
    <w:p w14:paraId="6177CCC9" w14:textId="77777777" w:rsidR="00044EEF" w:rsidRDefault="00044EEF" w:rsidP="00044EEF">
      <w:pPr>
        <w:pStyle w:val="CommentText"/>
      </w:pPr>
      <w:r>
        <w:rPr>
          <w:rStyle w:val="CommentReference"/>
        </w:rPr>
        <w:annotationRef/>
      </w:r>
      <w:r>
        <w:rPr>
          <w:b/>
          <w:bCs/>
        </w:rPr>
        <w:t xml:space="preserve">Attachment 2 - </w:t>
      </w:r>
      <w:r>
        <w:rPr>
          <w:b/>
          <w:bCs/>
          <w:color w:val="000000"/>
        </w:rPr>
        <w:t>VOLUME I, Sub-Section 2A: Management Approach, Pg5,6</w:t>
      </w:r>
    </w:p>
    <w:p w14:paraId="4BF819E1" w14:textId="77777777" w:rsidR="00044EEF" w:rsidRDefault="00044EEF" w:rsidP="00044EEF">
      <w:pPr>
        <w:pStyle w:val="CommentText"/>
      </w:pPr>
    </w:p>
    <w:p w14:paraId="0805A4EF" w14:textId="77777777" w:rsidR="00044EEF" w:rsidRDefault="00044EEF" w:rsidP="00044EEF">
      <w:pPr>
        <w:pStyle w:val="CommentText"/>
      </w:pPr>
      <w:r>
        <w:rPr>
          <w:color w:val="000000"/>
        </w:rPr>
        <w:t xml:space="preserve">The Offeror shall propose a comprehensive management approach with sufficient level of detail to demonstrate how all the work under this task will be performed, monitored, and controlled, which shall cover all the aspects of the project management knowledge. The narrative shall include Project Implementation and Oversight, Financial Planning and Management, Risk Planning and Mitigation, Issue Resolution, and Communications with all stakeholders, consistent with Task 1 requirements. The narrative of the Offeror’s management approach shall address appropriate areas of Task 1: Program Implementation and Oversight (PI&amp;O), Task 11: Transition-Out and Task 12: Transition-In, as described in the SOW. Management approach shall address the procedures to be employed in handling a number of different tasks that are proceeding simultaneously. It shall indicate if any of the tasks of the task order will be subcontracted and how any subcontractor work will be monitored. </w:t>
      </w:r>
    </w:p>
    <w:p w14:paraId="5B951048" w14:textId="77777777" w:rsidR="00044EEF" w:rsidRDefault="00044EEF" w:rsidP="00044EEF">
      <w:pPr>
        <w:pStyle w:val="CommentText"/>
      </w:pPr>
      <w:r>
        <w:rPr>
          <w:color w:val="000000"/>
        </w:rPr>
        <w:t xml:space="preserve">At a minimum, the Offeror shall provide the following: </w:t>
      </w:r>
    </w:p>
    <w:p w14:paraId="009E817D" w14:textId="77777777" w:rsidR="00044EEF" w:rsidRDefault="00044EEF" w:rsidP="00044EEF">
      <w:pPr>
        <w:pStyle w:val="CommentText"/>
      </w:pPr>
      <w:r>
        <w:rPr>
          <w:color w:val="000000"/>
        </w:rPr>
        <w:t xml:space="preserve">• Scope management: processes required to ensure that the project covers all the </w:t>
      </w:r>
    </w:p>
    <w:p w14:paraId="5BDA3807" w14:textId="77777777" w:rsidR="00044EEF" w:rsidRDefault="00044EEF" w:rsidP="00044EEF">
      <w:pPr>
        <w:pStyle w:val="CommentText"/>
      </w:pPr>
    </w:p>
    <w:p w14:paraId="5DA45768" w14:textId="77777777" w:rsidR="00044EEF" w:rsidRDefault="00044EEF" w:rsidP="00044EEF">
      <w:pPr>
        <w:pStyle w:val="CommentText"/>
      </w:pPr>
      <w:r>
        <w:rPr>
          <w:color w:val="000000"/>
        </w:rPr>
        <w:t xml:space="preserve">required work, tools, and techniques used to manage the project scope, including identifying any problems and/or changes within the structure of the work plan. • Time management: processes required to ensure a timely completion of the activities and deliverables, and corrective actions that might be required to bring expected future schedule performance in line with the project plan to ensure completion of project milestones on time. </w:t>
      </w:r>
    </w:p>
    <w:p w14:paraId="04BA278C" w14:textId="77777777" w:rsidR="00044EEF" w:rsidRDefault="00044EEF" w:rsidP="00044EEF">
      <w:pPr>
        <w:pStyle w:val="CommentText"/>
      </w:pPr>
      <w:r>
        <w:rPr>
          <w:color w:val="000000"/>
        </w:rPr>
        <w:t xml:space="preserve">• Cost management: processes required to ensure that the project is completed within the approved budget; includes budget monitoring, cost control, detecting and understanding variances (if any) and providing explanation and corrective action for those variances. </w:t>
      </w:r>
    </w:p>
    <w:p w14:paraId="748BD583" w14:textId="77777777" w:rsidR="00044EEF" w:rsidRDefault="00044EEF" w:rsidP="00044EEF">
      <w:pPr>
        <w:pStyle w:val="CommentText"/>
      </w:pPr>
      <w:r>
        <w:rPr>
          <w:color w:val="000000"/>
        </w:rPr>
        <w:t xml:space="preserve">• Communication management: protocol required to set up the lines of communication and ensure timely and appropriate generation, collection, dissemination, storage, and ultimate disposition of project information; includes the methodology for communicating status, issues, and risks to CMS, through the COR. </w:t>
      </w:r>
    </w:p>
    <w:p w14:paraId="338AF083" w14:textId="77777777" w:rsidR="00044EEF" w:rsidRDefault="00044EEF" w:rsidP="00044EEF">
      <w:pPr>
        <w:pStyle w:val="CommentText"/>
      </w:pPr>
      <w:r>
        <w:rPr>
          <w:color w:val="000000"/>
        </w:rPr>
        <w:t xml:space="preserve">• Information Security and Privacy management: processes to ensure that sensitive data such as Personally Identifiable Information (PII), Protected Health Information (PHI), financial data, and other sensitive information internal to CMS will be protected. </w:t>
      </w:r>
    </w:p>
    <w:p w14:paraId="7439970C" w14:textId="77777777" w:rsidR="00044EEF" w:rsidRDefault="00044EEF" w:rsidP="00044EEF">
      <w:pPr>
        <w:pStyle w:val="CommentText"/>
      </w:pPr>
      <w:r>
        <w:rPr>
          <w:color w:val="000000"/>
        </w:rPr>
        <w:t xml:space="preserve">• Indication if any of the tasks will be subcontracted and how any subcontractor work will be monitored and controlled. </w:t>
      </w:r>
    </w:p>
    <w:p w14:paraId="60648FCF" w14:textId="77777777" w:rsidR="00044EEF" w:rsidRDefault="00044EEF" w:rsidP="00044EEF">
      <w:pPr>
        <w:pStyle w:val="CommentText"/>
      </w:pPr>
      <w:r>
        <w:rPr>
          <w:color w:val="000000"/>
        </w:rPr>
        <w:t xml:space="preserve">• Key milestones for each task, and target dates by which these milestones will be reached as applicable. </w:t>
      </w:r>
    </w:p>
    <w:p w14:paraId="0CEDDA22" w14:textId="77777777" w:rsidR="00044EEF" w:rsidRDefault="00044EEF" w:rsidP="00044EEF">
      <w:pPr>
        <w:pStyle w:val="CommentText"/>
      </w:pPr>
      <w:r>
        <w:rPr>
          <w:color w:val="000000"/>
        </w:rPr>
        <w:t xml:space="preserve">• An organizational chart that clearly provides an understanding of the roles and responsibilities and placement of proposed personnel. In the event the Offeror utilizes subcontractors, the organizational chart shall identify which staff are subcontractors, and/or which tasks will be subcontracted. In addition, provide designation of labor categories with key personnel noted and the geographic location of each individual—city, state. </w:t>
      </w:r>
    </w:p>
    <w:p w14:paraId="1BD60D57" w14:textId="77777777" w:rsidR="00044EEF" w:rsidRDefault="00044EEF" w:rsidP="00044EEF">
      <w:pPr>
        <w:pStyle w:val="CommentText"/>
      </w:pPr>
      <w:r>
        <w:rPr>
          <w:color w:val="000000"/>
        </w:rPr>
        <w:t xml:space="preserve">• Transition-In Plan for transferring knowledge from the incumbent contractor to ensure a seamless transition and ensure that operations are not impaired. </w:t>
      </w:r>
    </w:p>
    <w:p w14:paraId="7DCA84EA" w14:textId="77777777" w:rsidR="00044EEF" w:rsidRDefault="00044EEF" w:rsidP="00044EEF">
      <w:pPr>
        <w:pStyle w:val="CommentText"/>
      </w:pPr>
      <w:r>
        <w:rPr>
          <w:color w:val="000000"/>
        </w:rPr>
        <w:t xml:space="preserve">• Transition-Out Plan for handing over work to an incoming contractor or to CMS, to ensure a seamless transition and ensure that operations are not impaired. </w:t>
      </w:r>
    </w:p>
    <w:p w14:paraId="5D59FBB1" w14:textId="77777777" w:rsidR="00044EEF" w:rsidRDefault="00044EEF" w:rsidP="00044EEF">
      <w:pPr>
        <w:pStyle w:val="CommentText"/>
      </w:pPr>
    </w:p>
    <w:p w14:paraId="6019AAB6" w14:textId="77777777" w:rsidR="00044EEF" w:rsidRDefault="00044EEF" w:rsidP="00044EEF">
      <w:pPr>
        <w:pStyle w:val="CommentText"/>
      </w:pPr>
      <w:r>
        <w:rPr>
          <w:b/>
          <w:bCs/>
          <w:color w:val="000000"/>
        </w:rPr>
        <w:t>VOLUME I: Technical Evaluation Factor 2 - Management Approach, Quality Assurance and Staffing Plan, Pg 21</w:t>
      </w:r>
    </w:p>
    <w:p w14:paraId="53B6FA28" w14:textId="77777777" w:rsidR="00044EEF" w:rsidRDefault="00044EEF" w:rsidP="00044EEF">
      <w:pPr>
        <w:pStyle w:val="CommentText"/>
      </w:pPr>
    </w:p>
    <w:p w14:paraId="2DA7BBE8" w14:textId="77777777" w:rsidR="00044EEF" w:rsidRDefault="00044EEF" w:rsidP="00044EE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78FF257B" w14:textId="77777777" w:rsidR="00044EEF" w:rsidRDefault="00044EEF" w:rsidP="00044EEF">
      <w:pPr>
        <w:pStyle w:val="CommentText"/>
      </w:pPr>
      <w:r>
        <w:rPr>
          <w:color w:val="000000"/>
        </w:rPr>
        <w:t xml:space="preserve">• Sub-Factor 2A: Management Approach - Ability to develop and successfully execute the framework for managing the work under the contract. </w:t>
      </w:r>
    </w:p>
  </w:comment>
  <w:comment w:id="87" w:author="Scott, Katie" w:date="2026-04-27T08:02:00Z" w:initials="KS">
    <w:p w14:paraId="73D42258" w14:textId="77777777" w:rsidR="00952715" w:rsidRDefault="00952715" w:rsidP="00952715">
      <w:pPr>
        <w:pStyle w:val="CommentText"/>
      </w:pPr>
      <w:r>
        <w:rPr>
          <w:rStyle w:val="CommentReference"/>
        </w:rPr>
        <w:annotationRef/>
      </w:r>
      <w:r>
        <w:t>Let’s add a very short intro (3 sentences or so) to this overall section to set it up, prior to jumping right into Task 1.</w:t>
      </w:r>
    </w:p>
  </w:comment>
  <w:comment w:id="89" w:author="Scott, Katie" w:date="2026-04-27T08:08:00Z" w:initials="KS">
    <w:p w14:paraId="6BDF5640" w14:textId="77777777" w:rsidR="009210AC" w:rsidRDefault="009210AC" w:rsidP="009210AC">
      <w:pPr>
        <w:pStyle w:val="CommentText"/>
      </w:pPr>
      <w:r>
        <w:rPr>
          <w:rStyle w:val="CommentReference"/>
        </w:rPr>
        <w:annotationRef/>
      </w:r>
      <w:r>
        <w:t>There is some really good content to draw from in Task 1, but we have to go back to the fundamentals to organize it and address all aspects of Task 1 in the SOW: 1) Kickoff Meeting and PIOP, 2) Reporting Requirements (with the subsections), 3) Task Order Summary Report, 4) Weekly Meetings, 5) Periodic In-Person Meetings with CMS</w:t>
      </w:r>
    </w:p>
  </w:comment>
  <w:comment w:id="90" w:author="Losito, Erica" w:date="2026-04-24T12:14:00Z" w:initials="EL">
    <w:p w14:paraId="332D4808" w14:textId="77777777" w:rsidR="004A3D30" w:rsidRDefault="004A3D30" w:rsidP="004A3D30">
      <w:pPr>
        <w:pStyle w:val="CommentText"/>
      </w:pPr>
      <w:r>
        <w:rPr>
          <w:rStyle w:val="CommentReference"/>
        </w:rPr>
        <w:annotationRef/>
      </w:r>
      <w:r>
        <w:t>Either need a call out box with past performance (where we’ve managed similarly complex CMS contracts) or include some examples in-line</w:t>
      </w:r>
    </w:p>
  </w:comment>
  <w:comment w:id="91" w:author="Losito, Erica" w:date="2026-04-24T12:14:00Z" w:initials="EL">
    <w:p w14:paraId="4371E9D9" w14:textId="77777777" w:rsidR="00C46180" w:rsidRDefault="00C46180" w:rsidP="00C46180">
      <w:pPr>
        <w:pStyle w:val="CommentText"/>
      </w:pPr>
      <w:r>
        <w:rPr>
          <w:rStyle w:val="CommentReference"/>
        </w:rPr>
        <w:annotationRef/>
      </w:r>
      <w:r>
        <w:t>And talk about where we’ve successfully brought our teaming partners along in the past</w:t>
      </w:r>
    </w:p>
  </w:comment>
  <w:comment w:id="92" w:author="Scott, Katie" w:date="2026-04-27T08:03:00Z" w:initials="KS">
    <w:p w14:paraId="5B851AAE" w14:textId="77777777" w:rsidR="00887F22" w:rsidRDefault="00887F22" w:rsidP="00887F22">
      <w:pPr>
        <w:pStyle w:val="CommentText"/>
      </w:pPr>
      <w:r>
        <w:rPr>
          <w:rStyle w:val="CommentReference"/>
        </w:rPr>
        <w:annotationRef/>
      </w:r>
      <w:r>
        <w:t>I think we can delete this full paragraph. I think it’s mostly filler language. Given the tight pages, we need to be succinct and really focus on the ‘how’ and why it benefits CMS.</w:t>
      </w:r>
    </w:p>
  </w:comment>
  <w:comment w:id="93" w:author="Bowman, Kelly" w:date="2026-04-27T08:09:00Z" w:initials="KB">
    <w:p w14:paraId="214DC1B4" w14:textId="77777777" w:rsidR="00241FD6" w:rsidRDefault="00241FD6" w:rsidP="00241FD6">
      <w:pPr>
        <w:pStyle w:val="CommentText"/>
      </w:pPr>
      <w:r>
        <w:rPr>
          <w:rStyle w:val="CommentReference"/>
        </w:rPr>
        <w:annotationRef/>
      </w:r>
      <w:r>
        <w:t>agree</w:t>
      </w:r>
    </w:p>
  </w:comment>
  <w:comment w:id="94" w:author="Bowman, Kelly" w:date="2026-04-27T08:10:00Z" w:initials="KB">
    <w:p w14:paraId="62516CE6" w14:textId="77777777" w:rsidR="008313B5" w:rsidRDefault="00241FD6" w:rsidP="008313B5">
      <w:pPr>
        <w:pStyle w:val="CommentText"/>
      </w:pPr>
      <w:r>
        <w:rPr>
          <w:rStyle w:val="CommentReference"/>
        </w:rPr>
        <w:annotationRef/>
      </w:r>
      <w:r w:rsidR="008313B5">
        <w:t>These next two paragraphs needs to be combined into a few sentences, let’s get into what our management approach is</w:t>
      </w:r>
    </w:p>
    <w:p w14:paraId="68CB914A" w14:textId="77777777" w:rsidR="008313B5" w:rsidRDefault="008313B5" w:rsidP="008313B5">
      <w:pPr>
        <w:pStyle w:val="CommentText"/>
      </w:pPr>
    </w:p>
    <w:p w14:paraId="1725078B" w14:textId="77777777" w:rsidR="008313B5" w:rsidRDefault="008313B5" w:rsidP="008313B5">
      <w:pPr>
        <w:pStyle w:val="CommentText"/>
      </w:pPr>
      <w:r>
        <w:t>Start w - X will lead the management of this program, applying PMBOK principles and using PIOP as the mgmt instrument. This section is not about understanding, but about approach, so get into that quickly</w:t>
      </w:r>
    </w:p>
  </w:comment>
  <w:comment w:id="95" w:author="Bowman, Kelly" w:date="2026-04-27T08:22:00Z" w:initials="KB">
    <w:p w14:paraId="3972C891" w14:textId="77777777" w:rsidR="008313B5" w:rsidRDefault="008313B5" w:rsidP="008313B5">
      <w:pPr>
        <w:pStyle w:val="CommentText"/>
      </w:pPr>
      <w:r>
        <w:rPr>
          <w:rStyle w:val="CommentReference"/>
        </w:rPr>
        <w:annotationRef/>
      </w:r>
      <w:r>
        <w:t>The table has a lot of wasted space. Each section (scope management, time management, etc.) should have it’s own row to make the two column approach have less white space</w:t>
      </w:r>
    </w:p>
  </w:comment>
  <w:comment w:id="96" w:author="Losito, Erica" w:date="2026-04-24T12:16:00Z" w:initials="EL">
    <w:p w14:paraId="320B7060" w14:textId="7A809FAD" w:rsidR="009A2A60" w:rsidRDefault="009E3168" w:rsidP="009A2A60">
      <w:pPr>
        <w:pStyle w:val="CommentText"/>
      </w:pPr>
      <w:r>
        <w:rPr>
          <w:rStyle w:val="CommentReference"/>
        </w:rPr>
        <w:annotationRef/>
      </w:r>
      <w:r w:rsidR="009A2A60">
        <w:t>This would be better served as a graphic. See examples below</w:t>
      </w:r>
    </w:p>
  </w:comment>
  <w:comment w:id="97" w:author="Losito, Erica" w:date="2026-04-24T12:10:00Z" w:initials="EL">
    <w:p w14:paraId="4DB6B04E" w14:textId="5CC33D35" w:rsidR="00DF1400" w:rsidRDefault="00DF1400" w:rsidP="00DF1400">
      <w:pPr>
        <w:pStyle w:val="CommentText"/>
      </w:pPr>
      <w:r>
        <w:rPr>
          <w:rStyle w:val="CommentReference"/>
        </w:rPr>
        <w:annotationRef/>
      </w:r>
      <w:r>
        <w:t>Can we reference it here but have it included in 2C?</w:t>
      </w:r>
    </w:p>
  </w:comment>
  <w:comment w:id="98" w:author="Losito, Erica" w:date="2026-04-24T13:20:00Z" w:initials="EL">
    <w:p w14:paraId="40696C92" w14:textId="77777777" w:rsidR="00306A9C" w:rsidRDefault="00306A9C" w:rsidP="00306A9C">
      <w:pPr>
        <w:pStyle w:val="CommentText"/>
      </w:pPr>
      <w:r>
        <w:rPr>
          <w:rStyle w:val="CommentReference"/>
        </w:rPr>
        <w:annotationRef/>
      </w:r>
      <w:r>
        <w:t>Or reference section 1C</w:t>
      </w:r>
    </w:p>
  </w:comment>
  <w:comment w:id="102" w:author="Losito, Erica" w:date="2026-04-24T13:07:00Z" w:initials="EL">
    <w:p w14:paraId="28CE2CE2" w14:textId="77777777" w:rsidR="001677A6" w:rsidRDefault="001677A6" w:rsidP="001677A6">
      <w:pPr>
        <w:pStyle w:val="CommentText"/>
      </w:pPr>
      <w:r>
        <w:rPr>
          <w:rStyle w:val="CommentReference"/>
        </w:rPr>
        <w:annotationRef/>
      </w:r>
      <w:r>
        <w:t>Are these examples we want to use?</w:t>
      </w:r>
    </w:p>
  </w:comment>
  <w:comment w:id="104" w:author="Jain, Rajat" w:date="2026-04-23T22:41:00Z" w:initials="RJ">
    <w:p w14:paraId="205E476F" w14:textId="0F9C7C33" w:rsidR="000F5F6F" w:rsidRDefault="000F5F6F" w:rsidP="000F5F6F">
      <w:pPr>
        <w:pStyle w:val="CommentText"/>
      </w:pPr>
      <w:r>
        <w:rPr>
          <w:rStyle w:val="CommentReference"/>
        </w:rPr>
        <w:annotationRef/>
      </w:r>
      <w:r>
        <w:rPr>
          <w:b/>
          <w:bCs/>
        </w:rPr>
        <w:t xml:space="preserve">Attachment 2 - </w:t>
      </w:r>
      <w:r>
        <w:rPr>
          <w:b/>
          <w:bCs/>
          <w:color w:val="000000"/>
        </w:rPr>
        <w:t>VOLUME I, Sub-Section 2B: Quality Assurance Approach , Pg 6</w:t>
      </w:r>
    </w:p>
    <w:p w14:paraId="5BE72645" w14:textId="77777777" w:rsidR="000F5F6F" w:rsidRDefault="000F5F6F" w:rsidP="000F5F6F">
      <w:pPr>
        <w:pStyle w:val="CommentText"/>
      </w:pPr>
    </w:p>
    <w:p w14:paraId="4DB400B4" w14:textId="77777777" w:rsidR="000F5F6F" w:rsidRDefault="000F5F6F" w:rsidP="000F5F6F">
      <w:pPr>
        <w:pStyle w:val="CommentText"/>
      </w:pPr>
      <w:r>
        <w:rPr>
          <w:color w:val="000000"/>
        </w:rPr>
        <w:t xml:space="preserve">The Offeror shall propose a Quality Assurance methodology to be used to ensure that quality services and products that meet the Government’s requirements will be provided during the task order performance. The Quality Assurance approach shall address, but is not limited to addressing, the following: </w:t>
      </w:r>
    </w:p>
    <w:p w14:paraId="0D8BD8DA" w14:textId="77777777" w:rsidR="000F5F6F" w:rsidRDefault="000F5F6F" w:rsidP="000F5F6F">
      <w:pPr>
        <w:pStyle w:val="CommentText"/>
      </w:pPr>
      <w:r>
        <w:rPr>
          <w:color w:val="000000"/>
        </w:rPr>
        <w:t xml:space="preserve">• Performance Management and Quality Control Methodologies and Approach </w:t>
      </w:r>
    </w:p>
    <w:p w14:paraId="490AE668" w14:textId="77777777" w:rsidR="000F5F6F" w:rsidRDefault="000F5F6F" w:rsidP="000F5F6F">
      <w:pPr>
        <w:pStyle w:val="CommentText"/>
      </w:pPr>
      <w:r>
        <w:rPr>
          <w:color w:val="000000"/>
        </w:rPr>
        <w:t xml:space="preserve">• Performance Controls and Monitoring Techniques </w:t>
      </w:r>
    </w:p>
    <w:p w14:paraId="4235FAFF" w14:textId="77777777" w:rsidR="000F5F6F" w:rsidRDefault="000F5F6F" w:rsidP="000F5F6F">
      <w:pPr>
        <w:pStyle w:val="CommentText"/>
      </w:pPr>
      <w:r>
        <w:rPr>
          <w:color w:val="000000"/>
        </w:rPr>
        <w:t xml:space="preserve">• Roles and Responsibilities of individuals accountable for Quality Control </w:t>
      </w:r>
    </w:p>
    <w:p w14:paraId="2BEAF2F6" w14:textId="77777777" w:rsidR="000F5F6F" w:rsidRDefault="000F5F6F" w:rsidP="000F5F6F">
      <w:pPr>
        <w:pStyle w:val="CommentText"/>
      </w:pPr>
      <w:r>
        <w:rPr>
          <w:color w:val="000000"/>
        </w:rPr>
        <w:t xml:space="preserve">• Acceptable Quality Levels </w:t>
      </w:r>
    </w:p>
    <w:p w14:paraId="6F77978A" w14:textId="77777777" w:rsidR="000F5F6F" w:rsidRDefault="000F5F6F" w:rsidP="000F5F6F">
      <w:pPr>
        <w:pStyle w:val="CommentText"/>
      </w:pPr>
      <w:r>
        <w:rPr>
          <w:color w:val="000000"/>
        </w:rPr>
        <w:t xml:space="preserve">• Performance Analysis of the Contractor’s work </w:t>
      </w:r>
    </w:p>
    <w:p w14:paraId="59FD709C" w14:textId="77777777" w:rsidR="000F5F6F" w:rsidRDefault="000F5F6F" w:rsidP="000F5F6F">
      <w:pPr>
        <w:pStyle w:val="CommentText"/>
      </w:pPr>
      <w:r>
        <w:rPr>
          <w:color w:val="000000"/>
        </w:rPr>
        <w:t xml:space="preserve">• Performance Reporting </w:t>
      </w:r>
    </w:p>
    <w:p w14:paraId="6AD5E4AA" w14:textId="77777777" w:rsidR="000F5F6F" w:rsidRDefault="000F5F6F" w:rsidP="000F5F6F">
      <w:pPr>
        <w:pStyle w:val="CommentText"/>
      </w:pPr>
      <w:r>
        <w:rPr>
          <w:color w:val="000000"/>
        </w:rPr>
        <w:t xml:space="preserve">• Performance Correction Mechanisms </w:t>
      </w:r>
    </w:p>
    <w:p w14:paraId="2AB23F5A" w14:textId="77777777" w:rsidR="000F5F6F" w:rsidRDefault="000F5F6F" w:rsidP="000F5F6F">
      <w:pPr>
        <w:pStyle w:val="CommentText"/>
      </w:pPr>
      <w:r>
        <w:rPr>
          <w:color w:val="000000"/>
        </w:rPr>
        <w:t xml:space="preserve">• Performance Metrics and Key Performance Indicators (KPIs) </w:t>
      </w:r>
    </w:p>
    <w:p w14:paraId="13352143" w14:textId="77777777" w:rsidR="000F5F6F" w:rsidRDefault="000F5F6F" w:rsidP="000F5F6F">
      <w:pPr>
        <w:pStyle w:val="CommentText"/>
      </w:pPr>
      <w:r>
        <w:rPr>
          <w:color w:val="000000"/>
        </w:rPr>
        <w:t xml:space="preserve">• Ensuring that the Service Level Agreements (SLAs) in the SOW are consistently maintained </w:t>
      </w:r>
    </w:p>
    <w:p w14:paraId="7849B857" w14:textId="77777777" w:rsidR="000F5F6F" w:rsidRDefault="000F5F6F" w:rsidP="000F5F6F">
      <w:pPr>
        <w:pStyle w:val="CommentText"/>
      </w:pPr>
      <w:r>
        <w:rPr>
          <w:color w:val="000000"/>
        </w:rPr>
        <w:t xml:space="preserve">• Ensuring QASP alignment to SLAs, AQLs, KPIs and define correction with escalation mechanisms. </w:t>
      </w:r>
    </w:p>
    <w:p w14:paraId="3F31D9DE" w14:textId="77777777" w:rsidR="000F5F6F" w:rsidRDefault="000F5F6F" w:rsidP="000F5F6F">
      <w:pPr>
        <w:pStyle w:val="CommentText"/>
      </w:pPr>
    </w:p>
    <w:p w14:paraId="767FE1A7" w14:textId="77777777" w:rsidR="000F5F6F" w:rsidRDefault="000F5F6F" w:rsidP="000F5F6F">
      <w:pPr>
        <w:pStyle w:val="CommentText"/>
      </w:pPr>
    </w:p>
    <w:p w14:paraId="2300B2DD" w14:textId="77777777" w:rsidR="000F5F6F" w:rsidRDefault="000F5F6F" w:rsidP="000F5F6F">
      <w:pPr>
        <w:pStyle w:val="CommentText"/>
      </w:pPr>
      <w:r>
        <w:rPr>
          <w:b/>
          <w:bCs/>
          <w:color w:val="000000"/>
        </w:rPr>
        <w:t>VOLUME I: Technical Evaluation Factor 2 - Management Approach, Quality Assurance and Staffing Plan, Pg 21</w:t>
      </w:r>
    </w:p>
    <w:p w14:paraId="6CDA910A" w14:textId="77777777" w:rsidR="000F5F6F" w:rsidRDefault="000F5F6F" w:rsidP="000F5F6F">
      <w:pPr>
        <w:pStyle w:val="CommentText"/>
      </w:pPr>
    </w:p>
    <w:p w14:paraId="17FB14C9" w14:textId="77777777" w:rsidR="000F5F6F" w:rsidRDefault="000F5F6F" w:rsidP="000F5F6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3A1C5EB7" w14:textId="77777777" w:rsidR="000F5F6F" w:rsidRDefault="000F5F6F" w:rsidP="000F5F6F">
      <w:pPr>
        <w:pStyle w:val="CommentText"/>
      </w:pPr>
      <w:r>
        <w:rPr>
          <w:color w:val="000000"/>
        </w:rPr>
        <w:t xml:space="preserve">Sub-Factor 2B: Quality Assurance Approach - Ability to monitor the quality of deliverables and operational support. </w:t>
      </w:r>
    </w:p>
  </w:comment>
  <w:comment w:id="105" w:author="Janesko, Sehreen" w:date="2026-04-25T13:36:00Z" w:initials="JS">
    <w:p w14:paraId="0B1F24E3" w14:textId="15CEE339" w:rsidR="009F6A3B" w:rsidRDefault="009F6A3B">
      <w:pPr>
        <w:pStyle w:val="CommentText"/>
      </w:pPr>
      <w:r>
        <w:rPr>
          <w:rStyle w:val="CommentReference"/>
        </w:rPr>
        <w:annotationRef/>
      </w:r>
      <w:r>
        <w:fldChar w:fldCharType="begin"/>
      </w:r>
      <w:r>
        <w:instrText xml:space="preserve"> HYPERLINK "mailto:moraut@deloitte.com"</w:instrText>
      </w:r>
      <w:bookmarkStart w:id="107" w:name="_@_0281B583A8464F55A0D8C8B2C3357A89Z"/>
      <w:r>
        <w:fldChar w:fldCharType="separate"/>
      </w:r>
      <w:bookmarkEnd w:id="107"/>
      <w:r w:rsidRPr="4B6AC878">
        <w:rPr>
          <w:noProof/>
        </w:rPr>
        <w:t>@Raut, Monica</w:t>
      </w:r>
      <w:r>
        <w:fldChar w:fldCharType="end"/>
      </w:r>
      <w:r w:rsidRPr="3A0F45B0">
        <w:t xml:space="preserve">  For now we have content split up by the subsection, should we aggregate the content here for easier flow?</w:t>
      </w:r>
    </w:p>
  </w:comment>
  <w:comment w:id="106" w:author="Janesko, Sehreen" w:date="2026-04-25T13:36:00Z" w:initials="JS">
    <w:p w14:paraId="24464175" w14:textId="5A73EEE8" w:rsidR="009F6A3B" w:rsidRDefault="009F6A3B">
      <w:pPr>
        <w:pStyle w:val="CommentText"/>
      </w:pPr>
      <w:r>
        <w:rPr>
          <w:rStyle w:val="CommentReference"/>
        </w:rPr>
        <w:annotationRef/>
      </w:r>
      <w:r w:rsidRPr="264D67B9">
        <w:t xml:space="preserve">Do we need to include a proposed QASP draft? or a formal QA plan? </w:t>
      </w:r>
    </w:p>
  </w:comment>
  <w:comment w:id="108" w:author="Scott, Katie" w:date="2026-04-27T08:24:00Z" w:initials="KS">
    <w:p w14:paraId="4F5C7654" w14:textId="77777777" w:rsidR="00DF0388" w:rsidRDefault="00DF0388" w:rsidP="00DF0388">
      <w:pPr>
        <w:pStyle w:val="CommentText"/>
      </w:pPr>
      <w:r>
        <w:rPr>
          <w:rStyle w:val="CommentReference"/>
        </w:rPr>
        <w:annotationRef/>
      </w:r>
      <w:r>
        <w:t>This section follows the requirements nicely, but there is no nuance or project examples/specifics - it reads like it could be cut and paste into any bid. We need to add nuance and example for this bid to make it tailored and resonate.</w:t>
      </w:r>
    </w:p>
  </w:comment>
  <w:comment w:id="110" w:author="Jain, Rajat" w:date="2026-04-23T22:45:00Z" w:initials="RJ">
    <w:p w14:paraId="438F27A6" w14:textId="77777777" w:rsidR="006828B1" w:rsidRDefault="006828B1" w:rsidP="006828B1">
      <w:pPr>
        <w:pStyle w:val="CommentText"/>
      </w:pPr>
      <w:r>
        <w:rPr>
          <w:rStyle w:val="CommentReference"/>
        </w:rPr>
        <w:annotationRef/>
      </w:r>
      <w:r>
        <w:rPr>
          <w:b/>
          <w:bCs/>
        </w:rPr>
        <w:t xml:space="preserve">Attachment 2 - </w:t>
      </w:r>
      <w:r>
        <w:rPr>
          <w:b/>
          <w:bCs/>
          <w:color w:val="000000"/>
        </w:rPr>
        <w:t>VOLUME I, Sub-Section 2C: Staffing Plan , Pg 7</w:t>
      </w:r>
    </w:p>
    <w:p w14:paraId="65F0F52D" w14:textId="77777777" w:rsidR="006828B1" w:rsidRDefault="006828B1" w:rsidP="006828B1">
      <w:pPr>
        <w:pStyle w:val="CommentText"/>
      </w:pPr>
    </w:p>
    <w:p w14:paraId="67FAB26F" w14:textId="77777777" w:rsidR="006828B1" w:rsidRDefault="006828B1" w:rsidP="006828B1">
      <w:pPr>
        <w:pStyle w:val="CommentText"/>
      </w:pPr>
      <w:r>
        <w:rPr>
          <w:color w:val="000000"/>
        </w:rPr>
        <w:t xml:space="preserve">Offerors shall demonstrate availability of appropriate staffing resources at all levels that have the applicable knowledge, experience, and ability to complete in parallel the wide range of tasks of this SOW including casework, development, maintenance, operations, stakeholder outreach, and technical assistance. The Offeror shall provide, but is not limited to providing, the following information: </w:t>
      </w:r>
    </w:p>
    <w:p w14:paraId="179C4C88" w14:textId="77777777" w:rsidR="006828B1" w:rsidRDefault="006828B1" w:rsidP="006828B1">
      <w:pPr>
        <w:pStyle w:val="CommentText"/>
      </w:pPr>
      <w:r>
        <w:rPr>
          <w:color w:val="000000"/>
        </w:rPr>
        <w:t xml:space="preserve">• A description of a workforce capable of delivering the SOW tasks and requirements, shown in terms of labor mix and subject matter expertise. Staffing shall be sensitive to, and specifically address, the range of requirements by program area. Staff shall have the requisite knowledge, skills, and experience specific to the tasks to which the staff have been assigned. </w:t>
      </w:r>
    </w:p>
    <w:p w14:paraId="6230A8B7" w14:textId="77777777" w:rsidR="006828B1" w:rsidRDefault="006828B1" w:rsidP="006828B1">
      <w:pPr>
        <w:pStyle w:val="CommentText"/>
      </w:pPr>
      <w:r>
        <w:rPr>
          <w:color w:val="000000"/>
        </w:rPr>
        <w:t xml:space="preserve">• A project resources management and staffing approach, including the processes to make the most effective use of the people involved with the project with the focus on recruitment and retention of qualified personnel with the right skillset and competencies. The staffing approach should describe the roles, responsibilities, and allocations of each staff resource assigned to the effort; the approach to transitioning staff between each life cycle phase; and the approach to estimating levels of resources required. </w:t>
      </w:r>
    </w:p>
    <w:p w14:paraId="7FC54DDE" w14:textId="77777777" w:rsidR="006828B1" w:rsidRDefault="006828B1" w:rsidP="006828B1">
      <w:pPr>
        <w:pStyle w:val="CommentText"/>
      </w:pPr>
      <w:r>
        <w:rPr>
          <w:color w:val="000000"/>
        </w:rPr>
        <w:t xml:space="preserve">• A description of all appropriate resources available, designating if they are currently on staff, prime or subcontractor, and how they will be utilized in the performance of the requirements and tasks stated in the SOW, including a matrix depicting labor hours by labor category and task (or subtask). </w:t>
      </w:r>
    </w:p>
    <w:p w14:paraId="4F49323C" w14:textId="77777777" w:rsidR="006828B1" w:rsidRDefault="006828B1" w:rsidP="006828B1">
      <w:pPr>
        <w:pStyle w:val="CommentText"/>
      </w:pPr>
      <w:r>
        <w:rPr>
          <w:color w:val="000000"/>
        </w:rPr>
        <w:t xml:space="preserve">• A description of how the Offeror proposes addressing surge support during peak operational periods (e.g., 1095-A support during Jan-May timeframes) while ensuring compliance with technical guidelines, security considerations, and ensuring staff have the appropriate subject matter expertise for the work as needed. </w:t>
      </w:r>
    </w:p>
    <w:p w14:paraId="461919EA" w14:textId="77777777" w:rsidR="006828B1" w:rsidRDefault="006828B1" w:rsidP="006828B1">
      <w:pPr>
        <w:pStyle w:val="CommentText"/>
      </w:pPr>
    </w:p>
    <w:p w14:paraId="4C03F1FC" w14:textId="77777777" w:rsidR="006828B1" w:rsidRDefault="006828B1" w:rsidP="006828B1">
      <w:pPr>
        <w:pStyle w:val="CommentText"/>
      </w:pPr>
    </w:p>
    <w:p w14:paraId="4E67316E" w14:textId="77777777" w:rsidR="006828B1" w:rsidRDefault="006828B1" w:rsidP="006828B1">
      <w:pPr>
        <w:pStyle w:val="CommentText"/>
      </w:pPr>
      <w:r>
        <w:rPr>
          <w:b/>
          <w:bCs/>
          <w:color w:val="000000"/>
        </w:rPr>
        <w:t>VOLUME I: Technical Evaluation Factor 2 - Management Approach, Quality Assurance and Staffing Plan, Pg 21</w:t>
      </w:r>
    </w:p>
    <w:p w14:paraId="67E01D7A" w14:textId="77777777" w:rsidR="006828B1" w:rsidRDefault="006828B1" w:rsidP="006828B1">
      <w:pPr>
        <w:pStyle w:val="CommentText"/>
      </w:pPr>
    </w:p>
    <w:p w14:paraId="1BD7CD54" w14:textId="77777777" w:rsidR="006828B1" w:rsidRDefault="006828B1" w:rsidP="006828B1">
      <w:pPr>
        <w:pStyle w:val="CommentText"/>
      </w:pPr>
      <w:r>
        <w:rPr>
          <w:color w:val="000000"/>
        </w:rPr>
        <w:t xml:space="preserve">The Government </w:t>
      </w:r>
      <w:r>
        <w:rPr>
          <w:b/>
          <w:bCs/>
          <w:color w:val="000000"/>
        </w:rPr>
        <w:t>will</w:t>
      </w:r>
      <w:r>
        <w:rPr>
          <w:color w:val="000000"/>
        </w:rPr>
        <w:t xml:space="preserve"> evaluate the soundness of the Offeror’s approach to managing contract work, as described in the SOW’s Task 1: Program Management, Task 11: Transition-Out and Task 12: Transition-In, and to ensure successful contract performance with specific focus on: </w:t>
      </w:r>
    </w:p>
    <w:p w14:paraId="03010398" w14:textId="77777777" w:rsidR="006828B1" w:rsidRDefault="006828B1" w:rsidP="006828B1">
      <w:pPr>
        <w:pStyle w:val="CommentText"/>
      </w:pPr>
      <w:r>
        <w:rPr>
          <w:color w:val="000000"/>
        </w:rPr>
        <w:t xml:space="preserve">Sub-Factor 2C: Staffing Plan - The labor mix, IT pool, division of work between the prime and sub-contractor, and the ability to ensure that senior, junior, and subject matter expert staff </w:t>
      </w:r>
      <w:r>
        <w:rPr>
          <w:b/>
          <w:bCs/>
          <w:color w:val="000000"/>
        </w:rPr>
        <w:t>will</w:t>
      </w:r>
      <w:r>
        <w:rPr>
          <w:color w:val="000000"/>
        </w:rPr>
        <w:t xml:space="preserve"> be readily available to fulfill operational tasks/sub tasks and address ad hoc requests. </w:t>
      </w:r>
    </w:p>
  </w:comment>
  <w:comment w:id="111" w:author="Scott, Katie" w:date="2026-04-27T08:26:00Z" w:initials="KS">
    <w:p w14:paraId="1483A522" w14:textId="77777777" w:rsidR="00C33993" w:rsidRDefault="00C33993" w:rsidP="00C33993">
      <w:pPr>
        <w:pStyle w:val="CommentText"/>
      </w:pPr>
      <w:r>
        <w:rPr>
          <w:rStyle w:val="CommentReference"/>
        </w:rPr>
        <w:annotationRef/>
      </w:r>
      <w:r>
        <w:t>Let’s take a step back to bullet out our key win themes/success factors for staffing. At the moment this is just restating the SOW.</w:t>
      </w:r>
    </w:p>
  </w:comment>
  <w:comment w:id="112" w:author="Tibbetts, William" w:date="2026-04-27T08:04:00Z" w:initials="TW">
    <w:p w14:paraId="5F26FC02" w14:textId="31703C3C" w:rsidR="005174ED" w:rsidRDefault="005174ED">
      <w:pPr>
        <w:pStyle w:val="CommentText"/>
      </w:pPr>
      <w:r>
        <w:rPr>
          <w:rStyle w:val="CommentReference"/>
        </w:rPr>
        <w:annotationRef/>
      </w:r>
      <w:r w:rsidRPr="00DBDC0D">
        <w:t>at some point we need to talk about our teammates and why they are on the team. This is a big benefit to CCIIO that we are completely missing</w:t>
      </w:r>
    </w:p>
  </w:comment>
  <w:comment w:id="113" w:author="Tibbetts, William" w:date="2026-04-27T07:57:00Z" w:initials="TW">
    <w:p w14:paraId="24B15D94" w14:textId="0F230D57" w:rsidR="00D2133E" w:rsidRDefault="00D2133E">
      <w:pPr>
        <w:pStyle w:val="CommentText"/>
      </w:pPr>
      <w:r>
        <w:rPr>
          <w:rStyle w:val="CommentReference"/>
        </w:rPr>
        <w:annotationRef/>
      </w:r>
      <w:r w:rsidRPr="4C3F7D5E">
        <w:t>Need to include Maximus as well. I also don't think we need to include their workshare percentage, but maybe what roles they will fill</w:t>
      </w:r>
    </w:p>
  </w:comment>
  <w:comment w:id="114" w:author="Scott, Katie" w:date="2026-04-27T08:27:00Z" w:initials="KS">
    <w:p w14:paraId="349381F7" w14:textId="77777777" w:rsidR="00956174" w:rsidRDefault="00956174" w:rsidP="00956174">
      <w:pPr>
        <w:pStyle w:val="CommentText"/>
      </w:pPr>
      <w:r>
        <w:rPr>
          <w:rStyle w:val="CommentReference"/>
        </w:rPr>
        <w:annotationRef/>
      </w:r>
      <w:r>
        <w:t>Let’s please not include any of this language that tells CMS what they told us.</w:t>
      </w:r>
    </w:p>
  </w:comment>
  <w:comment w:id="115" w:author="Tibbetts, William" w:date="2026-04-27T07:58:00Z" w:initials="TW">
    <w:p w14:paraId="4BE50C68" w14:textId="730772A6" w:rsidR="00033831" w:rsidRDefault="00033831">
      <w:pPr>
        <w:pStyle w:val="CommentText"/>
      </w:pPr>
      <w:r>
        <w:rPr>
          <w:rStyle w:val="CommentReference"/>
        </w:rPr>
        <w:annotationRef/>
      </w:r>
      <w:r w:rsidRPr="3DAB1D4A">
        <w:t>This reads as the RFP instructions, not our understanding</w:t>
      </w:r>
    </w:p>
  </w:comment>
  <w:comment w:id="116" w:author="Tibbetts, William" w:date="2026-04-27T07:59:00Z" w:initials="TW">
    <w:p w14:paraId="5D73DD2B" w14:textId="4D066A63" w:rsidR="000858B8" w:rsidRDefault="000858B8">
      <w:pPr>
        <w:pStyle w:val="CommentText"/>
      </w:pPr>
      <w:r>
        <w:rPr>
          <w:rStyle w:val="CommentReference"/>
        </w:rPr>
        <w:annotationRef/>
      </w:r>
      <w:r w:rsidRPr="170AA544">
        <w:t>These read like instructions from CMS, not our understanding/approach</w:t>
      </w:r>
    </w:p>
  </w:comment>
  <w:comment w:id="117" w:author="Tibbetts, William" w:date="2026-04-27T07:51:00Z" w:initials="TW">
    <w:p w14:paraId="2CFED3C9" w14:textId="05064970" w:rsidR="00A87F44" w:rsidRDefault="00A87F44">
      <w:pPr>
        <w:pStyle w:val="CommentText"/>
      </w:pPr>
      <w:r>
        <w:rPr>
          <w:rStyle w:val="CommentReference"/>
        </w:rPr>
        <w:annotationRef/>
      </w:r>
      <w:r w:rsidRPr="4EABC390">
        <w:t xml:space="preserve">We need to more explicitly write to this from the SOO: The Contractor shall plan to recruit, onboard, and train approximately 100-120 temporary case analysts and 4 temporary team leadership roles to handle the increase in Form 1095-A consumer disputes received during the tax season (January-May) and off board temporary cases analysts and team leads after the tax season. </w:t>
      </w:r>
    </w:p>
  </w:comment>
  <w:comment w:id="118" w:author="Tibbetts, William" w:date="2026-04-27T07:50:00Z" w:initials="TW">
    <w:p w14:paraId="1DF2C451" w14:textId="1EBC3868" w:rsidR="003F6A51" w:rsidRDefault="003F6A51">
      <w:pPr>
        <w:pStyle w:val="CommentText"/>
      </w:pPr>
      <w:r>
        <w:rPr>
          <w:rStyle w:val="CommentReference"/>
        </w:rPr>
        <w:annotationRef/>
      </w:r>
      <w:r w:rsidRPr="3FCA648A">
        <w:t>Could we use predictive analytics to help determine surge capacity needed?</w:t>
      </w:r>
    </w:p>
  </w:comment>
  <w:comment w:id="119" w:author="Tibbetts, William" w:date="2026-04-27T08:01:00Z" w:initials="TW">
    <w:p w14:paraId="3A4104C2" w14:textId="0C31EC74" w:rsidR="00B337A3" w:rsidRDefault="00B337A3">
      <w:pPr>
        <w:pStyle w:val="CommentText"/>
      </w:pPr>
      <w:r>
        <w:rPr>
          <w:rStyle w:val="CommentReference"/>
        </w:rPr>
        <w:annotationRef/>
      </w:r>
      <w:r w:rsidRPr="774EC8DC">
        <w:t>This also reads like instructions, not our understanding and approach</w:t>
      </w:r>
    </w:p>
  </w:comment>
  <w:comment w:id="122" w:author="Jain, Rajat" w:date="2026-04-23T22:50:00Z" w:initials="RJ">
    <w:p w14:paraId="265E269A" w14:textId="77777777" w:rsidR="00BA6A25" w:rsidRDefault="00BA6A25" w:rsidP="00BA6A25">
      <w:pPr>
        <w:pStyle w:val="CommentText"/>
      </w:pPr>
      <w:r>
        <w:rPr>
          <w:rStyle w:val="CommentReference"/>
        </w:rPr>
        <w:annotationRef/>
      </w:r>
      <w:r>
        <w:rPr>
          <w:b/>
          <w:bCs/>
        </w:rPr>
        <w:t xml:space="preserve">Attachment 2 - </w:t>
      </w:r>
      <w:r>
        <w:rPr>
          <w:b/>
          <w:bCs/>
          <w:color w:val="000000"/>
        </w:rPr>
        <w:t>VOLUME I, Sub-Section 3A: Key Personnel Qualifications, Pg 8</w:t>
      </w:r>
    </w:p>
    <w:p w14:paraId="04FBB066" w14:textId="77777777" w:rsidR="00BA6A25" w:rsidRDefault="00BA6A25" w:rsidP="00BA6A25">
      <w:pPr>
        <w:pStyle w:val="CommentText"/>
      </w:pPr>
    </w:p>
    <w:p w14:paraId="46AAF359" w14:textId="77777777" w:rsidR="00BA6A25" w:rsidRDefault="00BA6A25" w:rsidP="00BA6A25">
      <w:pPr>
        <w:pStyle w:val="CommentText"/>
      </w:pPr>
      <w:r>
        <w:rPr>
          <w:color w:val="000000"/>
        </w:rPr>
        <w:t xml:space="preserve">Offerors shall demonstrate experience and knowledge of the prime contractor’s staff and that of any subcontractors proposed as key or integral to the Offeror’s plan for leading the project team, including their education, experience on similar projects and expertise and any other professional credentials, highlighting the relevance of the staff person’s skills and capabilities relative to the SOW requirement and their role on the project. </w:t>
      </w:r>
    </w:p>
    <w:p w14:paraId="27468350" w14:textId="77777777" w:rsidR="00BA6A25" w:rsidRDefault="00BA6A25" w:rsidP="00BA6A25">
      <w:pPr>
        <w:pStyle w:val="CommentText"/>
      </w:pPr>
      <w:r>
        <w:rPr>
          <w:color w:val="000000"/>
        </w:rPr>
        <w:t xml:space="preserve">At a minimum, the Offeror shall provide the following for key personnel: </w:t>
      </w:r>
    </w:p>
    <w:p w14:paraId="57284FB4" w14:textId="77777777" w:rsidR="00BA6A25" w:rsidRDefault="00BA6A25" w:rsidP="00BA6A25">
      <w:pPr>
        <w:pStyle w:val="CommentText"/>
      </w:pPr>
      <w:r>
        <w:rPr>
          <w:color w:val="000000"/>
        </w:rPr>
        <w:t xml:space="preserve">• Describe functions and duties with respect to the task order. </w:t>
      </w:r>
    </w:p>
    <w:p w14:paraId="40869CB5" w14:textId="77777777" w:rsidR="00BA6A25" w:rsidRDefault="00BA6A25" w:rsidP="00BA6A25">
      <w:pPr>
        <w:pStyle w:val="CommentText"/>
      </w:pPr>
      <w:r>
        <w:rPr>
          <w:color w:val="000000"/>
        </w:rPr>
        <w:t xml:space="preserve">• Specify percent of time in person-years to be allocated to this project and its tasks. </w:t>
      </w:r>
    </w:p>
    <w:p w14:paraId="0736B050" w14:textId="77777777" w:rsidR="00BA6A25" w:rsidRDefault="00BA6A25" w:rsidP="00BA6A25">
      <w:pPr>
        <w:pStyle w:val="CommentText"/>
      </w:pPr>
      <w:r>
        <w:rPr>
          <w:color w:val="000000"/>
        </w:rPr>
        <w:t xml:space="preserve">• Detailed description of related CMS project experience, especially with data systems related to eligibility determination. </w:t>
      </w:r>
    </w:p>
    <w:p w14:paraId="58169765" w14:textId="77777777" w:rsidR="00BA6A25" w:rsidRDefault="00BA6A25" w:rsidP="00BA6A25">
      <w:pPr>
        <w:pStyle w:val="CommentText"/>
      </w:pPr>
      <w:r>
        <w:rPr>
          <w:color w:val="000000"/>
        </w:rPr>
        <w:t xml:space="preserve">• Letter of commitment for any key personnel not presently employed by the Offeror or its subcontractor(s). The letter of commitment shall include the date of availability and how long the individual’s commitment is binding, and must be signed by the individual and a corporate authorized official. Letters of commitment will not count against the page limit. </w:t>
      </w:r>
    </w:p>
    <w:p w14:paraId="75BAEF94" w14:textId="77777777" w:rsidR="00BA6A25" w:rsidRDefault="00BA6A25" w:rsidP="00BA6A25">
      <w:pPr>
        <w:pStyle w:val="CommentText"/>
      </w:pPr>
      <w:r>
        <w:rPr>
          <w:color w:val="000000"/>
        </w:rPr>
        <w:t xml:space="preserve">• Plan for replacement of key personnel in the event a key personnel departs the project to ensure similar qualifications and a smooth transition. </w:t>
      </w:r>
    </w:p>
    <w:p w14:paraId="1F860491" w14:textId="77777777" w:rsidR="00BA6A25" w:rsidRDefault="00BA6A25" w:rsidP="00BA6A25">
      <w:pPr>
        <w:pStyle w:val="CommentText"/>
      </w:pPr>
      <w:r>
        <w:rPr>
          <w:color w:val="000000"/>
        </w:rPr>
        <w:t xml:space="preserve">• Information on the key personnel and/or other significant leads that will be used on the project and their expertise as it pertains to achieving the goals and objectives as described in the SOW. This information should include all relevant certifications, training, and experience. For key personnel, provide (in an appendix) a current resume, indicating relevant specific experience and education. Resumes shall be a maximum of two pages each and will not count against the page limit. </w:t>
      </w:r>
    </w:p>
    <w:p w14:paraId="7369F5A1" w14:textId="77777777" w:rsidR="00BA6A25" w:rsidRDefault="00BA6A25" w:rsidP="00BA6A25">
      <w:pPr>
        <w:pStyle w:val="CommentText"/>
      </w:pPr>
    </w:p>
    <w:p w14:paraId="43012237" w14:textId="77777777" w:rsidR="00BA6A25" w:rsidRDefault="00BA6A25" w:rsidP="00BA6A25">
      <w:pPr>
        <w:pStyle w:val="CommentText"/>
      </w:pPr>
      <w:r>
        <w:rPr>
          <w:b/>
          <w:bCs/>
          <w:color w:val="000000"/>
        </w:rPr>
        <w:t>VOLUME I: Technical Evaluation Factor 3 – Key Personnel Qualification and Corporate Experience, Pg 21</w:t>
      </w:r>
    </w:p>
    <w:p w14:paraId="1D8A7438" w14:textId="77777777" w:rsidR="00BA6A25" w:rsidRDefault="00BA6A25" w:rsidP="00BA6A25">
      <w:pPr>
        <w:pStyle w:val="CommentText"/>
      </w:pPr>
    </w:p>
    <w:p w14:paraId="639952D2" w14:textId="77777777" w:rsidR="00BA6A25" w:rsidRDefault="00BA6A25" w:rsidP="00BA6A25">
      <w:pPr>
        <w:pStyle w:val="CommentText"/>
      </w:pPr>
      <w:r>
        <w:rPr>
          <w:color w:val="000000"/>
        </w:rPr>
        <w:t xml:space="preserve">The Government will evaluate relevant background and experience of key personnel, and any subject matter expert(s). The evaluation will focus on the following elements: </w:t>
      </w:r>
    </w:p>
    <w:p w14:paraId="0C0B3143" w14:textId="77777777" w:rsidR="00BA6A25" w:rsidRDefault="00BA6A25" w:rsidP="00BA6A25">
      <w:pPr>
        <w:pStyle w:val="CommentText"/>
      </w:pPr>
      <w:r>
        <w:rPr>
          <w:color w:val="000000"/>
        </w:rPr>
        <w:t>• Sub-Factor 3A: Key Personnel Qualifications - Relevant educational background, professional experience, federal data or federal healthcare experience, stakeholder-</w:t>
      </w:r>
    </w:p>
    <w:p w14:paraId="4D76182A" w14:textId="77777777" w:rsidR="00BA6A25" w:rsidRDefault="00BA6A25" w:rsidP="00BA6A25">
      <w:pPr>
        <w:pStyle w:val="CommentText"/>
      </w:pPr>
      <w:r>
        <w:rPr>
          <w:color w:val="000000"/>
        </w:rPr>
        <w:t xml:space="preserve">outreach experience, technical assistance experience, and special qualifications of key personnel. </w:t>
      </w:r>
    </w:p>
  </w:comment>
  <w:comment w:id="123" w:author="Estep, Cassidy" w:date="2026-04-26T17:10:00Z" w:initials="EC">
    <w:p w14:paraId="3FA42A10" w14:textId="77777777" w:rsidR="001633F2" w:rsidRDefault="001633F2" w:rsidP="001633F2">
      <w:r>
        <w:rPr>
          <w:rStyle w:val="CommentReference"/>
        </w:rPr>
        <w:annotationRef/>
      </w:r>
      <w:r>
        <w:rPr>
          <w:sz w:val="20"/>
          <w:szCs w:val="20"/>
        </w:rPr>
        <w:t>Note: Section added.</w:t>
      </w:r>
    </w:p>
  </w:comment>
  <w:comment w:id="124" w:author="Losito, Erica" w:date="2026-04-24T13:19:00Z" w:initials="EL">
    <w:p w14:paraId="51914692" w14:textId="77777777" w:rsidR="006557D6" w:rsidRDefault="006557D6" w:rsidP="00BB715E">
      <w:pPr>
        <w:pStyle w:val="CommentText"/>
      </w:pPr>
      <w:r>
        <w:rPr>
          <w:rStyle w:val="CommentReference"/>
        </w:rPr>
        <w:annotationRef/>
      </w:r>
      <w:r>
        <w:t>Typically a table by LCAT/OY/Task</w:t>
      </w:r>
    </w:p>
  </w:comment>
  <w:comment w:id="125" w:author="Estep, Cassidy" w:date="2026-04-26T17:03:00Z" w:initials="EC">
    <w:p w14:paraId="4D4D3311" w14:textId="77777777" w:rsidR="006557D6" w:rsidRDefault="006557D6" w:rsidP="00BE5582">
      <w:r>
        <w:rPr>
          <w:rStyle w:val="CommentReference"/>
        </w:rPr>
        <w:annotationRef/>
      </w:r>
      <w:r>
        <w:rPr>
          <w:sz w:val="20"/>
          <w:szCs w:val="20"/>
        </w:rPr>
        <w:t>Should this exclusively be for key personnel? Can we confirm they aren't planning to put a similar table in the Staffing Plan (2C) section above?</w:t>
      </w:r>
    </w:p>
  </w:comment>
  <w:comment w:id="127" w:author="Jain, Rajat" w:date="2026-04-23T22:55:00Z" w:initials="RJ">
    <w:p w14:paraId="3CB48EAE" w14:textId="73EC28B2" w:rsidR="0010647B" w:rsidRDefault="0010647B" w:rsidP="0010647B">
      <w:pPr>
        <w:pStyle w:val="CommentText"/>
      </w:pPr>
      <w:r>
        <w:rPr>
          <w:rStyle w:val="CommentReference"/>
        </w:rPr>
        <w:annotationRef/>
      </w:r>
      <w:r>
        <w:rPr>
          <w:b/>
          <w:bCs/>
        </w:rPr>
        <w:t xml:space="preserve">Attachment 2 - </w:t>
      </w:r>
      <w:r>
        <w:rPr>
          <w:b/>
          <w:bCs/>
          <w:color w:val="000000"/>
        </w:rPr>
        <w:t>VOLUME I, Sub-Section 3B: Corporate Experience , Pg 10</w:t>
      </w:r>
    </w:p>
    <w:p w14:paraId="75D2721D" w14:textId="77777777" w:rsidR="0010647B" w:rsidRDefault="0010647B" w:rsidP="0010647B">
      <w:pPr>
        <w:pStyle w:val="CommentText"/>
      </w:pPr>
    </w:p>
    <w:p w14:paraId="2570B8A0" w14:textId="77777777" w:rsidR="0010647B" w:rsidRDefault="0010647B" w:rsidP="0010647B">
      <w:pPr>
        <w:pStyle w:val="CommentText"/>
      </w:pPr>
      <w:r>
        <w:rPr>
          <w:color w:val="000000"/>
        </w:rPr>
        <w:t xml:space="preserve">Offerors </w:t>
      </w:r>
      <w:r>
        <w:rPr>
          <w:b/>
          <w:bCs/>
          <w:color w:val="000000"/>
        </w:rPr>
        <w:t xml:space="preserve">shall </w:t>
      </w:r>
      <w:r>
        <w:rPr>
          <w:color w:val="000000"/>
        </w:rPr>
        <w:t xml:space="preserve">demonstrate their organizational/corporate experience as it relates to the requirements of comparable scope, scale and complexity of this acquisition. Offerors </w:t>
      </w:r>
      <w:r>
        <w:rPr>
          <w:b/>
          <w:bCs/>
          <w:color w:val="000000"/>
        </w:rPr>
        <w:t>shall</w:t>
      </w:r>
      <w:r>
        <w:rPr>
          <w:color w:val="000000"/>
        </w:rPr>
        <w:t xml:space="preserve"> describe prior experience with projects of similar scope, scale and complexity, specify beginning and completion dates, detail any “staffing up” and offboarding process that was used for the project, and describe the outcomes. If subcontractors are to be used for any portion of the work, the Offeror </w:t>
      </w:r>
      <w:r>
        <w:rPr>
          <w:b/>
          <w:bCs/>
          <w:color w:val="000000"/>
        </w:rPr>
        <w:t>shall</w:t>
      </w:r>
      <w:r>
        <w:rPr>
          <w:color w:val="000000"/>
        </w:rPr>
        <w:t xml:space="preserve"> describe any corporate history of working with the proposed subcontractor and the subcontractor’s specific experience with projects of similar scope, scale and complexity. </w:t>
      </w:r>
    </w:p>
    <w:p w14:paraId="70678FCA" w14:textId="77777777" w:rsidR="0010647B" w:rsidRDefault="0010647B" w:rsidP="0010647B">
      <w:pPr>
        <w:pStyle w:val="CommentText"/>
      </w:pPr>
    </w:p>
    <w:p w14:paraId="50042507" w14:textId="77777777" w:rsidR="0010647B" w:rsidRDefault="0010647B" w:rsidP="0010647B">
      <w:pPr>
        <w:pStyle w:val="CommentText"/>
      </w:pPr>
      <w:r>
        <w:rPr>
          <w:b/>
          <w:bCs/>
          <w:color w:val="000000"/>
        </w:rPr>
        <w:t xml:space="preserve">VOLUME I: Technical Evaluation Factor 3 – Key Personnel Qualification and Corporate Experience </w:t>
      </w:r>
    </w:p>
    <w:p w14:paraId="4A0D6611" w14:textId="77777777" w:rsidR="0010647B" w:rsidRDefault="0010647B" w:rsidP="0010647B">
      <w:pPr>
        <w:pStyle w:val="CommentText"/>
      </w:pPr>
    </w:p>
    <w:p w14:paraId="7F1182EC" w14:textId="77777777" w:rsidR="0010647B" w:rsidRDefault="0010647B" w:rsidP="0010647B">
      <w:pPr>
        <w:pStyle w:val="CommentText"/>
      </w:pPr>
      <w:r>
        <w:rPr>
          <w:color w:val="000000"/>
        </w:rPr>
        <w:t xml:space="preserve">The Government </w:t>
      </w:r>
      <w:r>
        <w:rPr>
          <w:b/>
          <w:bCs/>
          <w:color w:val="000000"/>
        </w:rPr>
        <w:t xml:space="preserve">will </w:t>
      </w:r>
      <w:r>
        <w:rPr>
          <w:color w:val="000000"/>
        </w:rPr>
        <w:t xml:space="preserve">evaluate relevant background and experience of key personnel, and any subject matter expert(s). The evaluation </w:t>
      </w:r>
      <w:r>
        <w:rPr>
          <w:b/>
          <w:bCs/>
          <w:color w:val="000000"/>
        </w:rPr>
        <w:t>will</w:t>
      </w:r>
      <w:r>
        <w:rPr>
          <w:color w:val="000000"/>
        </w:rPr>
        <w:t xml:space="preserve"> focus on the following elements: </w:t>
      </w:r>
    </w:p>
    <w:p w14:paraId="45B9FEC4" w14:textId="77777777" w:rsidR="0010647B" w:rsidRDefault="0010647B" w:rsidP="0010647B">
      <w:pPr>
        <w:pStyle w:val="CommentText"/>
      </w:pPr>
      <w:r>
        <w:rPr>
          <w:color w:val="000000"/>
        </w:rPr>
        <w:t xml:space="preserve">Sub-Factor 3B: Corporate Experience - Corporate experiences and success with engagements of similar scope, scale and complexity. </w:t>
      </w:r>
    </w:p>
  </w:comment>
  <w:comment w:id="128" w:author="Allen, Elizabeth-Ashley" w:date="2026-04-26T18:16:00Z" w:initials="AEA">
    <w:p w14:paraId="7544DDAA" w14:textId="77777777" w:rsidR="00C52560" w:rsidRDefault="00C52560" w:rsidP="00C52560">
      <w:r>
        <w:rPr>
          <w:rStyle w:val="CommentReference"/>
        </w:rPr>
        <w:annotationRef/>
      </w:r>
      <w:r>
        <w:rPr>
          <w:sz w:val="20"/>
          <w:szCs w:val="20"/>
        </w:rPr>
        <w:t>SMEs confirm these are appropriate examples to use.</w:t>
      </w:r>
    </w:p>
  </w:comment>
  <w:comment w:id="129" w:author="Allen, Elizabeth-Ashley" w:date="2026-04-26T18:23:00Z" w:initials="AEA">
    <w:p w14:paraId="6740C0DA" w14:textId="77777777" w:rsidR="00030E60" w:rsidRDefault="00030E60" w:rsidP="00590D1D">
      <w:r>
        <w:rPr>
          <w:rStyle w:val="CommentReference"/>
        </w:rPr>
        <w:annotationRef/>
      </w:r>
      <w:r>
        <w:rPr>
          <w:sz w:val="20"/>
          <w:szCs w:val="20"/>
        </w:rPr>
        <w:t xml:space="preserve">This is verbatim from existing qual used in recent proposal. </w:t>
      </w:r>
    </w:p>
  </w:comment>
  <w:comment w:id="130" w:author="Allen, Elizabeth-Ashley" w:date="2026-04-26T18:15:00Z" w:initials="AEA">
    <w:p w14:paraId="2F603C75" w14:textId="77777777" w:rsidR="001F05BC" w:rsidRDefault="001F05BC" w:rsidP="001F05BC">
      <w:r>
        <w:rPr>
          <w:rStyle w:val="CommentReference"/>
        </w:rPr>
        <w:annotationRef/>
      </w:r>
      <w:r>
        <w:rPr>
          <w:sz w:val="20"/>
          <w:szCs w:val="20"/>
        </w:rPr>
        <w:t xml:space="preserve">Need to validate, sourced from pre-RFP materials. </w:t>
      </w:r>
    </w:p>
  </w:comment>
  <w:comment w:id="132" w:author="Jain, Rajat" w:date="2026-04-23T23:00:00Z" w:initials="RJ">
    <w:p w14:paraId="3CAC8356" w14:textId="77777777" w:rsidR="00C06351" w:rsidRDefault="00C06351" w:rsidP="00C06351">
      <w:pPr>
        <w:pStyle w:val="CommentText"/>
      </w:pPr>
      <w:r>
        <w:rPr>
          <w:rStyle w:val="CommentReference"/>
        </w:rPr>
        <w:annotationRef/>
      </w:r>
      <w:r>
        <w:rPr>
          <w:b/>
          <w:bCs/>
        </w:rPr>
        <w:t xml:space="preserve">Attachment 2 - </w:t>
      </w:r>
      <w:r>
        <w:rPr>
          <w:b/>
          <w:bCs/>
          <w:color w:val="000000"/>
        </w:rPr>
        <w:t>VOLUME I, Section 4: Utilization of Small Business, Pg 10</w:t>
      </w:r>
    </w:p>
    <w:p w14:paraId="41375FC5" w14:textId="77777777" w:rsidR="00C06351" w:rsidRDefault="00C06351" w:rsidP="00C06351">
      <w:pPr>
        <w:pStyle w:val="CommentText"/>
      </w:pPr>
    </w:p>
    <w:p w14:paraId="0461E721" w14:textId="77777777" w:rsidR="00C06351" w:rsidRDefault="00C06351" w:rsidP="00C06351">
      <w:pPr>
        <w:pStyle w:val="CommentText"/>
      </w:pPr>
      <w:r>
        <w:rPr>
          <w:color w:val="000000"/>
        </w:rPr>
        <w:t>Contractors shall document how they plan to maximize subcontracting opportunities to small businesses on this task order, illustrating how their approach contributes to achieving the RFQ goal of 15% of total task order dollars being subcontracted to small business. Please provide the name(s) of the proposed small businesses, addresses, points of contact and phone numbers. The information above shall be provided in the provided format(please refer)</w:t>
      </w:r>
    </w:p>
    <w:p w14:paraId="3AEC994E" w14:textId="77777777" w:rsidR="00C06351" w:rsidRDefault="00C06351" w:rsidP="00C06351">
      <w:pPr>
        <w:pStyle w:val="CommentText"/>
      </w:pPr>
      <w:r>
        <w:rPr>
          <w:color w:val="000000"/>
        </w:rPr>
        <w:t>Offerors shall describe their commitment to use Small Businesses. Commitment should be as specific as possible. Please provide copies of documents demonstrating this commitment (e.g., draft subcontracting agreements, letters of commitment, teaming arrangements, etc.). Documents provided shall describe the work that will be performed by the small business subcontractor. (</w:t>
      </w:r>
      <w:r>
        <w:rPr>
          <w:i/>
          <w:iCs/>
          <w:color w:val="000000"/>
        </w:rPr>
        <w:t>Documents may be provided as an attachment and will not count towards the page limitation</w:t>
      </w:r>
      <w:r>
        <w:rPr>
          <w:color w:val="000000"/>
        </w:rPr>
        <w:t xml:space="preserve">). </w:t>
      </w:r>
    </w:p>
    <w:p w14:paraId="21C227A5" w14:textId="77777777" w:rsidR="00C06351" w:rsidRDefault="00C06351" w:rsidP="00C06351">
      <w:pPr>
        <w:pStyle w:val="CommentText"/>
      </w:pPr>
      <w:r>
        <w:rPr>
          <w:color w:val="000000"/>
        </w:rPr>
        <w:t xml:space="preserve">If a small business is submitting as a prime contractor, they should address the portion of the work they are completing versus the amount of work they plan to subcontract to another contractor. </w:t>
      </w:r>
    </w:p>
    <w:p w14:paraId="3077A468" w14:textId="77777777" w:rsidR="00C06351" w:rsidRDefault="00C06351" w:rsidP="00C06351">
      <w:pPr>
        <w:pStyle w:val="CommentText"/>
      </w:pPr>
    </w:p>
    <w:p w14:paraId="78EAFDD9" w14:textId="77777777" w:rsidR="00C06351" w:rsidRDefault="00C06351" w:rsidP="00C06351">
      <w:pPr>
        <w:pStyle w:val="CommentText"/>
      </w:pPr>
      <w:r>
        <w:rPr>
          <w:b/>
          <w:bCs/>
          <w:color w:val="000000"/>
        </w:rPr>
        <w:t>VOLUME I: Technical Evaluation Factor 4 - Utilization of Small Business (Evaluated, but not rated) , Pg 22</w:t>
      </w:r>
    </w:p>
    <w:p w14:paraId="6A196664" w14:textId="77777777" w:rsidR="00C06351" w:rsidRDefault="00C06351" w:rsidP="00C06351">
      <w:pPr>
        <w:pStyle w:val="CommentText"/>
      </w:pPr>
    </w:p>
    <w:p w14:paraId="592DE5C1" w14:textId="77777777" w:rsidR="00C06351" w:rsidRDefault="00C06351" w:rsidP="00C06351">
      <w:pPr>
        <w:pStyle w:val="CommentText"/>
      </w:pPr>
      <w:r>
        <w:rPr>
          <w:color w:val="000000"/>
        </w:rPr>
        <w:t xml:space="preserve">Contractors will be evaluated on how they plan to maximize subcontracting opportunities to small businesses on this task order as it relates to the RFQ goal that 15% of the total task order value be subcontracted to small business. </w:t>
      </w:r>
    </w:p>
  </w:comment>
  <w:comment w:id="134" w:author="Bhatnagar, Abhas" w:date="2026-04-24T00:32:00Z" w:initials="AB">
    <w:p w14:paraId="1F729A19" w14:textId="77777777" w:rsidR="00D4736E" w:rsidRDefault="00D4736E" w:rsidP="00D4736E">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0A8E6948" w14:textId="77777777" w:rsidR="00D4736E" w:rsidRDefault="00D4736E" w:rsidP="00D4736E">
      <w:pPr>
        <w:pStyle w:val="CommentText"/>
      </w:pPr>
      <w:r>
        <w:rPr>
          <w:color w:val="000000"/>
        </w:rPr>
        <w:br/>
        <w:t xml:space="preserve">For key personnel, provide (in an appendix) a current resume, indicating relevant specific experience and education. Resumes </w:t>
      </w:r>
      <w:r>
        <w:rPr>
          <w:b/>
          <w:bCs/>
          <w:color w:val="000000"/>
        </w:rPr>
        <w:t>shall</w:t>
      </w:r>
      <w:r>
        <w:rPr>
          <w:color w:val="000000"/>
        </w:rPr>
        <w:t xml:space="preserve"> be a maximum of two pages each and will not count against the page limit. </w:t>
      </w:r>
    </w:p>
    <w:p w14:paraId="1469AB7A" w14:textId="77777777" w:rsidR="00D4736E" w:rsidRDefault="00D4736E" w:rsidP="00D4736E">
      <w:pPr>
        <w:pStyle w:val="CommentText"/>
      </w:pPr>
      <w:r>
        <w:rPr>
          <w:color w:val="000000"/>
        </w:rPr>
        <w:t xml:space="preserve">Offerors </w:t>
      </w:r>
      <w:r>
        <w:rPr>
          <w:b/>
          <w:bCs/>
          <w:color w:val="000000"/>
        </w:rPr>
        <w:t>shall</w:t>
      </w:r>
      <w:r>
        <w:rPr>
          <w:color w:val="000000"/>
        </w:rPr>
        <w:t xml:space="preserve"> designate the positions listed below as key personnel. Offerors </w:t>
      </w:r>
      <w:r>
        <w:rPr>
          <w:b/>
          <w:bCs/>
          <w:color w:val="000000"/>
        </w:rPr>
        <w:t>may</w:t>
      </w:r>
      <w:r>
        <w:rPr>
          <w:color w:val="000000"/>
        </w:rPr>
        <w:t xml:space="preserve"> propose additional key personnel, if necessary, with the rationale that addresses the basis for this determination. </w:t>
      </w:r>
    </w:p>
    <w:p w14:paraId="34E42344" w14:textId="77777777" w:rsidR="00D4736E" w:rsidRDefault="00D4736E" w:rsidP="00D4736E">
      <w:pPr>
        <w:pStyle w:val="CommentText"/>
      </w:pPr>
    </w:p>
    <w:p w14:paraId="2F29A72B" w14:textId="77777777" w:rsidR="00D4736E" w:rsidRDefault="00D4736E" w:rsidP="00D4736E">
      <w:pPr>
        <w:pStyle w:val="CommentText"/>
      </w:pPr>
      <w:r>
        <w:rPr>
          <w:b/>
          <w:bCs/>
          <w:color w:val="000000"/>
        </w:rPr>
        <w:t>Attachment 2, Technical Evaluation Factor 3 – Key Personnel Qualification, Pg 21</w:t>
      </w:r>
    </w:p>
    <w:p w14:paraId="6BFEF0B0" w14:textId="77777777" w:rsidR="00D4736E" w:rsidRDefault="00D4736E" w:rsidP="00D4736E">
      <w:pPr>
        <w:pStyle w:val="CommentText"/>
      </w:pPr>
    </w:p>
    <w:p w14:paraId="2E648880" w14:textId="77777777" w:rsidR="00D4736E" w:rsidRDefault="00D4736E" w:rsidP="00D4736E">
      <w:pPr>
        <w:pStyle w:val="CommentText"/>
      </w:pPr>
      <w:r>
        <w:rPr>
          <w:color w:val="000000"/>
        </w:rPr>
        <w:t xml:space="preserve">The Government </w:t>
      </w:r>
      <w:r>
        <w:rPr>
          <w:b/>
          <w:bCs/>
          <w:color w:val="000000"/>
        </w:rPr>
        <w:t>will</w:t>
      </w:r>
      <w:r>
        <w:rPr>
          <w:color w:val="000000"/>
        </w:rPr>
        <w:t xml:space="preserve"> evaluate relevant background and experience of key personnel, and any subject matter expert(s). The evaluation </w:t>
      </w:r>
      <w:r>
        <w:rPr>
          <w:b/>
          <w:bCs/>
          <w:color w:val="000000"/>
        </w:rPr>
        <w:t>will</w:t>
      </w:r>
      <w:r>
        <w:rPr>
          <w:color w:val="000000"/>
        </w:rPr>
        <w:t xml:space="preserve"> focus on the following elements: </w:t>
      </w:r>
    </w:p>
    <w:p w14:paraId="08A53F2F" w14:textId="77777777" w:rsidR="00D4736E" w:rsidRDefault="00D4736E" w:rsidP="00D4736E">
      <w:pPr>
        <w:pStyle w:val="CommentText"/>
      </w:pPr>
      <w:r>
        <w:rPr>
          <w:color w:val="000000"/>
        </w:rPr>
        <w:t xml:space="preserve">• </w:t>
      </w:r>
      <w:r>
        <w:rPr>
          <w:b/>
          <w:bCs/>
          <w:color w:val="000000"/>
        </w:rPr>
        <w:t>Sub-Factor 3A: Key Personnel Qualifications -</w:t>
      </w:r>
      <w:r>
        <w:rPr>
          <w:color w:val="000000"/>
        </w:rPr>
        <w:t xml:space="preserve"> Relevant educational background, professional experience, federal data or federal healthcare experience, stakeholder-outreach experience, technical assistance experience, and special qualifications of key personnel. </w:t>
      </w:r>
    </w:p>
  </w:comment>
  <w:comment w:id="136" w:author="Bhatnagar, Abhas" w:date="2026-04-24T00:28:00Z" w:initials="AB">
    <w:p w14:paraId="56F56235" w14:textId="5004FC29" w:rsidR="009A097D" w:rsidRDefault="009A097D" w:rsidP="009A097D">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1EC5629F" w14:textId="77777777" w:rsidR="009A097D" w:rsidRDefault="009A097D" w:rsidP="009A097D">
      <w:pPr>
        <w:pStyle w:val="CommentText"/>
      </w:pPr>
      <w:r>
        <w:rPr>
          <w:b/>
          <w:bCs/>
          <w:color w:val="000000"/>
        </w:rPr>
        <w:t xml:space="preserve">Project Director </w:t>
      </w:r>
    </w:p>
    <w:p w14:paraId="15653FA9" w14:textId="77777777" w:rsidR="009A097D" w:rsidRDefault="009A097D" w:rsidP="009A097D">
      <w:pPr>
        <w:pStyle w:val="CommentText"/>
      </w:pPr>
      <w:r>
        <w:rPr>
          <w:color w:val="000000"/>
        </w:rPr>
        <w:t xml:space="preserve">o A minimum of 8 years’ experience working with systems similar to the CMS systems and programs directly relevant to the SOW requirement and managing tasks and projects similar to those described in the SOW. </w:t>
      </w:r>
    </w:p>
    <w:p w14:paraId="6847FE53" w14:textId="77777777" w:rsidR="009A097D" w:rsidRDefault="009A097D" w:rsidP="009A097D">
      <w:pPr>
        <w:pStyle w:val="CommentText"/>
      </w:pPr>
      <w:r>
        <w:rPr>
          <w:color w:val="000000"/>
        </w:rPr>
        <w:t xml:space="preserve">o A minimum of 5 years of experience with the following: </w:t>
      </w:r>
      <w:r>
        <w:rPr>
          <w:color w:val="000000"/>
        </w:rPr>
        <w:t xml:space="preserve"> Managing and understanding the enrollment reconciliation process </w:t>
      </w:r>
    </w:p>
    <w:p w14:paraId="2CF49E61" w14:textId="77777777" w:rsidR="009A097D" w:rsidRDefault="009A097D" w:rsidP="009A097D">
      <w:pPr>
        <w:pStyle w:val="CommentText"/>
      </w:pPr>
      <w:r>
        <w:rPr>
          <w:color w:val="000000"/>
        </w:rPr>
        <w:t xml:space="preserve"> Managing sensitive contracts with potential for high national visibility </w:t>
      </w:r>
    </w:p>
    <w:p w14:paraId="3F6CBC1D" w14:textId="77777777" w:rsidR="009A097D" w:rsidRDefault="009A097D" w:rsidP="009A097D">
      <w:pPr>
        <w:pStyle w:val="CommentText"/>
      </w:pPr>
      <w:r>
        <w:rPr>
          <w:color w:val="000000"/>
        </w:rPr>
        <w:t xml:space="preserve"> Managing contracts with Federal healthcare data </w:t>
      </w:r>
    </w:p>
    <w:p w14:paraId="74BD884D" w14:textId="77777777" w:rsidR="009A097D" w:rsidRDefault="009A097D" w:rsidP="009A097D">
      <w:pPr>
        <w:pStyle w:val="CommentText"/>
      </w:pPr>
      <w:r>
        <w:rPr>
          <w:color w:val="000000"/>
        </w:rPr>
        <w:t xml:space="preserve"> Managing call center and help desk operations or similar </w:t>
      </w:r>
    </w:p>
  </w:comment>
  <w:comment w:id="138" w:author="Bhatnagar, Abhas" w:date="2026-04-24T00:27:00Z" w:initials="AB">
    <w:p w14:paraId="0C9FBBE3" w14:textId="5708A27E" w:rsidR="004F0C03" w:rsidRDefault="004F0C03" w:rsidP="004F0C03">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p>
    <w:p w14:paraId="66F7A1C5" w14:textId="77777777" w:rsidR="004F0C03" w:rsidRDefault="004F0C03" w:rsidP="004F0C03">
      <w:pPr>
        <w:pStyle w:val="CommentText"/>
      </w:pPr>
      <w:r>
        <w:rPr>
          <w:b/>
          <w:bCs/>
          <w:color w:val="000000"/>
        </w:rPr>
        <w:br/>
        <w:t xml:space="preserve">Project Managers: </w:t>
      </w:r>
    </w:p>
    <w:p w14:paraId="4505E625" w14:textId="77777777" w:rsidR="004F0C03" w:rsidRDefault="004F0C03" w:rsidP="004F0C03">
      <w:pPr>
        <w:pStyle w:val="CommentText"/>
      </w:pPr>
      <w:r>
        <w:rPr>
          <w:color w:val="000000"/>
        </w:rPr>
        <w:t xml:space="preserve">§ Serve as the Offeror’s representative responsible for managing the full scope of the SOW </w:t>
      </w:r>
    </w:p>
    <w:p w14:paraId="0E5B02A5" w14:textId="77777777" w:rsidR="004F0C03" w:rsidRDefault="004F0C03" w:rsidP="004F0C03">
      <w:pPr>
        <w:pStyle w:val="CommentText"/>
      </w:pPr>
      <w:r>
        <w:rPr>
          <w:color w:val="000000"/>
        </w:rPr>
        <w:t xml:space="preserve">§ Are responsible for leading the organization and obtaining the staff and resources necessary to conduct the work </w:t>
      </w:r>
    </w:p>
    <w:p w14:paraId="54812851" w14:textId="77777777" w:rsidR="004F0C03" w:rsidRDefault="004F0C03" w:rsidP="004F0C03">
      <w:pPr>
        <w:pStyle w:val="CommentText"/>
      </w:pPr>
      <w:r>
        <w:rPr>
          <w:color w:val="000000"/>
        </w:rPr>
        <w:t xml:space="preserve">§ Are responsible for all staff employed and all work performed under the contract </w:t>
      </w:r>
    </w:p>
    <w:p w14:paraId="79F483FD" w14:textId="77777777" w:rsidR="004F0C03" w:rsidRDefault="004F0C03" w:rsidP="004F0C03">
      <w:pPr>
        <w:pStyle w:val="CommentText"/>
      </w:pPr>
      <w:r>
        <w:rPr>
          <w:color w:val="000000"/>
        </w:rPr>
        <w:t xml:space="preserve">§ Shall be held accountable for the outcomes of the work performed and the resolution of obstacles to achieving the outcomes necessary for success under the contract </w:t>
      </w:r>
    </w:p>
    <w:p w14:paraId="34787593" w14:textId="77777777" w:rsidR="004F0C03" w:rsidRDefault="004F0C03" w:rsidP="004F0C03">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0C435B34" w14:textId="77777777" w:rsidR="004F0C03" w:rsidRDefault="004F0C03" w:rsidP="004F0C03">
      <w:pPr>
        <w:pStyle w:val="CommentText"/>
      </w:pPr>
      <w:r>
        <w:rPr>
          <w:color w:val="000000"/>
        </w:rPr>
        <w:t xml:space="preserve">§ Ensure that any concerns raised by CMS are timely and appropriately addressed. </w:t>
      </w:r>
    </w:p>
    <w:p w14:paraId="0F0E825B" w14:textId="77777777" w:rsidR="004F0C03" w:rsidRDefault="004F0C03" w:rsidP="004F0C03">
      <w:pPr>
        <w:pStyle w:val="CommentText"/>
      </w:pPr>
    </w:p>
    <w:p w14:paraId="3AAB93D5" w14:textId="77777777" w:rsidR="004F0C03" w:rsidRDefault="004F0C03" w:rsidP="004F0C03">
      <w:pPr>
        <w:pStyle w:val="CommentText"/>
      </w:pPr>
      <w:r>
        <w:rPr>
          <w:b/>
          <w:bCs/>
        </w:rPr>
        <w:t xml:space="preserve">Attachment 2, </w:t>
      </w:r>
      <w:r>
        <w:rPr>
          <w:b/>
          <w:bCs/>
          <w:color w:val="000000"/>
        </w:rPr>
        <w:t xml:space="preserve">Sub-Section 3A: Key Personnel Qualifications </w:t>
      </w:r>
      <w:r>
        <w:rPr>
          <w:b/>
          <w:bCs/>
        </w:rPr>
        <w:t>Pg 9</w:t>
      </w:r>
    </w:p>
    <w:p w14:paraId="635323C0" w14:textId="77777777" w:rsidR="004F0C03" w:rsidRDefault="004F0C03" w:rsidP="004F0C03">
      <w:pPr>
        <w:pStyle w:val="CommentText"/>
      </w:pPr>
    </w:p>
    <w:p w14:paraId="078F60A2" w14:textId="77777777" w:rsidR="004F0C03" w:rsidRDefault="004F0C03" w:rsidP="004F0C03">
      <w:pPr>
        <w:pStyle w:val="CommentText"/>
      </w:pPr>
      <w:r>
        <w:rPr>
          <w:b/>
          <w:bCs/>
          <w:color w:val="000000"/>
        </w:rPr>
        <w:t xml:space="preserve">Project Manager (ER&amp;R) </w:t>
      </w:r>
    </w:p>
    <w:p w14:paraId="227ADF33" w14:textId="77777777" w:rsidR="004F0C03" w:rsidRDefault="004F0C03" w:rsidP="004F0C03">
      <w:pPr>
        <w:pStyle w:val="CommentText"/>
      </w:pPr>
    </w:p>
    <w:p w14:paraId="5ED171C8" w14:textId="77777777" w:rsidR="004F0C03" w:rsidRDefault="004F0C03" w:rsidP="004F0C03">
      <w:pPr>
        <w:pStyle w:val="CommentText"/>
      </w:pPr>
      <w:r>
        <w:rPr>
          <w:color w:val="000000"/>
        </w:rPr>
        <w:t xml:space="preserve">o A minimum of 5 years’ experience managing major complex project and supporting a Government agency and/or commercial health programs similar to those described in the SOW </w:t>
      </w:r>
    </w:p>
    <w:p w14:paraId="2406DFB9" w14:textId="77777777" w:rsidR="004F0C03" w:rsidRDefault="004F0C03" w:rsidP="004F0C03">
      <w:pPr>
        <w:pStyle w:val="CommentText"/>
      </w:pPr>
      <w:r>
        <w:rPr>
          <w:color w:val="000000"/>
        </w:rPr>
        <w:t xml:space="preserve">o 5 years of experience working with systems similar to the CMS Marketplace systems </w:t>
      </w:r>
    </w:p>
    <w:p w14:paraId="2D06AC1A" w14:textId="77777777" w:rsidR="004F0C03" w:rsidRDefault="004F0C03" w:rsidP="004F0C03">
      <w:pPr>
        <w:pStyle w:val="CommentText"/>
      </w:pPr>
      <w:r>
        <w:rPr>
          <w:color w:val="000000"/>
        </w:rPr>
        <w:t xml:space="preserve">o Active Project Management Professional (PMP) Certification </w:t>
      </w:r>
    </w:p>
  </w:comment>
  <w:comment w:id="140" w:author="Bhatnagar, Abhas" w:date="2026-04-24T00:25:00Z" w:initials="AB">
    <w:p w14:paraId="6E5C3891" w14:textId="37CF0843" w:rsidR="006510DF" w:rsidRDefault="006510DF" w:rsidP="006510DF">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r>
        <w:rPr>
          <w:color w:val="000000"/>
        </w:rPr>
        <w:br/>
      </w:r>
    </w:p>
    <w:p w14:paraId="62F30C22" w14:textId="77777777" w:rsidR="006510DF" w:rsidRDefault="006510DF" w:rsidP="006510DF">
      <w:pPr>
        <w:pStyle w:val="CommentText"/>
      </w:pPr>
      <w:r>
        <w:rPr>
          <w:b/>
          <w:bCs/>
          <w:color w:val="000000"/>
        </w:rPr>
        <w:t xml:space="preserve">Project Managers: </w:t>
      </w:r>
    </w:p>
    <w:p w14:paraId="21255F20" w14:textId="77777777" w:rsidR="006510DF" w:rsidRDefault="006510DF" w:rsidP="006510DF">
      <w:pPr>
        <w:pStyle w:val="CommentText"/>
      </w:pPr>
      <w:r>
        <w:rPr>
          <w:color w:val="000000"/>
        </w:rPr>
        <w:t xml:space="preserve"> Serve as the Offeror’s representative responsible for managing the full scope of the SOW </w:t>
      </w:r>
    </w:p>
    <w:p w14:paraId="31BF223F"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0C9199A4" w14:textId="77777777" w:rsidR="006510DF" w:rsidRDefault="006510DF" w:rsidP="006510DF">
      <w:pPr>
        <w:pStyle w:val="CommentText"/>
      </w:pPr>
      <w:r>
        <w:rPr>
          <w:color w:val="000000"/>
        </w:rPr>
        <w:t xml:space="preserve"> Are responsible for all staff employed and all work performed under the contract </w:t>
      </w:r>
    </w:p>
    <w:p w14:paraId="48BFD862"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02DCFD19"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72E66539"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p>
    <w:p w14:paraId="0BC61DF2" w14:textId="77777777" w:rsidR="006510DF" w:rsidRDefault="006510DF" w:rsidP="006510DF">
      <w:pPr>
        <w:pStyle w:val="CommentText"/>
      </w:pPr>
    </w:p>
    <w:p w14:paraId="4A77760D" w14:textId="77777777" w:rsidR="006510DF" w:rsidRDefault="006510DF" w:rsidP="006510DF">
      <w:pPr>
        <w:pStyle w:val="CommentText"/>
      </w:pPr>
      <w:r>
        <w:rPr>
          <w:b/>
          <w:bCs/>
          <w:color w:val="000000"/>
        </w:rPr>
        <w:t>Project Manager (Form 1095-A &amp; CCHC)</w:t>
      </w:r>
      <w:r>
        <w:rPr>
          <w:color w:val="000000"/>
        </w:rPr>
        <w:t xml:space="preserve"> </w:t>
      </w:r>
    </w:p>
    <w:p w14:paraId="63F89FD8" w14:textId="77777777" w:rsidR="006510DF" w:rsidRDefault="006510DF" w:rsidP="006510DF">
      <w:pPr>
        <w:pStyle w:val="CommentText"/>
      </w:pPr>
      <w:r>
        <w:rPr>
          <w:color w:val="000000"/>
        </w:rPr>
        <w:t xml:space="preserve">o A minimum of 5 years’ experience managing major complex projects and supporting a Government agency and/or commercial health programs similar to those described in the SOW </w:t>
      </w:r>
    </w:p>
    <w:p w14:paraId="54191A7A" w14:textId="77777777" w:rsidR="006510DF" w:rsidRDefault="006510DF" w:rsidP="006510DF">
      <w:pPr>
        <w:pStyle w:val="CommentText"/>
      </w:pPr>
      <w:r>
        <w:rPr>
          <w:color w:val="000000"/>
        </w:rPr>
        <w:t xml:space="preserve">o A minimum of 5 years of experience working with systems similar to the CMS Marketplace systems </w:t>
      </w:r>
    </w:p>
    <w:p w14:paraId="6219A192" w14:textId="77777777" w:rsidR="006510DF" w:rsidRDefault="006510DF" w:rsidP="006510DF">
      <w:pPr>
        <w:pStyle w:val="CommentText"/>
      </w:pPr>
      <w:r>
        <w:rPr>
          <w:color w:val="000000"/>
        </w:rPr>
        <w:t xml:space="preserve">o A minimum of 5 years of experience supporting management of casework </w:t>
      </w:r>
    </w:p>
    <w:p w14:paraId="0C58436C" w14:textId="77777777" w:rsidR="006510DF" w:rsidRDefault="006510DF" w:rsidP="006510DF">
      <w:pPr>
        <w:pStyle w:val="CommentText"/>
      </w:pPr>
      <w:r>
        <w:rPr>
          <w:color w:val="000000"/>
        </w:rPr>
        <w:t xml:space="preserve">o A minimum of 3 years of experience with call center and helpdesk operations management </w:t>
      </w:r>
    </w:p>
    <w:p w14:paraId="1E6932A9" w14:textId="77777777" w:rsidR="006510DF" w:rsidRDefault="006510DF" w:rsidP="006510DF">
      <w:pPr>
        <w:pStyle w:val="CommentText"/>
      </w:pPr>
      <w:r>
        <w:rPr>
          <w:color w:val="000000"/>
        </w:rPr>
        <w:t xml:space="preserve">o Active PMP Certification </w:t>
      </w:r>
    </w:p>
  </w:comment>
  <w:comment w:id="142" w:author="Bhatnagar, Abhas" w:date="2026-04-24T00:23:00Z" w:initials="AB">
    <w:p w14:paraId="76F3B5C2" w14:textId="77777777" w:rsidR="006510DF" w:rsidRDefault="00CA7521" w:rsidP="006510DF">
      <w:pPr>
        <w:pStyle w:val="CommentText"/>
      </w:pPr>
      <w:r>
        <w:rPr>
          <w:rStyle w:val="CommentReference"/>
        </w:rPr>
        <w:annotationRef/>
      </w:r>
      <w:r w:rsidR="006510DF">
        <w:rPr>
          <w:b/>
          <w:bCs/>
        </w:rPr>
        <w:t xml:space="preserve">Attachment 2, </w:t>
      </w:r>
      <w:r w:rsidR="006510DF">
        <w:rPr>
          <w:b/>
          <w:bCs/>
          <w:color w:val="000000"/>
        </w:rPr>
        <w:t xml:space="preserve">Sub-Section 3A: Key Personnel Qualifications </w:t>
      </w:r>
      <w:r w:rsidR="006510DF">
        <w:rPr>
          <w:b/>
          <w:bCs/>
        </w:rPr>
        <w:t>Pg 9</w:t>
      </w:r>
      <w:r w:rsidR="006510DF">
        <w:rPr>
          <w:b/>
          <w:bCs/>
        </w:rPr>
        <w:br/>
      </w:r>
      <w:r w:rsidR="006510DF">
        <w:rPr>
          <w:b/>
          <w:bCs/>
          <w:color w:val="000000"/>
        </w:rPr>
        <w:br/>
        <w:t xml:space="preserve">Project Managers: </w:t>
      </w:r>
    </w:p>
    <w:p w14:paraId="7E90C06B" w14:textId="77777777" w:rsidR="006510DF" w:rsidRDefault="006510DF" w:rsidP="006510DF">
      <w:pPr>
        <w:pStyle w:val="CommentText"/>
      </w:pPr>
      <w:r>
        <w:rPr>
          <w:color w:val="000000"/>
        </w:rPr>
        <w:t xml:space="preserve">§ Serve as the Offeror’s representative responsible for managing the full scope of the SOW </w:t>
      </w:r>
    </w:p>
    <w:p w14:paraId="1232CD46"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41F9A868" w14:textId="77777777" w:rsidR="006510DF" w:rsidRDefault="006510DF" w:rsidP="006510DF">
      <w:pPr>
        <w:pStyle w:val="CommentText"/>
      </w:pPr>
      <w:r>
        <w:rPr>
          <w:color w:val="000000"/>
        </w:rPr>
        <w:t xml:space="preserve">§ Are responsible for all staff employed and all work performed under the contract </w:t>
      </w:r>
    </w:p>
    <w:p w14:paraId="21BE7D8B"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23E2F638"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550C8913"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r>
        <w:br/>
      </w:r>
    </w:p>
    <w:p w14:paraId="5CF389B9" w14:textId="77777777" w:rsidR="006510DF" w:rsidRDefault="006510DF" w:rsidP="006510DF">
      <w:pPr>
        <w:pStyle w:val="CommentText"/>
      </w:pPr>
      <w:r>
        <w:rPr>
          <w:b/>
          <w:bCs/>
          <w:color w:val="000000"/>
        </w:rPr>
        <w:t>Project Manager (IT Data and Technical Support)</w:t>
      </w:r>
      <w:r>
        <w:rPr>
          <w:color w:val="000000"/>
        </w:rPr>
        <w:t xml:space="preserve"> </w:t>
      </w:r>
    </w:p>
    <w:p w14:paraId="05F766A9" w14:textId="77777777" w:rsidR="006510DF" w:rsidRDefault="006510DF" w:rsidP="006510DF">
      <w:pPr>
        <w:pStyle w:val="CommentText"/>
      </w:pPr>
      <w:r>
        <w:rPr>
          <w:color w:val="000000"/>
        </w:rPr>
        <w:t xml:space="preserve">o A minimum of 8 years of experience in Electronic Data Interchange protocols. CMS compliance requirements and designing, developing, and integrating IT systems similar to those necessary to meet the SOW requirements </w:t>
      </w:r>
    </w:p>
    <w:p w14:paraId="7F2A1CCF" w14:textId="77777777" w:rsidR="006510DF" w:rsidRDefault="006510DF" w:rsidP="006510DF">
      <w:pPr>
        <w:pStyle w:val="CommentText"/>
      </w:pPr>
      <w:r>
        <w:rPr>
          <w:color w:val="000000"/>
        </w:rPr>
        <w:t xml:space="preserve">o A minimum of 5 years of experience managing complex IT projects, security protocols, and system updates among various stakeholder teams. </w:t>
      </w:r>
    </w:p>
    <w:p w14:paraId="7EFD7A92" w14:textId="77777777" w:rsidR="006510DF" w:rsidRDefault="006510DF" w:rsidP="006510DF">
      <w:pPr>
        <w:pStyle w:val="CommentText"/>
      </w:pPr>
      <w:r>
        <w:rPr>
          <w:color w:val="000000"/>
        </w:rPr>
        <w:t xml:space="preserve">o A minimum of 5 years of experience in standards development of American National Standards Institute (ANSI)-accredited transaction standards </w:t>
      </w:r>
    </w:p>
  </w:comment>
  <w:comment w:id="144" w:author="Bhatnagar, Abhas" w:date="2026-04-24T00:22:00Z" w:initials="AB">
    <w:p w14:paraId="2EC0A4C1" w14:textId="55D06B5F" w:rsidR="00427099" w:rsidRDefault="00427099" w:rsidP="0042709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p>
    <w:p w14:paraId="2F7D396F" w14:textId="77777777" w:rsidR="00427099" w:rsidRDefault="00427099" w:rsidP="00427099">
      <w:pPr>
        <w:pStyle w:val="CommentText"/>
      </w:pPr>
    </w:p>
    <w:p w14:paraId="72112F70" w14:textId="77777777" w:rsidR="00427099" w:rsidRDefault="00427099" w:rsidP="00427099">
      <w:pPr>
        <w:pStyle w:val="CommentText"/>
      </w:pPr>
      <w:r>
        <w:rPr>
          <w:b/>
          <w:bCs/>
          <w:color w:val="000000"/>
        </w:rPr>
        <w:t>Technical Director</w:t>
      </w:r>
      <w:r>
        <w:rPr>
          <w:color w:val="000000"/>
        </w:rPr>
        <w:br/>
        <w:t xml:space="preserve">o A minimum of 8 years of experience in software solutions, data analysis and analysis of electronic data interchange protocols </w:t>
      </w:r>
    </w:p>
    <w:p w14:paraId="2598E12E" w14:textId="77777777" w:rsidR="00427099" w:rsidRDefault="00427099" w:rsidP="00427099">
      <w:pPr>
        <w:pStyle w:val="CommentText"/>
      </w:pPr>
      <w:r>
        <w:rPr>
          <w:color w:val="000000"/>
        </w:rPr>
        <w:t xml:space="preserve">o A minimum of 5 years of experience working with systems similar to the CMS Marketplace systems </w:t>
      </w:r>
    </w:p>
  </w:comment>
  <w:comment w:id="146" w:author="Bhatnagar, Abhas" w:date="2026-04-24T00:21:00Z" w:initials="AB">
    <w:p w14:paraId="28908CAA" w14:textId="2EA2A571" w:rsidR="00B574A9" w:rsidRDefault="00B574A9" w:rsidP="00B574A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r>
        <w:br/>
      </w:r>
      <w:r>
        <w:br/>
      </w:r>
      <w:r>
        <w:rPr>
          <w:b/>
          <w:bCs/>
          <w:color w:val="000000"/>
        </w:rPr>
        <w:t xml:space="preserve">Security and Privacy Officer </w:t>
      </w:r>
      <w:r>
        <w:rPr>
          <w:color w:val="000000"/>
        </w:rPr>
        <w:br/>
        <w:t xml:space="preserve">o A minimum of 5 years of experience in Information Security and Privacy supporting CMS systems and programs </w:t>
      </w:r>
    </w:p>
    <w:p w14:paraId="4C711DFD" w14:textId="77777777" w:rsidR="00B574A9" w:rsidRDefault="00B574A9" w:rsidP="00B574A9">
      <w:pPr>
        <w:pStyle w:val="CommentText"/>
      </w:pPr>
      <w:r>
        <w:rPr>
          <w:color w:val="000000"/>
        </w:rPr>
        <w:t xml:space="preserve">o Undergraduate or graduate degree in Cybersecurity, Security Risk Analysis, or similar </w:t>
      </w:r>
    </w:p>
    <w:p w14:paraId="0FC759FE" w14:textId="77777777" w:rsidR="00B574A9" w:rsidRDefault="00B574A9" w:rsidP="00B574A9">
      <w:pPr>
        <w:pStyle w:val="CommentText"/>
      </w:pPr>
      <w:r>
        <w:rPr>
          <w:color w:val="000000"/>
        </w:rPr>
        <w:t xml:space="preserve">o Active Certified Information Systems Security Professional (CISSP) Certification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25A828" w15:done="0"/>
  <w15:commentEx w15:paraId="7583337B" w15:done="0"/>
  <w15:commentEx w15:paraId="467C6C46" w15:done="0"/>
  <w15:commentEx w15:paraId="112FAD1D" w15:done="0"/>
  <w15:commentEx w15:paraId="7C91B162" w15:done="0"/>
  <w15:commentEx w15:paraId="47B5D933" w15:done="0"/>
  <w15:commentEx w15:paraId="0F40F631" w15:done="0"/>
  <w15:commentEx w15:paraId="57CB2C08" w15:done="0"/>
  <w15:commentEx w15:paraId="28824E59" w15:done="0"/>
  <w15:commentEx w15:paraId="5BB95CCE" w15:done="0"/>
  <w15:commentEx w15:paraId="2A1D3191" w15:done="0"/>
  <w15:commentEx w15:paraId="5093E7DC" w15:done="0"/>
  <w15:commentEx w15:paraId="4C62FDC9" w15:done="0"/>
  <w15:commentEx w15:paraId="18D1D841" w15:paraIdParent="4C62FDC9" w15:done="0"/>
  <w15:commentEx w15:paraId="69B73DFA" w15:done="0"/>
  <w15:commentEx w15:paraId="5BD4BE12" w15:done="0"/>
  <w15:commentEx w15:paraId="514BCAEC" w15:done="0"/>
  <w15:commentEx w15:paraId="0A07C44F" w15:done="1"/>
  <w15:commentEx w15:paraId="26AD2F54" w15:done="1"/>
  <w15:commentEx w15:paraId="5333E8A0" w15:done="1"/>
  <w15:commentEx w15:paraId="09702961" w15:done="1"/>
  <w15:commentEx w15:paraId="2B97751F" w15:done="1"/>
  <w15:commentEx w15:paraId="4AC5698B" w15:done="1"/>
  <w15:commentEx w15:paraId="68D8BE2B" w15:done="1"/>
  <w15:commentEx w15:paraId="5E8BF986" w15:done="0"/>
  <w15:commentEx w15:paraId="2599AF8A" w15:paraIdParent="5E8BF986" w15:done="0"/>
  <w15:commentEx w15:paraId="2AEC1D4C" w15:done="0"/>
  <w15:commentEx w15:paraId="2E077F52" w15:done="0"/>
  <w15:commentEx w15:paraId="46D811AC" w15:done="0"/>
  <w15:commentEx w15:paraId="0E687C86" w15:done="0"/>
  <w15:commentEx w15:paraId="261972F3" w15:paraIdParent="0E687C86" w15:done="0"/>
  <w15:commentEx w15:paraId="5F9C9625" w15:done="0"/>
  <w15:commentEx w15:paraId="0EBAA838" w15:paraIdParent="5F9C9625" w15:done="0"/>
  <w15:commentEx w15:paraId="7DABF88F" w15:done="0"/>
  <w15:commentEx w15:paraId="3B1EA8FE" w15:paraIdParent="7DABF88F" w15:done="0"/>
  <w15:commentEx w15:paraId="0EA79AFD" w15:paraIdParent="7DABF88F" w15:done="0"/>
  <w15:commentEx w15:paraId="62318B72" w15:paraIdParent="7DABF88F" w15:done="0"/>
  <w15:commentEx w15:paraId="6BDB6368" w15:paraIdParent="7DABF88F" w15:done="0"/>
  <w15:commentEx w15:paraId="790C2EBE" w15:done="0"/>
  <w15:commentEx w15:paraId="63A5C210" w15:done="0"/>
  <w15:commentEx w15:paraId="7471FBAC" w15:done="0"/>
  <w15:commentEx w15:paraId="2AC88344" w15:done="1"/>
  <w15:commentEx w15:paraId="3B144B32" w15:done="0"/>
  <w15:commentEx w15:paraId="22DF345D" w15:done="0"/>
  <w15:commentEx w15:paraId="78FF257B" w15:done="0"/>
  <w15:commentEx w15:paraId="73D42258" w15:done="0"/>
  <w15:commentEx w15:paraId="6BDF5640" w15:done="0"/>
  <w15:commentEx w15:paraId="332D4808" w15:done="0"/>
  <w15:commentEx w15:paraId="4371E9D9" w15:paraIdParent="332D4808" w15:done="0"/>
  <w15:commentEx w15:paraId="5B851AAE" w15:done="0"/>
  <w15:commentEx w15:paraId="214DC1B4" w15:paraIdParent="5B851AAE" w15:done="0"/>
  <w15:commentEx w15:paraId="1725078B" w15:done="0"/>
  <w15:commentEx w15:paraId="3972C891" w15:done="0"/>
  <w15:commentEx w15:paraId="320B7060" w15:done="0"/>
  <w15:commentEx w15:paraId="4DB6B04E" w15:done="0"/>
  <w15:commentEx w15:paraId="40696C92" w15:done="0"/>
  <w15:commentEx w15:paraId="28CE2CE2" w15:done="0"/>
  <w15:commentEx w15:paraId="3A1C5EB7" w15:done="0"/>
  <w15:commentEx w15:paraId="0B1F24E3" w15:done="0"/>
  <w15:commentEx w15:paraId="24464175" w15:paraIdParent="0B1F24E3" w15:done="0"/>
  <w15:commentEx w15:paraId="4F5C7654" w15:done="0"/>
  <w15:commentEx w15:paraId="03010398" w15:done="0"/>
  <w15:commentEx w15:paraId="1483A522" w15:done="0"/>
  <w15:commentEx w15:paraId="5F26FC02" w15:done="0"/>
  <w15:commentEx w15:paraId="24B15D94" w15:done="0"/>
  <w15:commentEx w15:paraId="349381F7" w15:done="0"/>
  <w15:commentEx w15:paraId="4BE50C68" w15:done="0"/>
  <w15:commentEx w15:paraId="5D73DD2B" w15:done="0"/>
  <w15:commentEx w15:paraId="2CFED3C9" w15:done="0"/>
  <w15:commentEx w15:paraId="1DF2C451" w15:done="0"/>
  <w15:commentEx w15:paraId="3A4104C2" w15:done="0"/>
  <w15:commentEx w15:paraId="4D76182A" w15:done="0"/>
  <w15:commentEx w15:paraId="3FA42A10" w15:done="0"/>
  <w15:commentEx w15:paraId="51914692" w15:done="0"/>
  <w15:commentEx w15:paraId="4D4D3311" w15:paraIdParent="51914692" w15:done="0"/>
  <w15:commentEx w15:paraId="45B9FEC4" w15:done="0"/>
  <w15:commentEx w15:paraId="7544DDAA" w15:done="0"/>
  <w15:commentEx w15:paraId="6740C0DA" w15:done="0"/>
  <w15:commentEx w15:paraId="2F603C75" w15:done="0"/>
  <w15:commentEx w15:paraId="592DE5C1" w15:done="0"/>
  <w15:commentEx w15:paraId="08A53F2F" w15:done="0"/>
  <w15:commentEx w15:paraId="74BD884D" w15:done="0"/>
  <w15:commentEx w15:paraId="2D06AC1A" w15:done="0"/>
  <w15:commentEx w15:paraId="1E6932A9" w15:done="0"/>
  <w15:commentEx w15:paraId="7EFD7A92" w15:done="0"/>
  <w15:commentEx w15:paraId="2598E12E" w15:done="0"/>
  <w15:commentEx w15:paraId="0FC759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9D394C" w16cex:dateUtc="2026-04-27T10:59:00Z"/>
  <w16cex:commentExtensible w16cex:durableId="1D96CB44" w16cex:dateUtc="2026-04-27T12:08:00Z"/>
  <w16cex:commentExtensible w16cex:durableId="4A8A1A63" w16cex:dateUtc="2026-04-23T16:40:00Z"/>
  <w16cex:commentExtensible w16cex:durableId="0968EF81" w16cex:dateUtc="2026-04-27T12:03:00Z"/>
  <w16cex:commentExtensible w16cex:durableId="37968BD5" w16cex:dateUtc="2026-04-27T11:58:00Z"/>
  <w16cex:commentExtensible w16cex:durableId="484867DE" w16cex:dateUtc="2026-04-23T16:54:00Z"/>
  <w16cex:commentExtensible w16cex:durableId="22359CB5" w16cex:dateUtc="2026-04-27T11:03:00Z"/>
  <w16cex:commentExtensible w16cex:durableId="17E8EED2" w16cex:dateUtc="2026-04-27T10:39:00Z"/>
  <w16cex:commentExtensible w16cex:durableId="12F7824F" w16cex:dateUtc="2026-04-27T10:42:00Z"/>
  <w16cex:commentExtensible w16cex:durableId="0211B297" w16cex:dateUtc="2026-04-27T10:45:00Z"/>
  <w16cex:commentExtensible w16cex:durableId="59B872B2" w16cex:dateUtc="2026-04-27T12:17:00Z"/>
  <w16cex:commentExtensible w16cex:durableId="718C5F80" w16cex:dateUtc="2026-04-23T16:58:00Z"/>
  <w16cex:commentExtensible w16cex:durableId="101C6788" w16cex:dateUtc="2026-04-27T11:07:00Z"/>
  <w16cex:commentExtensible w16cex:durableId="16A0818C" w16cex:dateUtc="2026-04-27T12:00:00Z"/>
  <w16cex:commentExtensible w16cex:durableId="687FC6A7" w16cex:dateUtc="2026-04-27T12:24:00Z"/>
  <w16cex:commentExtensible w16cex:durableId="3156D342" w16cex:dateUtc="2026-04-27T12:12:00Z"/>
  <w16cex:commentExtensible w16cex:durableId="456C3093" w16cex:dateUtc="2026-04-27T11:08:00Z"/>
  <w16cex:commentExtensible w16cex:durableId="6E1CD169" w16cex:dateUtc="2026-04-26T19:32:00Z">
    <w16cex:extLst>
      <w16:ext w16:uri="{CE6994B0-6A32-4C9F-8C6B-6E91EDA988CE}">
        <cr:reactions xmlns:cr="http://schemas.microsoft.com/office/comments/2020/reactions">
          <cr:reaction reactionType="1">
            <cr:reactionInfo dateUtc="2026-04-26T20:28:37Z">
              <cr:user userId="S::bnoorani@deloitte.com::beb4e5f7-4739-494c-8057-3e3c9980109f" userProvider="AD" userName="Noorani, Bilal"/>
            </cr:reactionInfo>
          </cr:reaction>
        </cr:reactions>
      </w16:ext>
    </w16cex:extLst>
  </w16cex:commentExtensible>
  <w16cex:commentExtensible w16cex:durableId="66CBB94B" w16cex:dateUtc="2026-04-26T21:51:00Z"/>
  <w16cex:commentExtensible w16cex:durableId="594F0FD4" w16cex:dateUtc="2026-04-26T19:21:00Z"/>
  <w16cex:commentExtensible w16cex:durableId="76A22E89" w16cex:dateUtc="2026-04-26T21:06:00Z"/>
  <w16cex:commentExtensible w16cex:durableId="3122FBE6" w16cex:dateUtc="2026-04-26T19:31:00Z"/>
  <w16cex:commentExtensible w16cex:durableId="44FC3E34" w16cex:dateUtc="2026-04-26T19:26:00Z"/>
  <w16cex:commentExtensible w16cex:durableId="2DA44AD1" w16cex:dateUtc="2026-04-26T23:51:00Z"/>
  <w16cex:commentExtensible w16cex:durableId="7096D15F" w16cex:dateUtc="2026-04-27T03:00:00Z"/>
  <w16cex:commentExtensible w16cex:durableId="2596DBA3" w16cex:dateUtc="2026-04-27T03:11:00Z"/>
  <w16cex:commentExtensible w16cex:durableId="0D76455C" w16cex:dateUtc="2026-04-27T03:13:00Z"/>
  <w16cex:commentExtensible w16cex:durableId="2400F758" w16cex:dateUtc="2026-04-25T23:35:00Z"/>
  <w16cex:commentExtensible w16cex:durableId="64776B0B" w16cex:dateUtc="2026-04-25T22:53:00Z"/>
  <w16cex:commentExtensible w16cex:durableId="63EDF627" w16cex:dateUtc="2026-04-26T00:53:00Z"/>
  <w16cex:commentExtensible w16cex:durableId="7A493AA1" w16cex:dateUtc="2026-04-25T22:56:00Z">
    <w16cex:extLst>
      <w16:ext w16:uri="{CE6994B0-6A32-4C9F-8C6B-6E91EDA988CE}">
        <cr:reactions xmlns:cr="http://schemas.microsoft.com/office/comments/2020/reactions">
          <cr:reaction reactionType="1">
            <cr:reactionInfo dateUtc="2026-04-26T00:54:24Z">
              <cr:user userId="S::pkrauseschmidt@deloitte.com::294c8113-155f-48a4-b102-0ad46e5653f0" userProvider="AD" userName="Krause Schmidt, Phil"/>
            </cr:reactionInfo>
          </cr:reaction>
        </cr:reactions>
      </w16:ext>
    </w16cex:extLst>
  </w16cex:commentExtensible>
  <w16cex:commentExtensible w16cex:durableId="7BF93834" w16cex:dateUtc="2026-04-26T00:56:00Z"/>
  <w16cex:commentExtensible w16cex:durableId="31D567B4" w16cex:dateUtc="2026-04-25T22:59:00Z"/>
  <w16cex:commentExtensible w16cex:durableId="12FFC70F" w16cex:dateUtc="2026-04-26T00:57:00Z"/>
  <w16cex:commentExtensible w16cex:durableId="236E9E85" w16cex:dateUtc="2026-04-26T01:30:00Z"/>
  <w16cex:commentExtensible w16cex:durableId="76D5348B" w16cex:dateUtc="2026-04-26T01:32:00Z"/>
  <w16cex:commentExtensible w16cex:durableId="2A670CEB" w16cex:dateUtc="2026-04-26T01:37:00Z"/>
  <w16cex:commentExtensible w16cex:durableId="1E086C89" w16cex:dateUtc="2026-04-27T11:38:00Z"/>
  <w16cex:commentExtensible w16cex:durableId="3F5A199B" w16cex:dateUtc="2026-04-25T22:26:00Z"/>
  <w16cex:commentExtensible w16cex:durableId="457431EB" w16cex:dateUtc="2026-04-27T01:32:00Z"/>
  <w16cex:commentExtensible w16cex:durableId="70A2AF63" w16cex:dateUtc="2026-04-26T02:05:00Z"/>
  <w16cex:commentExtensible w16cex:durableId="18CA5030" w16cex:dateUtc="2026-04-23T17:02:00Z"/>
  <w16cex:commentExtensible w16cex:durableId="7E0F873F" w16cex:dateUtc="2026-04-23T16:59:00Z"/>
  <w16cex:commentExtensible w16cex:durableId="2DE5AF2E" w16cex:dateUtc="2026-04-23T17:08:00Z"/>
  <w16cex:commentExtensible w16cex:durableId="1A7B7BE8" w16cex:dateUtc="2026-04-27T12:02:00Z"/>
  <w16cex:commentExtensible w16cex:durableId="318BB213" w16cex:dateUtc="2026-04-27T12:08:00Z"/>
  <w16cex:commentExtensible w16cex:durableId="7E59ED4A" w16cex:dateUtc="2026-04-24T16:14:00Z"/>
  <w16cex:commentExtensible w16cex:durableId="7E7A00CC" w16cex:dateUtc="2026-04-24T16:14:00Z"/>
  <w16cex:commentExtensible w16cex:durableId="109CB68E" w16cex:dateUtc="2026-04-27T12:03:00Z"/>
  <w16cex:commentExtensible w16cex:durableId="33A8E978" w16cex:dateUtc="2026-04-27T12:09:00Z"/>
  <w16cex:commentExtensible w16cex:durableId="03591BF9" w16cex:dateUtc="2026-04-27T12:10:00Z"/>
  <w16cex:commentExtensible w16cex:durableId="753736F4" w16cex:dateUtc="2026-04-27T12:22:00Z"/>
  <w16cex:commentExtensible w16cex:durableId="767D3F5D" w16cex:dateUtc="2026-04-24T16:16:00Z"/>
  <w16cex:commentExtensible w16cex:durableId="35ACACE8" w16cex:dateUtc="2026-04-24T16:10:00Z"/>
  <w16cex:commentExtensible w16cex:durableId="4968BC29" w16cex:dateUtc="2026-04-24T17:20:00Z"/>
  <w16cex:commentExtensible w16cex:durableId="33CA703C" w16cex:dateUtc="2026-04-24T17:07:00Z"/>
  <w16cex:commentExtensible w16cex:durableId="54711440" w16cex:dateUtc="2026-04-23T17:11:00Z"/>
  <w16cex:commentExtensible w16cex:durableId="5BB7DB80" w16cex:dateUtc="2026-04-25T18:36:00Z"/>
  <w16cex:commentExtensible w16cex:durableId="3860E28E" w16cex:dateUtc="2026-04-25T18:36:00Z"/>
  <w16cex:commentExtensible w16cex:durableId="428A21BA" w16cex:dateUtc="2026-04-27T12:24:00Z"/>
  <w16cex:commentExtensible w16cex:durableId="2B240F74" w16cex:dateUtc="2026-04-23T17:15:00Z"/>
  <w16cex:commentExtensible w16cex:durableId="7CD83381" w16cex:dateUtc="2026-04-27T12:26:00Z"/>
  <w16cex:commentExtensible w16cex:durableId="58CFF3F6" w16cex:dateUtc="2026-04-27T12:04:00Z"/>
  <w16cex:commentExtensible w16cex:durableId="079215E6" w16cex:dateUtc="2026-04-27T11:57:00Z"/>
  <w16cex:commentExtensible w16cex:durableId="14E1EA0F" w16cex:dateUtc="2026-04-27T12:27:00Z"/>
  <w16cex:commentExtensible w16cex:durableId="47003CF6" w16cex:dateUtc="2026-04-27T11:58:00Z"/>
  <w16cex:commentExtensible w16cex:durableId="63A8B9F6" w16cex:dateUtc="2026-04-27T11:59:00Z"/>
  <w16cex:commentExtensible w16cex:durableId="1675C7D2" w16cex:dateUtc="2026-04-27T11:51:00Z"/>
  <w16cex:commentExtensible w16cex:durableId="24EFBA6B" w16cex:dateUtc="2026-04-27T11:50:00Z"/>
  <w16cex:commentExtensible w16cex:durableId="38EF4E99" w16cex:dateUtc="2026-04-27T12:01:00Z"/>
  <w16cex:commentExtensible w16cex:durableId="548510B4" w16cex:dateUtc="2026-04-23T17:20:00Z"/>
  <w16cex:commentExtensible w16cex:durableId="7173DDA5" w16cex:dateUtc="2026-04-26T21:10:00Z"/>
  <w16cex:commentExtensible w16cex:durableId="435DB69C" w16cex:dateUtc="2026-04-24T17:19:00Z"/>
  <w16cex:commentExtensible w16cex:durableId="204A9E30" w16cex:dateUtc="2026-04-26T21:03:00Z"/>
  <w16cex:commentExtensible w16cex:durableId="380BC958" w16cex:dateUtc="2026-04-23T17:25:00Z"/>
  <w16cex:commentExtensible w16cex:durableId="352F0804" w16cex:dateUtc="2026-04-26T22:16:00Z"/>
  <w16cex:commentExtensible w16cex:durableId="39AE8EC6" w16cex:dateUtc="2026-04-26T22:23:00Z"/>
  <w16cex:commentExtensible w16cex:durableId="2EFA5288" w16cex:dateUtc="2026-04-26T22:15:00Z"/>
  <w16cex:commentExtensible w16cex:durableId="3109C998" w16cex:dateUtc="2026-04-23T17:30:00Z"/>
  <w16cex:commentExtensible w16cex:durableId="434EBC0B" w16cex:dateUtc="2026-04-23T19:02:00Z"/>
  <w16cex:commentExtensible w16cex:durableId="5D09EDE9" w16cex:dateUtc="2026-04-23T18:58:00Z"/>
  <w16cex:commentExtensible w16cex:durableId="52C1F414" w16cex:dateUtc="2026-04-23T18:57:00Z"/>
  <w16cex:commentExtensible w16cex:durableId="0AE1F317" w16cex:dateUtc="2026-04-23T18:55:00Z"/>
  <w16cex:commentExtensible w16cex:durableId="0BFE9361" w16cex:dateUtc="2026-04-23T18:53:00Z"/>
  <w16cex:commentExtensible w16cex:durableId="66761DE6" w16cex:dateUtc="2026-04-23T18:52:00Z"/>
  <w16cex:commentExtensible w16cex:durableId="30C5561B" w16cex:dateUtc="2026-04-23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25A828" w16cid:durableId="749D394C"/>
  <w16cid:commentId w16cid:paraId="7583337B" w16cid:durableId="1D96CB44"/>
  <w16cid:commentId w16cid:paraId="467C6C46" w16cid:durableId="4A8A1A63"/>
  <w16cid:commentId w16cid:paraId="112FAD1D" w16cid:durableId="0968EF81"/>
  <w16cid:commentId w16cid:paraId="7C91B162" w16cid:durableId="37968BD5"/>
  <w16cid:commentId w16cid:paraId="47B5D933" w16cid:durableId="484867DE"/>
  <w16cid:commentId w16cid:paraId="0F40F631" w16cid:durableId="22359CB5"/>
  <w16cid:commentId w16cid:paraId="57CB2C08" w16cid:durableId="17E8EED2"/>
  <w16cid:commentId w16cid:paraId="28824E59" w16cid:durableId="12F7824F"/>
  <w16cid:commentId w16cid:paraId="5BB95CCE" w16cid:durableId="0211B297"/>
  <w16cid:commentId w16cid:paraId="2A1D3191" w16cid:durableId="59B872B2"/>
  <w16cid:commentId w16cid:paraId="5093E7DC" w16cid:durableId="718C5F80"/>
  <w16cid:commentId w16cid:paraId="4C62FDC9" w16cid:durableId="101C6788"/>
  <w16cid:commentId w16cid:paraId="18D1D841" w16cid:durableId="16A0818C"/>
  <w16cid:commentId w16cid:paraId="69B73DFA" w16cid:durableId="687FC6A7"/>
  <w16cid:commentId w16cid:paraId="5BD4BE12" w16cid:durableId="3156D342"/>
  <w16cid:commentId w16cid:paraId="514BCAEC" w16cid:durableId="456C3093"/>
  <w16cid:commentId w16cid:paraId="0A07C44F" w16cid:durableId="6E1CD169"/>
  <w16cid:commentId w16cid:paraId="26AD2F54" w16cid:durableId="66CBB94B"/>
  <w16cid:commentId w16cid:paraId="09702961" w16cid:durableId="594F0FD4"/>
  <w16cid:commentId w16cid:paraId="2B97751F" w16cid:durableId="76A22E89"/>
  <w16cid:commentId w16cid:paraId="4AC5698B" w16cid:durableId="3122FBE6"/>
  <w16cid:commentId w16cid:paraId="68D8BE2B" w16cid:durableId="44FC3E34"/>
  <w16cid:commentId w16cid:paraId="5E8BF986" w16cid:durableId="2DA44AD1"/>
  <w16cid:commentId w16cid:paraId="2599AF8A" w16cid:durableId="7096D15F"/>
  <w16cid:commentId w16cid:paraId="2AEC1D4C" w16cid:durableId="2596DBA3"/>
  <w16cid:commentId w16cid:paraId="2E077F52" w16cid:durableId="0D76455C"/>
  <w16cid:commentId w16cid:paraId="46D811AC" w16cid:durableId="2400F758"/>
  <w16cid:commentId w16cid:paraId="0E687C86" w16cid:durableId="64776B0B"/>
  <w16cid:commentId w16cid:paraId="261972F3" w16cid:durableId="63EDF627"/>
  <w16cid:commentId w16cid:paraId="5F9C9625" w16cid:durableId="7A493AA1"/>
  <w16cid:commentId w16cid:paraId="0EBAA838" w16cid:durableId="7BF93834"/>
  <w16cid:commentId w16cid:paraId="7DABF88F" w16cid:durableId="31D567B4"/>
  <w16cid:commentId w16cid:paraId="3B1EA8FE" w16cid:durableId="12FFC70F"/>
  <w16cid:commentId w16cid:paraId="0EA79AFD" w16cid:durableId="236E9E85"/>
  <w16cid:commentId w16cid:paraId="62318B72" w16cid:durableId="76D5348B"/>
  <w16cid:commentId w16cid:paraId="6BDB6368" w16cid:durableId="2A670CEB"/>
  <w16cid:commentId w16cid:paraId="790C2EBE" w16cid:durableId="1E086C89"/>
  <w16cid:commentId w16cid:paraId="63A5C210" w16cid:durableId="3F5A199B"/>
  <w16cid:commentId w16cid:paraId="7471FBAC" w16cid:durableId="457431EB"/>
  <w16cid:commentId w16cid:paraId="2AC88344" w16cid:durableId="70A2AF63"/>
  <w16cid:commentId w16cid:paraId="3B144B32" w16cid:durableId="18CA5030"/>
  <w16cid:commentId w16cid:paraId="22DF345D" w16cid:durableId="7E0F873F"/>
  <w16cid:commentId w16cid:paraId="78FF257B" w16cid:durableId="2DE5AF2E"/>
  <w16cid:commentId w16cid:paraId="73D42258" w16cid:durableId="1A7B7BE8"/>
  <w16cid:commentId w16cid:paraId="6BDF5640" w16cid:durableId="318BB213"/>
  <w16cid:commentId w16cid:paraId="332D4808" w16cid:durableId="7E59ED4A"/>
  <w16cid:commentId w16cid:paraId="4371E9D9" w16cid:durableId="7E7A00CC"/>
  <w16cid:commentId w16cid:paraId="5B851AAE" w16cid:durableId="109CB68E"/>
  <w16cid:commentId w16cid:paraId="214DC1B4" w16cid:durableId="33A8E978"/>
  <w16cid:commentId w16cid:paraId="1725078B" w16cid:durableId="03591BF9"/>
  <w16cid:commentId w16cid:paraId="3972C891" w16cid:durableId="753736F4"/>
  <w16cid:commentId w16cid:paraId="320B7060" w16cid:durableId="767D3F5D"/>
  <w16cid:commentId w16cid:paraId="4DB6B04E" w16cid:durableId="35ACACE8"/>
  <w16cid:commentId w16cid:paraId="40696C92" w16cid:durableId="4968BC29"/>
  <w16cid:commentId w16cid:paraId="28CE2CE2" w16cid:durableId="33CA703C"/>
  <w16cid:commentId w16cid:paraId="3A1C5EB7" w16cid:durableId="54711440"/>
  <w16cid:commentId w16cid:paraId="0B1F24E3" w16cid:durableId="5BB7DB80"/>
  <w16cid:commentId w16cid:paraId="24464175" w16cid:durableId="3860E28E"/>
  <w16cid:commentId w16cid:paraId="4F5C7654" w16cid:durableId="428A21BA"/>
  <w16cid:commentId w16cid:paraId="03010398" w16cid:durableId="2B240F74"/>
  <w16cid:commentId w16cid:paraId="1483A522" w16cid:durableId="7CD83381"/>
  <w16cid:commentId w16cid:paraId="5F26FC02" w16cid:durableId="58CFF3F6"/>
  <w16cid:commentId w16cid:paraId="24B15D94" w16cid:durableId="079215E6"/>
  <w16cid:commentId w16cid:paraId="349381F7" w16cid:durableId="14E1EA0F"/>
  <w16cid:commentId w16cid:paraId="4BE50C68" w16cid:durableId="47003CF6"/>
  <w16cid:commentId w16cid:paraId="5D73DD2B" w16cid:durableId="63A8B9F6"/>
  <w16cid:commentId w16cid:paraId="2CFED3C9" w16cid:durableId="1675C7D2"/>
  <w16cid:commentId w16cid:paraId="1DF2C451" w16cid:durableId="24EFBA6B"/>
  <w16cid:commentId w16cid:paraId="3A4104C2" w16cid:durableId="38EF4E99"/>
  <w16cid:commentId w16cid:paraId="4D76182A" w16cid:durableId="548510B4"/>
  <w16cid:commentId w16cid:paraId="3FA42A10" w16cid:durableId="7173DDA5"/>
  <w16cid:commentId w16cid:paraId="51914692" w16cid:durableId="435DB69C"/>
  <w16cid:commentId w16cid:paraId="4D4D3311" w16cid:durableId="204A9E30"/>
  <w16cid:commentId w16cid:paraId="45B9FEC4" w16cid:durableId="380BC958"/>
  <w16cid:commentId w16cid:paraId="7544DDAA" w16cid:durableId="352F0804"/>
  <w16cid:commentId w16cid:paraId="6740C0DA" w16cid:durableId="39AE8EC6"/>
  <w16cid:commentId w16cid:paraId="2F603C75" w16cid:durableId="2EFA5288"/>
  <w16cid:commentId w16cid:paraId="592DE5C1" w16cid:durableId="3109C998"/>
  <w16cid:commentId w16cid:paraId="08A53F2F" w16cid:durableId="434EBC0B"/>
  <w16cid:commentId w16cid:paraId="74BD884D" w16cid:durableId="5D09EDE9"/>
  <w16cid:commentId w16cid:paraId="2D06AC1A" w16cid:durableId="52C1F414"/>
  <w16cid:commentId w16cid:paraId="1E6932A9" w16cid:durableId="0AE1F317"/>
  <w16cid:commentId w16cid:paraId="7EFD7A92" w16cid:durableId="0BFE9361"/>
  <w16cid:commentId w16cid:paraId="2598E12E" w16cid:durableId="66761DE6"/>
  <w16cid:commentId w16cid:paraId="0FC759FE" w16cid:durableId="30C55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