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drawing>
          <wp:anchor distT="0" distB="0" distL="114300" distR="114300" simplePos="0" relativeHeight="251658241" behindDoc="1" locked="0" layoutInCell="1" allowOverlap="1" wp14:anchorId="534F4237" wp14:editId="22AC223B">
            <wp:simplePos x="0" y="0"/>
            <wp:positionH relativeFrom="margin">
              <wp:align>right</wp:align>
            </wp:positionH>
            <wp:positionV relativeFrom="paragraph">
              <wp:posOffset>198755</wp:posOffset>
            </wp:positionV>
            <wp:extent cx="947420" cy="838200"/>
            <wp:effectExtent l="0" t="0" r="5080" b="0"/>
            <wp:wrapTight wrapText="bothSides">
              <wp:wrapPolygon edited="0">
                <wp:start x="9555" y="0"/>
                <wp:lineTo x="434" y="4418"/>
                <wp:lineTo x="0" y="13745"/>
                <wp:lineTo x="3909" y="16200"/>
                <wp:lineTo x="3909" y="17182"/>
                <wp:lineTo x="8252" y="20618"/>
                <wp:lineTo x="9555" y="21109"/>
                <wp:lineTo x="14332" y="21109"/>
                <wp:lineTo x="15635" y="20618"/>
                <wp:lineTo x="20413" y="16200"/>
                <wp:lineTo x="21282" y="11291"/>
                <wp:lineTo x="21282" y="6382"/>
                <wp:lineTo x="17807" y="2455"/>
                <wp:lineTo x="14332" y="0"/>
                <wp:lineTo x="9555" y="0"/>
              </wp:wrapPolygon>
            </wp:wrapTight>
            <wp:docPr id="5" name="Picture 5"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eritage_Seal_Primary_RGB.png"/>
                    <pic:cNvPicPr/>
                  </pic:nvPicPr>
                  <pic:blipFill rotWithShape="1">
                    <a:blip r:embed="rId12"/>
                    <a:srcRect l="9328" t="14344" r="10346" b="14635"/>
                    <a:stretch/>
                  </pic:blipFill>
                  <pic:spPr bwMode="auto">
                    <a:xfrm>
                      <a:off x="0" y="0"/>
                      <a:ext cx="947420" cy="838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7269A">
        <w:t xml:space="preserve">Request for </w:t>
      </w:r>
      <w:r w:rsidR="00C32A3C">
        <w:t>Quote</w:t>
      </w:r>
      <w:r w:rsidRPr="00C7269A">
        <w:t xml:space="preserve"> (RF</w:t>
      </w:r>
      <w:r w:rsidR="00C32A3C">
        <w:t>Q</w:t>
      </w:r>
      <w:r w:rsidRPr="00C7269A">
        <w:t xml:space="preserve">): </w:t>
      </w:r>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Deloitte</w:t>
      </w:r>
      <w:r>
        <w:rPr>
          <w:rStyle w:val="FootnoteReference"/>
        </w:rPr>
        <w:footnoteReference w:id="2"/>
      </w:r>
      <w:r>
        <w:t xml:space="preserve"> is pleased to submit our proposal to provide </w:t>
      </w:r>
      <w:r w:rsidR="00E67541" w:rsidRPr="00E67541">
        <w:t xml:space="preserve">Enrollment Resolution &amp; Reconciliation (ER&amp;R), Form 1095-A Data Reporting </w:t>
      </w:r>
      <w:r w:rsidRPr="00072882">
        <w:t xml:space="preserve">to the </w:t>
      </w:r>
      <w:fldSimple w:instr="STYLEREF  &quot;Cover title&quot;  \* MERGEFORMAT">
        <w:r w:rsidR="00C73A0E">
          <w:rPr>
            <w:noProof/>
          </w:rPr>
          <w:t>Centers for Medicare &amp; Medicaid Services (CMS)</w:t>
        </w:r>
      </w:fldSimple>
      <w:r w:rsidRPr="00072882">
        <w:t>. We believe that our submission meets all of the requirements of the request, and demonstrates that Deloitte possesses the required level of skill and experience</w:t>
      </w:r>
      <w:r>
        <w:t xml:space="preserve"> to perform the Statement of Work (</w:t>
      </w:r>
      <w:r w:rsidRPr="000421FB">
        <w:t>SOW</w:t>
      </w:r>
      <w:r>
        <w:t xml:space="preserve">). </w:t>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 xml:space="preserve">We look forward to working with you to achieve optimum </w:t>
      </w:r>
      <w:r w:rsidRPr="00072882">
        <w:t xml:space="preserve">value to </w:t>
      </w:r>
      <w:fldSimple w:instr="STYLEREF  &quot;Cover title&quot;  \* MERGEFORMAT">
        <w:r w:rsidR="00E67541">
          <w:rPr>
            <w:noProof/>
          </w:rPr>
          <w:t>Centers for Medicare &amp; Medicaid Services (CMS)</w:t>
        </w:r>
      </w:fldSimple>
      <w:r w:rsidRPr="00072882">
        <w:t>. If you have any questions or require additional informati</w:t>
      </w:r>
      <w:r>
        <w:t xml:space="preserve">on, please contact me at </w:t>
      </w:r>
      <w:r w:rsidR="00E67541" w:rsidRPr="00E67541">
        <w:t>+1 (617) 437-2646</w:t>
      </w:r>
      <w:r>
        <w:t xml:space="preserve">. Should you have any contractual questions, please contact </w:t>
      </w:r>
      <w:r w:rsidR="00E67541" w:rsidRPr="00E67541">
        <w:t>Teresa Sage, Contracts Administrator</w:t>
      </w:r>
      <w:r>
        <w:t xml:space="preserve">, </w:t>
      </w:r>
      <w:r w:rsidR="00E67541" w:rsidRPr="00E67541">
        <w:t>+1 (571) 814-7707</w:t>
      </w:r>
      <w:r>
        <w:t>.</w:t>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06F2084F" w14:textId="4DC2F0B2" w:rsidR="00E80859" w:rsidRDefault="00E80859">
      <w:pPr>
        <w:pStyle w:val="TOC1"/>
        <w:rPr>
          <w:rFonts w:asciiTheme="minorHAnsi" w:eastAsiaTheme="minorEastAsia" w:hAnsiTheme="minorHAnsi" w:cstheme="minorBidi"/>
          <w:kern w:val="2"/>
          <w14:ligatures w14:val="standardContextual"/>
        </w:rPr>
      </w:pPr>
      <w:hyperlink w:anchor="_Toc227883205" w:history="1">
        <w:r w:rsidRPr="00CE6FA0">
          <w:rPr>
            <w:rStyle w:val="Hyperlink"/>
            <w:rFonts w:eastAsiaTheme="majorEastAsia"/>
          </w:rPr>
          <w:t>1.0</w:t>
        </w:r>
        <w:r>
          <w:rPr>
            <w:rFonts w:asciiTheme="minorHAnsi" w:eastAsiaTheme="minorEastAsia" w:hAnsiTheme="minorHAnsi" w:cstheme="minorBidi"/>
            <w:kern w:val="2"/>
            <w14:ligatures w14:val="standardContextual"/>
          </w:rPr>
          <w:tab/>
        </w:r>
        <w:r w:rsidRPr="00CE6FA0">
          <w:rPr>
            <w:rStyle w:val="Hyperlink"/>
            <w:rFonts w:eastAsiaTheme="majorEastAsia"/>
          </w:rPr>
          <w:t>Heading 1 Style example</w:t>
        </w:r>
        <w:r>
          <w:rPr>
            <w:webHidden/>
          </w:rPr>
          <w:tab/>
        </w:r>
        <w:r>
          <w:rPr>
            <w:webHidden/>
          </w:rPr>
          <w:fldChar w:fldCharType="begin"/>
        </w:r>
        <w:r>
          <w:rPr>
            <w:webHidden/>
          </w:rPr>
          <w:instrText xml:space="preserve"> PAGEREF _Toc227883205 \h </w:instrText>
        </w:r>
        <w:r>
          <w:rPr>
            <w:webHidden/>
          </w:rPr>
        </w:r>
        <w:r>
          <w:rPr>
            <w:webHidden/>
          </w:rPr>
          <w:fldChar w:fldCharType="separate"/>
        </w:r>
        <w:r>
          <w:rPr>
            <w:webHidden/>
          </w:rPr>
          <w:t>1</w:t>
        </w:r>
        <w:r>
          <w:rPr>
            <w:webHidden/>
          </w:rPr>
          <w:fldChar w:fldCharType="end"/>
        </w:r>
      </w:hyperlink>
    </w:p>
    <w:p w14:paraId="0E357ADF" w14:textId="60563C42"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6"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Heading 2</w:t>
        </w:r>
        <w:r>
          <w:rPr>
            <w:webHidden/>
          </w:rPr>
          <w:tab/>
        </w:r>
        <w:r>
          <w:rPr>
            <w:webHidden/>
          </w:rPr>
          <w:fldChar w:fldCharType="begin"/>
        </w:r>
        <w:r>
          <w:rPr>
            <w:webHidden/>
          </w:rPr>
          <w:instrText xml:space="preserve"> PAGEREF _Toc227883206 \h </w:instrText>
        </w:r>
        <w:r>
          <w:rPr>
            <w:webHidden/>
          </w:rPr>
        </w:r>
        <w:r>
          <w:rPr>
            <w:webHidden/>
          </w:rPr>
          <w:fldChar w:fldCharType="separate"/>
        </w:r>
        <w:r>
          <w:rPr>
            <w:webHidden/>
          </w:rPr>
          <w:t>1</w:t>
        </w:r>
        <w:r>
          <w:rPr>
            <w:webHidden/>
          </w:rPr>
          <w:fldChar w:fldCharType="end"/>
        </w:r>
      </w:hyperlink>
    </w:p>
    <w:p w14:paraId="34B76B05" w14:textId="6524A118"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207" w:history="1">
        <w:r w:rsidRPr="00CE6FA0">
          <w:rPr>
            <w:rStyle w:val="Hyperlink"/>
            <w:rFonts w:eastAsiaTheme="majorEastAsia"/>
          </w:rPr>
          <w:t>1.1.1</w:t>
        </w:r>
        <w:r>
          <w:rPr>
            <w:rFonts w:asciiTheme="minorHAnsi" w:eastAsiaTheme="minorEastAsia" w:hAnsiTheme="minorHAnsi" w:cstheme="minorBidi"/>
            <w:kern w:val="2"/>
            <w14:ligatures w14:val="standardContextual"/>
          </w:rPr>
          <w:tab/>
        </w:r>
        <w:r w:rsidRPr="00CE6FA0">
          <w:rPr>
            <w:rStyle w:val="Hyperlink"/>
            <w:rFonts w:eastAsiaTheme="majorEastAsia"/>
          </w:rPr>
          <w:t>Heading 3</w:t>
        </w:r>
        <w:r>
          <w:rPr>
            <w:webHidden/>
          </w:rPr>
          <w:tab/>
        </w:r>
        <w:r>
          <w:rPr>
            <w:webHidden/>
          </w:rPr>
          <w:fldChar w:fldCharType="begin"/>
        </w:r>
        <w:r>
          <w:rPr>
            <w:webHidden/>
          </w:rPr>
          <w:instrText xml:space="preserve"> PAGEREF _Toc227883207 \h </w:instrText>
        </w:r>
        <w:r>
          <w:rPr>
            <w:webHidden/>
          </w:rPr>
        </w:r>
        <w:r>
          <w:rPr>
            <w:webHidden/>
          </w:rPr>
          <w:fldChar w:fldCharType="separate"/>
        </w:r>
        <w:r>
          <w:rPr>
            <w:webHidden/>
          </w:rPr>
          <w:t>1</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67DA3C65"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noProof w:val="0"/>
          <w:color w:val="000066"/>
          <w:sz w:val="20"/>
        </w:rPr>
        <w:fldChar w:fldCharType="begin"/>
      </w:r>
      <w:r w:rsidR="00D206F9">
        <w:rPr>
          <w:color w:val="000066"/>
          <w:sz w:val="20"/>
        </w:rPr>
        <w:instrText xml:space="preserve"> TOC \h \z \t "Figure Title" \c </w:instrText>
      </w:r>
      <w:r>
        <w:rPr>
          <w:noProof w:val="0"/>
          <w:color w:val="000066"/>
          <w:sz w:val="20"/>
        </w:rPr>
        <w:fldChar w:fldCharType="separate"/>
      </w:r>
      <w:hyperlink w:anchor="_Toc534622387" w:history="1">
        <w:r w:rsidR="0019731D" w:rsidRPr="00E23B24">
          <w:rPr>
            <w:rStyle w:val="Hyperlink"/>
          </w:rPr>
          <w:t>Figure X.X-X. Provide Title.</w:t>
        </w:r>
        <w:r w:rsidR="0019731D">
          <w:rPr>
            <w:webHidden/>
          </w:rPr>
          <w:tab/>
        </w:r>
        <w:r w:rsidR="0019731D">
          <w:rPr>
            <w:webHidden/>
          </w:rPr>
          <w:fldChar w:fldCharType="begin"/>
        </w:r>
        <w:r w:rsidR="0019731D">
          <w:rPr>
            <w:webHidden/>
          </w:rPr>
          <w:instrText xml:space="preserve"> PAGEREF _Toc534622387 \h </w:instrText>
        </w:r>
        <w:r w:rsidR="0019731D">
          <w:rPr>
            <w:webHidden/>
          </w:rPr>
        </w:r>
        <w:r w:rsidR="0019731D">
          <w:rPr>
            <w:webHidden/>
          </w:rPr>
          <w:fldChar w:fldCharType="separate"/>
        </w:r>
        <w:r w:rsidR="0019731D">
          <w:rPr>
            <w:webHidden/>
          </w:rPr>
          <w:t>1</w:t>
        </w:r>
        <w:r w:rsidR="0019731D">
          <w:rPr>
            <w:webHidden/>
          </w:rPr>
          <w:fldChar w:fldCharType="end"/>
        </w:r>
      </w:hyperlink>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w:t>
      </w:r>
      <w:commentRangeEnd w:id="8"/>
      <w:r>
        <w:rPr>
          <w:rStyle w:val="CommentReference"/>
          <w:sz w:val="24"/>
          <w:szCs w:val="22"/>
        </w:rPr>
        <w:commentReference w:id="8"/>
      </w:r>
      <w:r>
        <w:t xml:space="preserve">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Federal Data Services Hub,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w:t>
      </w:r>
      <w:commentRangeStart w:id="9"/>
      <w:r w:rsidR="0B4081CF" w:rsidRPr="04281253">
        <w:rPr>
          <w:i/>
          <w:iCs/>
          <w:color w:val="7030A0"/>
        </w:rPr>
        <w:t>Team Deloitte</w:t>
      </w:r>
      <w:commentRangeEnd w:id="9"/>
      <w:r w:rsidRPr="04281253">
        <w:rPr>
          <w:rStyle w:val="CommentReference"/>
          <w:i/>
          <w:iCs/>
          <w:color w:val="7030A0"/>
          <w:sz w:val="24"/>
          <w:szCs w:val="22"/>
        </w:rPr>
        <w:commentReference w:id="9"/>
      </w:r>
      <w:r w:rsidRPr="04281253">
        <w:rPr>
          <w:i/>
          <w:iCs/>
          <w:color w:val="7030A0"/>
        </w:rPr>
        <w:t xml:space="preserve"> is committed to bringing a refreshed methodology to sustain and modernize these mission-critical workstreams</w:t>
      </w:r>
      <w:r w:rsidR="3F682EDF" w:rsidRPr="04281253">
        <w:rPr>
          <w:i/>
          <w:iCs/>
          <w:color w:val="7030A0"/>
        </w:rPr>
        <w:t xml:space="preserve"> — treating</w:t>
      </w:r>
      <w:r w:rsidRPr="04281253">
        <w:rPr>
          <w:i/>
          <w:iCs/>
          <w:color w:val="7030A0"/>
        </w:rPr>
        <w:t xml:space="preserve"> program integrity </w:t>
      </w:r>
      <w:r w:rsidR="3F682EDF" w:rsidRPr="04281253">
        <w:rPr>
          <w:i/>
          <w:iCs/>
          <w:color w:val="7030A0"/>
        </w:rPr>
        <w:t xml:space="preserve">not as a compliance obligation layered on top of operations, but as a design principle embedded in every platform control, business rule, workflow, </w:t>
      </w:r>
      <w:r w:rsidRPr="04281253">
        <w:rPr>
          <w:i/>
          <w:iCs/>
          <w:color w:val="7030A0"/>
        </w:rPr>
        <w:t xml:space="preserve">and </w:t>
      </w:r>
      <w:r w:rsidR="3F682EDF" w:rsidRPr="04281253">
        <w:rPr>
          <w:i/>
          <w:iCs/>
          <w:color w:val="7030A0"/>
        </w:rPr>
        <w:t xml:space="preserve">quality checkpoint — </w:t>
      </w:r>
      <w:r w:rsidRPr="04281253">
        <w:rPr>
          <w:i/>
          <w:iCs/>
          <w:color w:val="7030A0"/>
        </w:rPr>
        <w:t xml:space="preserve">proactively </w:t>
      </w:r>
      <w:r w:rsidR="3F682EDF" w:rsidRPr="04281253">
        <w:rPr>
          <w:i/>
          <w:iCs/>
          <w:color w:val="7030A0"/>
        </w:rPr>
        <w:t>identifying and neutralizing</w:t>
      </w:r>
      <w:commentRangeStart w:id="10"/>
      <w:r w:rsidRPr="04281253">
        <w:rPr>
          <w:i/>
          <w:iCs/>
          <w:color w:val="7030A0"/>
        </w:rPr>
        <w:t xml:space="preserve"> fraud, waste, and abuse</w:t>
      </w:r>
      <w:commentRangeEnd w:id="10"/>
      <w:r w:rsidRPr="04281253">
        <w:rPr>
          <w:rStyle w:val="CommentReference"/>
          <w:i/>
          <w:iCs/>
          <w:color w:val="7030A0"/>
          <w:sz w:val="24"/>
          <w:szCs w:val="22"/>
        </w:rPr>
        <w:commentReference w:id="10"/>
      </w:r>
      <w:r w:rsidRPr="04281253">
        <w:rPr>
          <w:i/>
          <w:iCs/>
          <w:color w:val="7030A0"/>
        </w:rPr>
        <w:t xml:space="preserve"> </w:t>
      </w:r>
      <w:r w:rsidR="3F682EDF" w:rsidRPr="04281253">
        <w:rPr>
          <w:i/>
          <w:iCs/>
          <w:color w:val="7030A0"/>
        </w:rPr>
        <w:t>before it propagates into casework, payments, or tax reporting, safeguarding</w:t>
      </w:r>
      <w:r w:rsidRPr="04281253">
        <w:rPr>
          <w:i/>
          <w:iCs/>
          <w:color w:val="7030A0"/>
        </w:rPr>
        <w:t xml:space="preserve"> federal taxpayer dollars </w:t>
      </w:r>
      <w:r w:rsidR="3F682EDF" w:rsidRPr="04281253">
        <w:rPr>
          <w:i/>
          <w:iCs/>
          <w:color w:val="7030A0"/>
        </w:rPr>
        <w:t>and</w:t>
      </w:r>
      <w:r w:rsidRPr="04281253">
        <w:rPr>
          <w:i/>
          <w:iCs/>
          <w:color w:val="7030A0"/>
        </w:rPr>
        <w:t xml:space="preserve"> the health and financial security of consumers.</w:t>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 xml:space="preserve">We understand </w:t>
      </w:r>
      <w:del w:id="11" w:author="Bowman, Kelly" w:date="2026-04-27T08:01:00Z" w16du:dateUtc="2026-04-27T12:01:00Z">
        <w:r w:rsidRPr="00374692">
          <w:delText>that CMS's</w:delText>
        </w:r>
      </w:del>
      <w:ins w:id="12" w:author="Bowman, Kelly" w:date="2026-04-27T08:01:00Z" w16du:dateUtc="2026-04-27T12:01:00Z">
        <w:r w:rsidR="00BC00D8">
          <w:t>a</w:t>
        </w:r>
      </w:ins>
      <w:r w:rsidRPr="00374692">
        <w:t xml:space="preserve"> primary objective for this acquisition is to partner with a System Integrator capable of maintaining the operational stability of the ER&amp;R program while actively driving innovation, efficiency, and continuous improvement to achieve the following:</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odyText"/>
      </w:pP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5DA5A34D" w14:textId="77777777" w:rsidR="008A2E01" w:rsidRPr="00866A39" w:rsidRDefault="008A2E01" w:rsidP="008A2E01">
      <w:pPr>
        <w:pStyle w:val="BodyText"/>
      </w:pPr>
      <w:r>
        <w:t>[</w:t>
      </w:r>
      <w:r w:rsidRPr="002B32EA">
        <w:t>avoid restating requirements – describe how work will be executed – end-to-end operating model, workflows, governance and tools]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BodyText"/>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BodyText"/>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p w14:paraId="4539876A" w14:textId="77777777" w:rsidR="008A2E01" w:rsidRDefault="008A2E01" w:rsidP="008A2E01">
      <w:pPr>
        <w:pStyle w:val="BodyText"/>
      </w:pPr>
      <w:r>
        <w:t xml:space="preserve">[Challenges &amp; Mitigations: </w:t>
      </w:r>
      <w:r w:rsidRPr="67059926">
        <w:rPr>
          <w:i/>
          <w:iCs/>
        </w:rPr>
        <w:t>Our understanding of pain points and challenges of the technical work that requires or is alleviated by the approach that we’re proposing – note that this content will be pulled out and summarized across tasks in section 1c</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B0CD0B6" w14:textId="77777777" w:rsidR="008A2E01" w:rsidRDefault="008A2E01" w:rsidP="008A2E01">
      <w:pPr>
        <w:pStyle w:val="BodyText"/>
      </w:pPr>
      <w:r>
        <w:t xml:space="preserve">[Proof Points: </w:t>
      </w:r>
      <w:r w:rsidRPr="67059926">
        <w:rPr>
          <w:i/>
          <w:iCs/>
        </w:rPr>
        <w:t>List out projects where we’ve done similar work or where the details of our approach have been proven</w:t>
      </w:r>
      <w:r>
        <w:t>]</w:t>
      </w: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BodyText"/>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BodyText"/>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69ACE82C" w14:textId="2B98B573" w:rsidR="0009164D" w:rsidRDefault="008A2E01" w:rsidP="008A2E01">
      <w:pPr>
        <w:pStyle w:val="BodyText"/>
      </w:pPr>
      <w:r>
        <w:t xml:space="preserve">[Challenges &amp; Mitigations: </w:t>
      </w:r>
      <w:r w:rsidRPr="67059926">
        <w:rPr>
          <w:i/>
          <w:iCs/>
        </w:rPr>
        <w:t>Our understanding of pain points and challenges of the technical work that requires or is alleviated by the approach that we’re proposing – note that this content will be pulled out and summarized across tasks in section 1c</w:t>
      </w:r>
      <w:r>
        <w:t>]</w:t>
      </w:r>
    </w:p>
    <w:p w14:paraId="2329DED8" w14:textId="3BE20145" w:rsidR="005028F2" w:rsidRDefault="005028F2" w:rsidP="005028F2">
      <w:pPr>
        <w:pStyle w:val="TableTitle"/>
      </w:pPr>
      <w:r w:rsidRPr="006E03C0">
        <w:t>Table X.X-X.</w:t>
      </w:r>
      <w:r>
        <w:t xml:space="preserve"> Provide Title.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46196A87" w14:textId="77777777" w:rsidR="008A2E01" w:rsidRDefault="008A2E01" w:rsidP="008A2E01">
      <w:pPr>
        <w:pStyle w:val="BodyText"/>
      </w:pPr>
      <w:r>
        <w:t xml:space="preserve">[Proof Points: </w:t>
      </w:r>
      <w:r w:rsidRPr="67059926">
        <w:rPr>
          <w:i/>
          <w:iCs/>
        </w:rPr>
        <w:t>List out projects where we’ve done similar work or where the details of our approach have been proven</w:t>
      </w:r>
      <w:r>
        <w:t>]</w:t>
      </w: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BodyText"/>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BodyText"/>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X.X-X.</w:t>
      </w:r>
      <w:r>
        <w:t xml:space="preserve"> Provide Title.</w:t>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X.X-X.</w:t>
      </w:r>
      <w:r>
        <w:t xml:space="preserve"> Provide Title.</w:t>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w:t>
      </w:r>
      <w:r w:rsidR="00AE30B9" w:rsidRPr="00352B37">
        <w:t xml:space="preserve">, applying the </w:t>
      </w:r>
      <w:r w:rsidRPr="00352B37">
        <w:t xml:space="preserve">same surge readiness principles </w:t>
      </w:r>
      <w:r w:rsidR="00AE30B9" w:rsidRPr="00352B37">
        <w:t xml:space="preserve">as </w:t>
      </w:r>
      <w:r w:rsidRPr="00352B37">
        <w:t xml:space="preserve">Task 3: caseworkers scenario-trained before volume arrives, supervisory ratios maintained at peak, and a defined reserve pool </w:t>
      </w:r>
      <w:r w:rsidR="00AE30B9" w:rsidRPr="00352B37">
        <w:t>that activates</w:t>
      </w:r>
      <w:r w:rsidRPr="00352B37">
        <w:t xml:space="preserve"> on a threshold rather than requiring a new recruitment cycle. Supervisory ratios, QA coverage, call monitoring standards, and reporting timelines are operational commitments that will hold at peak volume, not targets that degrade when caseload increases. </w:t>
      </w:r>
      <w:r w:rsidR="00AE30B9" w:rsidRPr="00352B37">
        <w:t>The staffing plan submitted at kickoff will show coverage at each volume scenario, and flex</w:t>
      </w:r>
      <w:r w:rsidRPr="00352B37">
        <w:t xml:space="preserve"> capacity will be drawn through cross-trained reserve staff, temporary reallocation from aligned workstreams, and targeted short-term support </w:t>
      </w:r>
      <w:r w:rsidR="00AE30B9" w:rsidRPr="00352B37">
        <w:t xml:space="preserve">as </w:t>
      </w:r>
      <w:r w:rsidRPr="00352B37">
        <w:t xml:space="preserve">directed </w:t>
      </w:r>
      <w:r w:rsidR="00AE30B9" w:rsidRPr="00352B37">
        <w:t>by CMS.</w:t>
      </w:r>
      <w:r w:rsidR="008C45DC" w:rsidRPr="00352B37">
        <w:t xml:space="preserve"> </w:t>
      </w:r>
      <w:r w:rsidR="004B5D52" w:rsidRPr="00352B37">
        <w:t>is verified</w:t>
      </w:r>
    </w:p>
    <w:p w14:paraId="648D824D" w14:textId="797AAE72" w:rsidR="00F429D6" w:rsidRPr="00352B37" w:rsidRDefault="6DFF3885" w:rsidP="00352B37">
      <w:pPr>
        <w:pStyle w:val="BodyText"/>
      </w:pPr>
      <w:r w:rsidRPr="00352B37">
        <w:t>[Challenges &amp; Mitigations: Our understanding of pain points and challenges of the technical work that requires or is alleviated by the approach that we’re proposing – note that this content will be pulled out and summarized across tasks in section 1c]</w:t>
      </w:r>
    </w:p>
    <w:p w14:paraId="1832B221" w14:textId="6C3EE67E" w:rsidR="001D0EC2" w:rsidRDefault="00D14B6C" w:rsidP="00D14B6C">
      <w:pPr>
        <w:pStyle w:val="TableTitle"/>
      </w:pPr>
      <w:r w:rsidRPr="006E03C0">
        <w:t>Table X.X-X.</w:t>
      </w:r>
      <w:r>
        <w:t xml:space="preserve"> Provide Title.</w:t>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421A0A54" w14:textId="5686AC45" w:rsidR="00F429D6" w:rsidRPr="003414BC" w:rsidRDefault="6DFF3885" w:rsidP="003414BC">
      <w:pPr>
        <w:pStyle w:val="BodyText"/>
      </w:pPr>
      <w:r w:rsidRPr="00594470">
        <w:t>[Proof Points: List out projects where we’ve done similar work or where the details of our approach have been proven]</w:t>
      </w: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BodyText"/>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BodyText"/>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X.X-X.</w:t>
      </w:r>
      <w:r>
        <w:t xml:space="preserve"> Provide Title.</w:t>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02BBB3B9" w14:textId="11A0D36F" w:rsidR="003414BC" w:rsidRPr="003E02D2" w:rsidRDefault="3B978732" w:rsidP="003E02D2">
      <w:pPr>
        <w:pStyle w:val="BodyText"/>
      </w:pPr>
      <w:r w:rsidRPr="003E02D2">
        <w:t>[Challenges &amp; Mitigations: Our understanding of pain points and challenges of the technical work that requires or is alleviated by the approach that we’re proposing – note that this content will be pulled out and summarized across tasks in section 1c]</w:t>
      </w:r>
    </w:p>
    <w:p w14:paraId="6848FC28" w14:textId="60C9F553" w:rsidR="003414BC" w:rsidRPr="003414BC" w:rsidRDefault="3B978732" w:rsidP="003414BC">
      <w:pPr>
        <w:pStyle w:val="BodyText"/>
      </w:pPr>
      <w:r w:rsidRPr="003E02D2">
        <w:t>[Proof Points: List out projects where we’ve done similar work or where the details of our approach have been proven]</w:t>
      </w: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BodyText"/>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BodyText"/>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X.X-X.</w:t>
      </w:r>
      <w:r>
        <w:t xml:space="preserve"> Provide Title.</w:t>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2852E748" w14:textId="6F72065C" w:rsidR="003414BC" w:rsidRDefault="2E3BCAED" w:rsidP="00763D3C">
      <w:pPr>
        <w:pStyle w:val="BodyText"/>
      </w:pPr>
      <w:r>
        <w:t xml:space="preserve">[Challenges &amp; Mitigations: </w:t>
      </w:r>
      <w:r w:rsidRPr="67059926">
        <w:rPr>
          <w:i/>
          <w:iCs/>
        </w:rPr>
        <w:t>Our understanding of pain points and challenges of the technical work that requires or is alleviated by the approach that we’re proposing – note that this content will be pulled out and summarized across tasks in section 1c</w:t>
      </w:r>
      <w:r>
        <w:t>]</w:t>
      </w:r>
    </w:p>
    <w:p w14:paraId="0D19DD1D" w14:textId="0B480CD7" w:rsidR="00403FEC" w:rsidRDefault="00CB47AD" w:rsidP="00CB47AD">
      <w:pPr>
        <w:pStyle w:val="TableTitle"/>
      </w:pPr>
      <w:r w:rsidRPr="006E03C0">
        <w:t>Table X.X-X.</w:t>
      </w:r>
      <w:r>
        <w:t xml:space="preserve"> Provide Title.</w:t>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14DF864A" w14:textId="2B9055C9" w:rsidR="003414BC" w:rsidRPr="003414BC" w:rsidRDefault="2E3BCAED" w:rsidP="003414BC">
      <w:pPr>
        <w:pStyle w:val="BodyText"/>
      </w:pPr>
      <w:r>
        <w:t xml:space="preserve">[Proof Points: </w:t>
      </w:r>
      <w:r w:rsidRPr="67059926">
        <w:rPr>
          <w:i/>
          <w:iCs/>
        </w:rPr>
        <w:t>List out projects where we’ve done similar work or where the details of our approach have been proven</w:t>
      </w:r>
      <w:r>
        <w:t>]</w:t>
      </w: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875FF6A" w14:textId="1EB3B754" w:rsidR="003414BC" w:rsidRPr="00AF4AB8" w:rsidRDefault="00E77C21" w:rsidP="00AF4AB8">
      <w:pPr>
        <w:pStyle w:val="BodyText"/>
      </w:pPr>
      <w:r w:rsidRPr="00AF4AB8">
        <w:t>**Focus on Ops</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BodyTextBulletIntro"/>
      </w:pPr>
      <w:r w:rsidRPr="00AF4AB8">
        <w:t>[Our Understanding]</w:t>
      </w:r>
      <w:r w:rsidR="0006071A" w:rsidRPr="00AF4AB8">
        <w:br/>
      </w:r>
      <w:r w:rsidR="00304F34" w:rsidRPr="00AF4AB8">
        <w:t>Task 7 is a multi-stakeholder, multi-channel resolution function that serves as the connected front door for stakeholder engagement across ER&amp;R, not a generic contact center. It supports consumers, issuers, Federally-facilitated Exchange (FFE) staff, State-based Exchanges (SBEs), employers, and related Marketplace partners through coordinated inbound and outbound calls, voicemail, issuer email support, and written correspondence</w:t>
      </w:r>
      <w:r w:rsidR="002440D5" w:rsidRPr="00AF4AB8">
        <w:t>. These channels are</w:t>
      </w:r>
      <w:r w:rsidR="00304F34" w:rsidRPr="00AF4AB8">
        <w:t xml:space="preserve"> designed to move cases toward resolution with consistency, visibility, compliance, and continuous improvement. In this role, Task 7 helps CMS maintain trusted core operations while strengthening program performance over time through efficient workflows, deep Marketplace coordination, and integrity-embedded controls.</w:t>
      </w:r>
    </w:p>
    <w:p w14:paraId="31153E0E" w14:textId="5A66DADE" w:rsidR="00C14ED2" w:rsidRPr="00DD6CAA" w:rsidRDefault="008B3B3A" w:rsidP="005D763D">
      <w:pPr>
        <w:pStyle w:val="Bulletlevel1"/>
      </w:pPr>
      <w:r w:rsidRPr="005D763D">
        <w:rPr>
          <w:rStyle w:val="CharacterBold"/>
        </w:rPr>
        <w:t>Case resolution</w:t>
      </w:r>
      <w:r w:rsidR="001B024F" w:rsidRPr="005D763D">
        <w:rPr>
          <w:rStyle w:val="CharacterBold"/>
        </w:rPr>
        <w:t xml:space="preserve"> across a complex Marketplace ecosystem.</w:t>
      </w:r>
      <w:r w:rsidR="001B024F" w:rsidRPr="00DD6CAA">
        <w:t xml:space="preserve"> </w:t>
      </w:r>
      <w:r w:rsidR="00E02C30" w:rsidRPr="00DD6CAA">
        <w:t xml:space="preserve">The SOW requires support for consumers, issuers, FFE staff, and SBEs, with direct handling of phone inquiries, voicemail, issuer call and email support, and outbound outreach where it can significantly expedite resolution. This requires end-to-end understanding of how consumer disputes, issuer coordination, Form 1095-A casework, Exchange Call Center interactions, system-enabled research, and </w:t>
      </w:r>
      <w:r w:rsidR="00C14ED2" w:rsidRPr="00DD6CAA">
        <w:t xml:space="preserve">written correspondence intersect </w:t>
      </w:r>
      <w:r w:rsidR="00627892" w:rsidRPr="00DD6CAA">
        <w:t>within the resolution lifecy</w:t>
      </w:r>
      <w:r w:rsidR="00C1424F" w:rsidRPr="00DD6CAA">
        <w:t>cle</w:t>
      </w:r>
      <w:r w:rsidR="00C14ED2" w:rsidRPr="00DD6CAA">
        <w:t>.</w:t>
      </w:r>
    </w:p>
    <w:p w14:paraId="7930D89C" w14:textId="3AF0EA5E" w:rsidR="001B024F" w:rsidRPr="001B024F" w:rsidRDefault="008B3B3A" w:rsidP="005D763D">
      <w:pPr>
        <w:pStyle w:val="Bulletlevel1"/>
      </w:pPr>
      <w:r w:rsidRPr="005D763D">
        <w:rPr>
          <w:rStyle w:val="CharacterBold"/>
        </w:rPr>
        <w:t>M</w:t>
      </w:r>
      <w:r w:rsidR="001B024F" w:rsidRPr="005D763D">
        <w:rPr>
          <w:rStyle w:val="CharacterBold"/>
        </w:rPr>
        <w:t>ulti-stakeholder by design</w:t>
      </w:r>
      <w:r w:rsidR="00667EB1" w:rsidRPr="005D763D">
        <w:rPr>
          <w:rStyle w:val="CharacterBold"/>
        </w:rPr>
        <w:t xml:space="preserve"> with necessary coordinated handoffs</w:t>
      </w:r>
      <w:r w:rsidR="001B024F" w:rsidRPr="005D763D">
        <w:rPr>
          <w:rStyle w:val="CharacterBold"/>
        </w:rPr>
        <w:t>.</w:t>
      </w:r>
      <w:r w:rsidR="001B024F" w:rsidRPr="001B024F">
        <w:t xml:space="preserve"> </w:t>
      </w:r>
      <w:r w:rsidR="00F72E63">
        <w:t xml:space="preserve">Stakeholders include </w:t>
      </w:r>
      <w:r w:rsidR="00F72E63" w:rsidRPr="00F72E63">
        <w:t>CMS, issuers, states, the Exchange Call Center, the Eligibility Support contractor, the Print contractor, FMPS, and other Marketplace support teams.</w:t>
      </w:r>
      <w:r w:rsidR="001B024F" w:rsidRPr="001B024F">
        <w:t xml:space="preserve"> </w:t>
      </w:r>
      <w:r w:rsidR="0089511F" w:rsidRPr="0089511F">
        <w:t xml:space="preserve">Consumers need clear, plain-language support and sensitive handling of enrollment and eligibility issues. Issuers need precise operational coordination, documented communications, and timely follow-up. FFE staff, SBEs, and other partners need clear </w:t>
      </w:r>
      <w:r w:rsidR="00F72E63" w:rsidRPr="00F72E63">
        <w:t>transfers</w:t>
      </w:r>
      <w:r w:rsidR="0089511F" w:rsidRPr="0089511F">
        <w:t>, current case status, and dependable follow-through across organizational boundaries.</w:t>
      </w:r>
    </w:p>
    <w:p w14:paraId="7C5EC0D7" w14:textId="77777777" w:rsidR="00DB56E8" w:rsidRPr="00DB56E8" w:rsidRDefault="008B3B3A" w:rsidP="005D763D">
      <w:pPr>
        <w:pStyle w:val="Bulletlevel1"/>
      </w:pPr>
      <w:r w:rsidRPr="005D763D">
        <w:rPr>
          <w:rStyle w:val="CharacterBold"/>
        </w:rPr>
        <w:t>C</w:t>
      </w:r>
      <w:r w:rsidR="001B024F" w:rsidRPr="005D763D">
        <w:rPr>
          <w:rStyle w:val="CharacterBold"/>
        </w:rPr>
        <w:t>losed-loop support workflow, not a set of disconnected channels.</w:t>
      </w:r>
      <w:r w:rsidR="001B024F" w:rsidRPr="001B024F">
        <w:t xml:space="preserve"> </w:t>
      </w:r>
      <w:r w:rsidR="00DB56E8" w:rsidRPr="00DB56E8">
        <w:t>Calls, voicemails, issuer emails, and written correspondence operate as a single integrated workflow so that each interaction advances the case, contributes to one visible case history, and supports downstream actions, formal decisions, and accurate status communication.</w:t>
      </w:r>
    </w:p>
    <w:p w14:paraId="17198048" w14:textId="5A19057E" w:rsidR="00EE51A7" w:rsidRPr="00EE51A7" w:rsidRDefault="001B024F" w:rsidP="005D763D">
      <w:pPr>
        <w:pStyle w:val="Bulletlevel1"/>
      </w:pPr>
      <w:r w:rsidRPr="005D763D">
        <w:rPr>
          <w:rStyle w:val="CharacterBold"/>
        </w:rPr>
        <w:t>Outbound support is a proactive resolution lever</w:t>
      </w:r>
      <w:r w:rsidR="00B348BC" w:rsidRPr="005D763D">
        <w:rPr>
          <w:rStyle w:val="CharacterBold"/>
        </w:rPr>
        <w:t>.</w:t>
      </w:r>
      <w:r w:rsidR="00EE51A7">
        <w:rPr>
          <w:b/>
          <w:bCs/>
        </w:rPr>
        <w:t xml:space="preserve"> </w:t>
      </w:r>
      <w:r w:rsidR="00AC1FEA" w:rsidRPr="00AC1FEA">
        <w:t xml:space="preserve">When live outreach can resolve missing information, confirm next steps, or unblock action faster than waiting for additional inbound contacts or written exchanges, Deloitte will use outbound support to reduce avoidable repeat effort for CMS, other contractor teams, issuers, consumers, and federal and state partners while improving speed to closure and </w:t>
      </w:r>
      <w:r w:rsidR="00144A2F">
        <w:t>overall</w:t>
      </w:r>
      <w:r w:rsidR="00EE51A7" w:rsidRPr="00EE51A7">
        <w:t xml:space="preserve"> </w:t>
      </w:r>
      <w:r w:rsidR="00AC1FEA" w:rsidRPr="00AC1FEA">
        <w:t>stakeholder experience</w:t>
      </w:r>
      <w:r w:rsidR="00EE51A7" w:rsidRPr="00EE51A7">
        <w:t>.</w:t>
      </w:r>
    </w:p>
    <w:p w14:paraId="2992D527" w14:textId="5B72ABAA" w:rsidR="001B024F" w:rsidRPr="00181397" w:rsidRDefault="00181397" w:rsidP="005D763D">
      <w:pPr>
        <w:pStyle w:val="Bulletlevel1"/>
      </w:pPr>
      <w:r w:rsidRPr="005D763D">
        <w:rPr>
          <w:rStyle w:val="CharacterBold"/>
        </w:rPr>
        <w:lastRenderedPageBreak/>
        <w:t>Voicemail is a managed intake and follow-up channel, not overflow coverage.</w:t>
      </w:r>
      <w:r w:rsidRPr="00181397">
        <w:rPr>
          <w:b/>
          <w:bCs/>
        </w:rPr>
        <w:t xml:space="preserve"> </w:t>
      </w:r>
      <w:r w:rsidRPr="00181397">
        <w:t>CMS requires direct phone numbers with voicemail for after-hours, weekend, and holiday contacts, with response within one business day. That makes clear ownership, prioritization, age tracking, and timely follow-up important to performance</w:t>
      </w:r>
      <w:r w:rsidR="001B024F" w:rsidRPr="00181397">
        <w:t>.</w:t>
      </w:r>
    </w:p>
    <w:p w14:paraId="0107FB7C" w14:textId="2A4C8E4B" w:rsidR="001B024F" w:rsidRPr="001B024F" w:rsidRDefault="001B024F" w:rsidP="005D763D">
      <w:pPr>
        <w:pStyle w:val="Bulletlevel1"/>
      </w:pPr>
      <w:r w:rsidRPr="005D763D">
        <w:rPr>
          <w:rStyle w:val="CharacterBold"/>
        </w:rPr>
        <w:t>Issuer support is a distinct operating lane.</w:t>
      </w:r>
      <w:r w:rsidRPr="001B024F">
        <w:t xml:space="preserve"> </w:t>
      </w:r>
      <w:r w:rsidR="00D23922" w:rsidRPr="00825C68">
        <w:t>The contractor must provide issuer call and email support through the ER&amp;R Support Center, document communications in Enrollment Community, support mass issuer communications, and provide recommendations and testing support for enhancements tied to Enrollment Data Alignment</w:t>
      </w:r>
      <w:r w:rsidR="00E9069C" w:rsidRPr="00825C68">
        <w:t>.</w:t>
      </w:r>
    </w:p>
    <w:p w14:paraId="2A476E02" w14:textId="1D546518" w:rsidR="001B024F" w:rsidRPr="001B024F" w:rsidRDefault="001B024F" w:rsidP="005D763D">
      <w:pPr>
        <w:pStyle w:val="Bulletlevel1"/>
      </w:pPr>
      <w:r w:rsidRPr="005D763D">
        <w:rPr>
          <w:rStyle w:val="CharacterBold"/>
        </w:rPr>
        <w:t>Workforce management (WFM), quality assurance (QA), and training are core delivery enablers.</w:t>
      </w:r>
      <w:r w:rsidRPr="001B024F">
        <w:t xml:space="preserve"> </w:t>
      </w:r>
      <w:r w:rsidR="001C478E" w:rsidRPr="00825C68">
        <w:t>Because volumes fluctuate, policy direction evolves, and case complexity varies by stakeholder, Deloitte will use forecasting, scheduling, QA monitoring, script adherence, refresh training, and knowledge updates</w:t>
      </w:r>
      <w:r w:rsidR="00B80B34" w:rsidRPr="00825C68">
        <w:t xml:space="preserve"> to sustain performance</w:t>
      </w:r>
      <w:r w:rsidR="00E9069C" w:rsidRPr="00825C68">
        <w:t>.</w:t>
      </w:r>
    </w:p>
    <w:p w14:paraId="162DF907" w14:textId="17FE3C3B" w:rsidR="00A95AB5" w:rsidRPr="00A95AB5" w:rsidRDefault="001B024F" w:rsidP="005D763D">
      <w:pPr>
        <w:pStyle w:val="Bulletlevel1"/>
      </w:pPr>
      <w:r w:rsidRPr="005D763D">
        <w:rPr>
          <w:rStyle w:val="CharacterBold"/>
        </w:rPr>
        <w:t>Training, scripts, SOPs, and QRGs are control points for consistency</w:t>
      </w:r>
      <w:r w:rsidR="00EE51A7" w:rsidRPr="005D763D">
        <w:rPr>
          <w:rStyle w:val="CharacterBold"/>
        </w:rPr>
        <w:t>, compliance,</w:t>
      </w:r>
      <w:r w:rsidRPr="005D763D">
        <w:rPr>
          <w:rStyle w:val="CharacterBold"/>
        </w:rPr>
        <w:t xml:space="preserve"> and program integrity.</w:t>
      </w:r>
      <w:r w:rsidRPr="001B024F">
        <w:t xml:space="preserve"> </w:t>
      </w:r>
      <w:r w:rsidR="0036309D" w:rsidRPr="00825C68">
        <w:t>The SOW requires representatives to follow CMS-approved scripts and SOPs, recei</w:t>
      </w:r>
      <w:r w:rsidR="0079356F" w:rsidRPr="00825C68">
        <w:t>ve</w:t>
      </w:r>
      <w:r w:rsidR="0036309D" w:rsidRPr="00825C68">
        <w:t xml:space="preserve"> additional training as direction changes, and maintain </w:t>
      </w:r>
      <w:r w:rsidR="003C5484" w:rsidRPr="00825C68">
        <w:t xml:space="preserve">supporting </w:t>
      </w:r>
      <w:r w:rsidR="0036309D" w:rsidRPr="00825C68">
        <w:t>job aids and reference materials. Deloitte pair</w:t>
      </w:r>
      <w:r w:rsidR="00630A7B" w:rsidRPr="00825C68">
        <w:t>s</w:t>
      </w:r>
      <w:r w:rsidR="0036309D" w:rsidRPr="00825C68">
        <w:t xml:space="preserve"> these controls with efficient review and update processes </w:t>
      </w:r>
      <w:r w:rsidR="00A95AB5" w:rsidRPr="00825C68">
        <w:t>to keep the operation current without slowing delivery, while strengthening auditability, exception management, and prevention of process error and fraud, waste, and abuse risk</w:t>
      </w:r>
      <w:r w:rsidR="00A95AB5" w:rsidRPr="00A95AB5">
        <w:t>.</w:t>
      </w:r>
    </w:p>
    <w:p w14:paraId="411082ED" w14:textId="2D2E6281" w:rsidR="009702F9" w:rsidRPr="005D763D" w:rsidRDefault="009942F7" w:rsidP="005D763D">
      <w:pPr>
        <w:pStyle w:val="BodyText"/>
      </w:pPr>
      <w:r w:rsidRPr="005D763D">
        <w:rPr>
          <w:rStyle w:val="CharacterBold"/>
        </w:rPr>
        <w:t>I</w:t>
      </w:r>
      <w:r w:rsidR="009702F9" w:rsidRPr="005D763D">
        <w:rPr>
          <w:rStyle w:val="CharacterBold"/>
        </w:rPr>
        <w:t>mprovement engine and operational hub</w:t>
      </w:r>
      <w:r w:rsidR="009702F9" w:rsidRPr="005D763D">
        <w:t xml:space="preserve"> for the broader scope. Because it sits at the intersection of stakeholder contact, case status, recurring issues, and written communications, it </w:t>
      </w:r>
      <w:r w:rsidR="00F20F18" w:rsidRPr="005D763D">
        <w:t>provides</w:t>
      </w:r>
      <w:r w:rsidR="009702F9" w:rsidRPr="005D763D">
        <w:t xml:space="preserve"> CMS </w:t>
      </w:r>
      <w:r w:rsidR="002931EE" w:rsidRPr="005D763D">
        <w:t>with</w:t>
      </w:r>
      <w:r w:rsidR="009702F9" w:rsidRPr="005D763D">
        <w:t xml:space="preserve"> a practical mechanism to identify trends, recommend script and workflow refinements, improve stakeholder outreach</w:t>
      </w:r>
      <w:r w:rsidR="00F06EA5" w:rsidRPr="005D763D">
        <w:t xml:space="preserve"> effectiveness</w:t>
      </w:r>
      <w:r w:rsidR="009702F9" w:rsidRPr="005D763D">
        <w:t>, and inform system-support enhancements while maintaining stable day-to-day operations</w:t>
      </w:r>
      <w:r w:rsidR="0036309D" w:rsidRPr="005D763D">
        <w:t>.</w:t>
      </w:r>
    </w:p>
    <w:p w14:paraId="5DDC57AF" w14:textId="7D74441D" w:rsidR="0036309D" w:rsidRPr="005D763D" w:rsidRDefault="0036309D" w:rsidP="005D763D">
      <w:pPr>
        <w:pStyle w:val="BodyText"/>
      </w:pPr>
      <w:r w:rsidRPr="005D763D">
        <w:t xml:space="preserve">Taken together, Task 7 is best understood as an integrated contact and correspondence resolution hub with built-in improvement levers, helping CMS maintain accurate, compliant, and responsive Marketplace operations at scale for stakeholders across the country. </w:t>
      </w:r>
    </w:p>
    <w:p w14:paraId="2EE697C5" w14:textId="08E62817" w:rsidR="003C67C8" w:rsidRPr="00F45B3A" w:rsidRDefault="00214A20" w:rsidP="00F45B3A">
      <w:pPr>
        <w:pStyle w:val="BodyText"/>
      </w:pPr>
      <w:r w:rsidRPr="00F45B3A">
        <w:t>[Our Approach]</w:t>
      </w:r>
    </w:p>
    <w:p w14:paraId="1E34D30F" w14:textId="77777777" w:rsidR="005D763D" w:rsidRDefault="003C67C8" w:rsidP="005D763D">
      <w:pPr>
        <w:pStyle w:val="BodyText"/>
        <w:rPr>
          <w:rStyle w:val="CharacterBold"/>
        </w:rPr>
      </w:pPr>
      <w:r w:rsidRPr="00F45B3A">
        <w:rPr>
          <w:rStyle w:val="CharacterBold"/>
          <w:highlight w:val="yellow"/>
        </w:rPr>
        <w:t>**PLACEHOLDER</w:t>
      </w:r>
      <w:r w:rsidR="00681AE8" w:rsidRPr="00F45B3A">
        <w:rPr>
          <w:rStyle w:val="CharacterBold"/>
          <w:highlight w:val="yellow"/>
        </w:rPr>
        <w:t xml:space="preserve">- For technical solution </w:t>
      </w:r>
      <w:r w:rsidR="00453274" w:rsidRPr="00F45B3A">
        <w:rPr>
          <w:rStyle w:val="CharacterBold"/>
          <w:highlight w:val="yellow"/>
        </w:rPr>
        <w:t>description and architecture</w:t>
      </w:r>
      <w:r w:rsidR="00DF6110" w:rsidRPr="00F45B3A">
        <w:rPr>
          <w:rStyle w:val="CharacterBold"/>
          <w:highlight w:val="yellow"/>
        </w:rPr>
        <w:t xml:space="preserve"> diagram</w:t>
      </w:r>
      <w:r w:rsidR="00540A35" w:rsidRPr="00F45B3A">
        <w:rPr>
          <w:rStyle w:val="CharacterBold"/>
          <w:highlight w:val="yellow"/>
        </w:rPr>
        <w:t>**</w:t>
      </w:r>
    </w:p>
    <w:p w14:paraId="6D935309" w14:textId="77777777" w:rsidR="005D763D" w:rsidRPr="005D763D" w:rsidRDefault="00540A35" w:rsidP="005D763D">
      <w:pPr>
        <w:pStyle w:val="Subheading1"/>
      </w:pPr>
      <w:r w:rsidRPr="005D763D">
        <w:t>Positioning</w:t>
      </w:r>
    </w:p>
    <w:p w14:paraId="73E20146" w14:textId="33DAD7BE" w:rsidR="00FD35AC" w:rsidRDefault="0036309D" w:rsidP="005D763D">
      <w:pPr>
        <w:pStyle w:val="BodyText"/>
      </w:pPr>
      <w:r w:rsidRPr="00F45B3A">
        <w:t xml:space="preserve">Deloitte will provide a connected, integrated, and CMS-compliant multi-channel stakeholder support operation that accelerates resolution, improves stakeholder experience, and embeds program integrity into every interaction. </w:t>
      </w:r>
      <w:r w:rsidR="00FD35AC" w:rsidRPr="00F45B3A">
        <w:t>Calls</w:t>
      </w:r>
      <w:r w:rsidRPr="00F45B3A">
        <w:t xml:space="preserve">, voicemails, emails, written correspondence, and follow-up actions </w:t>
      </w:r>
      <w:r w:rsidR="00FD35AC" w:rsidRPr="00F45B3A">
        <w:t xml:space="preserve">will </w:t>
      </w:r>
      <w:r w:rsidRPr="00F45B3A">
        <w:t>contribute to one coordinated resolution path</w:t>
      </w:r>
      <w:r w:rsidR="00FD35AC" w:rsidRPr="00F45B3A">
        <w:t xml:space="preserve">, while </w:t>
      </w:r>
      <w:r w:rsidR="00533905" w:rsidRPr="00F45B3A">
        <w:t>Task 7 serves as connective tissue across written correspondence, CMS-provided case systems, SOP and QA governance, issuer coordination, Exchange Call Center interactions, and special-project support under the broader SOW</w:t>
      </w:r>
      <w:r w:rsidR="00FD35AC" w:rsidRPr="00F45B3A">
        <w:t>.</w:t>
      </w:r>
    </w:p>
    <w:p w14:paraId="70346DDA" w14:textId="5ABE7AA3" w:rsidR="0021148E" w:rsidRPr="005D763D" w:rsidRDefault="0021148E" w:rsidP="005D763D">
      <w:pPr>
        <w:pStyle w:val="BodyText"/>
      </w:pPr>
      <w:r w:rsidRPr="005D763D">
        <w:t>Task 7 will be delivered through a controlled, closed</w:t>
      </w:r>
      <w:r w:rsidRPr="005D763D">
        <w:rPr>
          <w:rFonts w:ascii="Cambria Math" w:hAnsi="Cambria Math" w:cs="Cambria Math"/>
        </w:rPr>
        <w:t>‑</w:t>
      </w:r>
      <w:r w:rsidRPr="005D763D">
        <w:t>loop resolution model that (1) governs stakeholder contact through CMS</w:t>
      </w:r>
      <w:r w:rsidRPr="005D763D">
        <w:rPr>
          <w:rFonts w:ascii="Cambria Math" w:hAnsi="Cambria Math" w:cs="Cambria Math"/>
        </w:rPr>
        <w:t>‑</w:t>
      </w:r>
      <w:r w:rsidRPr="005D763D">
        <w:t>approved scripts and workflows, (2) integrates multi</w:t>
      </w:r>
      <w:r w:rsidRPr="005D763D">
        <w:rPr>
          <w:rFonts w:ascii="Cambria Math" w:hAnsi="Cambria Math" w:cs="Cambria Math"/>
        </w:rPr>
        <w:t>‑</w:t>
      </w:r>
      <w:r w:rsidRPr="005D763D">
        <w:t>channel interactions into a single, traceable case flow, and (3) uses operational insight to inform continuous, CMS</w:t>
      </w:r>
      <w:r w:rsidRPr="005D763D">
        <w:rPr>
          <w:rFonts w:ascii="Cambria Math" w:hAnsi="Cambria Math" w:cs="Cambria Math"/>
        </w:rPr>
        <w:t>‑</w:t>
      </w:r>
      <w:r w:rsidRPr="005D763D">
        <w:t>aligned improvement.</w:t>
      </w:r>
    </w:p>
    <w:p w14:paraId="78A09CC6" w14:textId="6486B5E7" w:rsidR="008104BC" w:rsidRPr="008104BC" w:rsidRDefault="00EF6AFB" w:rsidP="008B5695">
      <w:pPr>
        <w:pStyle w:val="BodyText"/>
        <w:spacing w:after="120"/>
        <w:rPr>
          <w:b/>
        </w:rPr>
      </w:pPr>
      <w:r w:rsidRPr="008B5695">
        <w:rPr>
          <w:rStyle w:val="CharacterBold"/>
        </w:rPr>
        <w:t xml:space="preserve">1. </w:t>
      </w:r>
      <w:r w:rsidR="008104BC" w:rsidRPr="008B5695">
        <w:rPr>
          <w:b/>
        </w:rPr>
        <w:t xml:space="preserve">Operate </w:t>
      </w:r>
      <w:r w:rsidR="008104BC" w:rsidRPr="008104BC">
        <w:rPr>
          <w:b/>
        </w:rPr>
        <w:t>as a stakeholder-based resolution function</w:t>
      </w:r>
    </w:p>
    <w:p w14:paraId="684C76F6" w14:textId="08F445F1" w:rsidR="004E7BE1" w:rsidRPr="005D763D" w:rsidRDefault="008104BC" w:rsidP="005D763D">
      <w:pPr>
        <w:pStyle w:val="BodyText"/>
      </w:pPr>
      <w:r w:rsidRPr="005D763D">
        <w:lastRenderedPageBreak/>
        <w:t>We will organize Task 7 by stakeholder and case type, not just by channel, because consumers, issuers, FFE staff, SBEs, and related partners bring different questions, dependencies, documentation standards, escalation paths, and sensitivities. That stakeholder-aware model will allow Deloitte to tailor triage, routing, outreach, and communications while maintaining consistent controls across the operation</w:t>
      </w:r>
      <w:r w:rsidR="00ED6B9B" w:rsidRPr="005D763D">
        <w:t>.</w:t>
      </w:r>
    </w:p>
    <w:p w14:paraId="4039DD35" w14:textId="77777777" w:rsidR="00ED6B9B" w:rsidRPr="000F5AC7" w:rsidRDefault="008104BC" w:rsidP="000F5AC7">
      <w:pPr>
        <w:pStyle w:val="BodyText"/>
        <w:rPr>
          <w:b/>
        </w:rPr>
      </w:pPr>
      <w:r w:rsidRPr="000F5AC7">
        <w:rPr>
          <w:rStyle w:val="CharacterBold"/>
        </w:rPr>
        <w:t>2. Run a unified multi-channel workflow with closed-loop case visibility</w:t>
      </w:r>
    </w:p>
    <w:p w14:paraId="4B3994A9" w14:textId="5A7FA69A" w:rsidR="004E7BE1" w:rsidRPr="005D763D" w:rsidRDefault="008104BC" w:rsidP="005D763D">
      <w:pPr>
        <w:pStyle w:val="BodyText"/>
      </w:pPr>
      <w:r w:rsidRPr="005D763D">
        <w:t xml:space="preserve">We will integrate inbound calls, outbound calls, voicemail, issuer email support, and written correspondence so each touch advances resolution and contributes to one traceable case history. Interactions will be documented in </w:t>
      </w:r>
      <w:r w:rsidR="00443C59" w:rsidRPr="005D763D">
        <w:t>CERR</w:t>
      </w:r>
      <w:r w:rsidR="00393181" w:rsidRPr="005D763D">
        <w:t>S</w:t>
      </w:r>
      <w:r w:rsidRPr="005D763D">
        <w:t xml:space="preserve"> to support case status visibility, downstream processing, formal actions, and </w:t>
      </w:r>
      <w:r w:rsidR="00C347CE" w:rsidRPr="005D763D">
        <w:t xml:space="preserve">stakeholder </w:t>
      </w:r>
      <w:r w:rsidRPr="005D763D">
        <w:t>communications</w:t>
      </w:r>
      <w:r w:rsidR="00C347CE" w:rsidRPr="005D763D">
        <w:t>.</w:t>
      </w:r>
      <w:r w:rsidR="00EE7D8F" w:rsidRPr="005D763D">
        <w:t xml:space="preserve"> This closed-loop model supports Task 6 written correspondence, Task 8 system-enabled case research and tracking, Task 9 SOP and QA governance, and Task 10 helpdesk and special-project activities. In all telephone and correspondence support, Deloitte will follow CMS-approved SOPs and use </w:t>
      </w:r>
      <w:r w:rsidR="00DB6DD3" w:rsidRPr="005D763D">
        <w:t>CERRS</w:t>
      </w:r>
      <w:r w:rsidR="00393181" w:rsidRPr="005D763D">
        <w:t xml:space="preserve"> and </w:t>
      </w:r>
      <w:r w:rsidR="00667EB1" w:rsidRPr="005D763D">
        <w:t>integrated systems</w:t>
      </w:r>
      <w:r w:rsidR="00EE7D8F" w:rsidRPr="005D763D">
        <w:t xml:space="preserve"> to record communications, generate responses, and trigger formal decisions or planned actions so correspondence remains current, accurate, traceable, and governance-aligned.</w:t>
      </w:r>
    </w:p>
    <w:p w14:paraId="3CE0DA93" w14:textId="77777777" w:rsidR="008104BC" w:rsidRPr="008104BC" w:rsidRDefault="008104BC" w:rsidP="001F6229">
      <w:pPr>
        <w:pStyle w:val="BodyText"/>
        <w:rPr>
          <w:b/>
        </w:rPr>
      </w:pPr>
      <w:r w:rsidRPr="001F6229">
        <w:rPr>
          <w:rStyle w:val="CharacterBold"/>
        </w:rPr>
        <w:t>3. Use outbound support proactively to improve speed, efficiency, and experience</w:t>
      </w:r>
    </w:p>
    <w:p w14:paraId="75F4EFED" w14:textId="010EFC4E" w:rsidR="004E7BE1" w:rsidRPr="005D763D" w:rsidRDefault="008104BC" w:rsidP="005D763D">
      <w:pPr>
        <w:pStyle w:val="BodyText"/>
      </w:pPr>
      <w:r w:rsidRPr="005D763D">
        <w:t>We will treat outbound support as a proactive resolution lever, not just reactive follow-up. When live outreach can resolve missing information, confirm next steps, reduce back-and-forth, or unblock a case faster than written exchanges alone, Deloitte will prioritize outbound calls to reduce overall effort across consumers, issuers, CMS, and partner organizations while improving speed to closure and stakeholder experienc</w:t>
      </w:r>
      <w:r w:rsidR="00ED6B9B" w:rsidRPr="005D763D">
        <w:t>e.</w:t>
      </w:r>
    </w:p>
    <w:p w14:paraId="15BF390E" w14:textId="77777777" w:rsidR="008104BC" w:rsidRPr="008104BC" w:rsidRDefault="008104BC" w:rsidP="001F6229">
      <w:pPr>
        <w:pStyle w:val="BodyText"/>
        <w:rPr>
          <w:b/>
        </w:rPr>
      </w:pPr>
      <w:r w:rsidRPr="001F6229">
        <w:rPr>
          <w:rStyle w:val="CharacterBold"/>
        </w:rPr>
        <w:t>4. Manage voicemail as an SLA-driven workflow with AI-assisted triage opportunities</w:t>
      </w:r>
    </w:p>
    <w:p w14:paraId="66E39752" w14:textId="29760CC0" w:rsidR="00897913" w:rsidRPr="008104BC" w:rsidRDefault="008104BC" w:rsidP="001F6229">
      <w:pPr>
        <w:pStyle w:val="BodyText"/>
      </w:pPr>
      <w:r w:rsidRPr="008104BC">
        <w:t xml:space="preserve">We will manage voicemail as an active intake and follow-up queue with clear ownership, age tracking, prioritization, and one-business-day response compliance. Where approved by CMS, Deloitte </w:t>
      </w:r>
      <w:r w:rsidR="00897913" w:rsidRPr="00897913">
        <w:t>may</w:t>
      </w:r>
      <w:r w:rsidRPr="008104BC">
        <w:t xml:space="preserve"> apply </w:t>
      </w:r>
      <w:r w:rsidR="00897913" w:rsidRPr="00897913">
        <w:t>approved automation capabilities, such as</w:t>
      </w:r>
      <w:r w:rsidRPr="008104BC">
        <w:t xml:space="preserve"> transcription</w:t>
      </w:r>
      <w:r w:rsidR="00897913" w:rsidRPr="00897913">
        <w:t xml:space="preserve"> and </w:t>
      </w:r>
      <w:r w:rsidRPr="008104BC">
        <w:t>categorization, to help staff route messages faster, identify urgent or complex issues sooner, and improve responsiveness while preserving human oversight</w:t>
      </w:r>
      <w:r w:rsidR="00897913" w:rsidRPr="00897913">
        <w:t xml:space="preserve"> and </w:t>
      </w:r>
      <w:r w:rsidRPr="008104BC">
        <w:t>script compliance</w:t>
      </w:r>
      <w:r w:rsidR="00897913" w:rsidRPr="00897913">
        <w:t>.</w:t>
      </w:r>
    </w:p>
    <w:p w14:paraId="69D5198B" w14:textId="77777777" w:rsidR="008104BC" w:rsidRPr="008104BC" w:rsidRDefault="008104BC" w:rsidP="001F6229">
      <w:pPr>
        <w:pStyle w:val="BodyText"/>
        <w:rPr>
          <w:b/>
        </w:rPr>
      </w:pPr>
      <w:r w:rsidRPr="001F6229">
        <w:rPr>
          <w:rStyle w:val="CharacterBold"/>
        </w:rPr>
        <w:t>5. Deliver a distinct issuer-support operating lane</w:t>
      </w:r>
    </w:p>
    <w:p w14:paraId="5D62023A" w14:textId="1ECAE81A" w:rsidR="004E7BE1" w:rsidRPr="005D763D" w:rsidRDefault="008104BC" w:rsidP="001F6229">
      <w:pPr>
        <w:pStyle w:val="BodyText"/>
        <w:rPr>
          <w:rStyle w:val="CharacterBold"/>
          <w:b w:val="0"/>
        </w:rPr>
      </w:pPr>
      <w:r w:rsidRPr="008104BC">
        <w:t>We will provide a dedicated issuer-support workflow through the ER&amp;R Support Center for issuer calls and emails, documentation in Enrollment Community, coordinated mass issuer communications, and support for testing and recommending technical enhancements that improve Enrollment Data Alignment. This will help CMS address issuer needs with greater consistency, speed, and operational visibility</w:t>
      </w:r>
      <w:r w:rsidR="00ED6B9B">
        <w:t>.</w:t>
      </w:r>
    </w:p>
    <w:p w14:paraId="09C72238" w14:textId="77777777" w:rsidR="008104BC" w:rsidRPr="008104BC" w:rsidRDefault="008104BC" w:rsidP="001F6229">
      <w:pPr>
        <w:pStyle w:val="BodyText"/>
        <w:rPr>
          <w:b/>
        </w:rPr>
      </w:pPr>
      <w:r w:rsidRPr="001F6229">
        <w:rPr>
          <w:rStyle w:val="CharacterBold"/>
        </w:rPr>
        <w:t>6. Embed WFM, QA, training, and knowledge management into daily delivery</w:t>
      </w:r>
    </w:p>
    <w:p w14:paraId="133B0F39" w14:textId="3AD4F883" w:rsidR="004E7BE1" w:rsidRPr="008104BC" w:rsidRDefault="008104BC" w:rsidP="001F6229">
      <w:pPr>
        <w:pStyle w:val="BodyText"/>
      </w:pPr>
      <w:r w:rsidRPr="008104BC">
        <w:t xml:space="preserve">We will use WFM to forecast demand, align staffing to seasonal and intraday volume patterns, and maintain service continuity as volumes rise and fall. We will use QA to monitor call quality, script adherence, documentation accuracy, and stakeholder experience. We will use training and knowledge management to keep representatives current on Exchange policy, enrollment and eligibility processes, </w:t>
      </w:r>
      <w:r w:rsidRPr="008104BC">
        <w:lastRenderedPageBreak/>
        <w:t>script changes, SOP updates, and improvement actions so support remains consistent and compliant over time</w:t>
      </w:r>
      <w:r w:rsidR="00ED6B9B">
        <w:t>.</w:t>
      </w:r>
    </w:p>
    <w:p w14:paraId="224EBB7D" w14:textId="77777777" w:rsidR="008104BC" w:rsidRPr="008104BC" w:rsidRDefault="008104BC" w:rsidP="001F6229">
      <w:pPr>
        <w:pStyle w:val="BodyText"/>
        <w:rPr>
          <w:b/>
        </w:rPr>
      </w:pPr>
      <w:r w:rsidRPr="001F6229">
        <w:rPr>
          <w:rStyle w:val="CharacterBold"/>
        </w:rPr>
        <w:t>7. Coordinate handoffs across the Marketplace ecosystem</w:t>
      </w:r>
    </w:p>
    <w:p w14:paraId="498DD12F" w14:textId="21CA299C" w:rsidR="004E7BE1" w:rsidRPr="008104BC" w:rsidRDefault="008104BC" w:rsidP="001F6229">
      <w:pPr>
        <w:pStyle w:val="BodyText"/>
      </w:pPr>
      <w:r w:rsidRPr="008104BC">
        <w:t>We will manage a handoff-heavy operating environment with explicit ownership, standard transfer points, escalation triggers, and shared status visibility across CMS, issuers, states, SBEs, the Exchange Call Center, and related contractors. This will reduce rework, shorten cycle times, and lower the risk of dropped transfers or inconsistent stakeholder guidance</w:t>
      </w:r>
      <w:r w:rsidR="00ED6B9B">
        <w:t>.</w:t>
      </w:r>
      <w:r w:rsidR="00C512BA">
        <w:t xml:space="preserve"> </w:t>
      </w:r>
      <w:r w:rsidR="00B70E26" w:rsidRPr="00B70E26">
        <w:t>This</w:t>
      </w:r>
      <w:r w:rsidR="00C512BA" w:rsidRPr="00C512BA">
        <w:t xml:space="preserve"> model also supports casework originating in other tasks, where issuer disputes, Form 1095-A consumer disputes, complex case referrals, FFE updates, and ad hoc stakeholder needs require coordinated contact, follow-up, and documented status communication.</w:t>
      </w:r>
    </w:p>
    <w:p w14:paraId="391A8D9B" w14:textId="77777777" w:rsidR="008104BC" w:rsidRPr="008104BC" w:rsidRDefault="008104BC" w:rsidP="001F6229">
      <w:pPr>
        <w:pStyle w:val="BodyText"/>
        <w:rPr>
          <w:b/>
        </w:rPr>
      </w:pPr>
      <w:r w:rsidRPr="001F6229">
        <w:rPr>
          <w:rStyle w:val="CharacterBold"/>
        </w:rPr>
        <w:t>8. Pair operations with continuous improvement</w:t>
      </w:r>
    </w:p>
    <w:p w14:paraId="433745C5" w14:textId="3C7C3315" w:rsidR="004E7BE1" w:rsidRPr="008104BC" w:rsidRDefault="008104BC" w:rsidP="005D763D">
      <w:pPr>
        <w:pStyle w:val="BodyText"/>
      </w:pPr>
      <w:r w:rsidRPr="008104BC">
        <w:t>Using trends from calls, voicemails, issuer inquiries, escalations, and case activity, Deloitte will help CMS identify recurring pain points, recommend script updates, propose workflow refinements, and support practical system and process improvements. We will treat Task 7 as both a service-delivery function and a source of insight to improve Marketplace operations over time</w:t>
      </w:r>
      <w:r w:rsidR="00ED6B9B">
        <w:t>.</w:t>
      </w:r>
    </w:p>
    <w:p w14:paraId="18DC9EEF" w14:textId="0A25769A" w:rsidR="008104BC" w:rsidRPr="00806D2C" w:rsidRDefault="00806D2C" w:rsidP="005D763D">
      <w:pPr>
        <w:pStyle w:val="Subheading1"/>
        <w:rPr>
          <w:b w:val="0"/>
        </w:rPr>
      </w:pPr>
      <w:commentRangeStart w:id="59"/>
      <w:commentRangeStart w:id="60"/>
      <w:r w:rsidRPr="005D763D">
        <w:t>Stakeholder-based operating model</w:t>
      </w:r>
      <w:commentRangeEnd w:id="59"/>
      <w:r w:rsidR="00E72CE8" w:rsidRPr="00806D2C">
        <w:rPr>
          <w:rStyle w:val="CommentReference"/>
          <w:b w:val="0"/>
          <w:sz w:val="24"/>
          <w:szCs w:val="22"/>
        </w:rPr>
        <w:commentReference w:id="59"/>
      </w:r>
      <w:commentRangeEnd w:id="60"/>
      <w:r w:rsidRPr="00806D2C">
        <w:rPr>
          <w:rStyle w:val="CommentReference"/>
          <w:b w:val="0"/>
          <w:sz w:val="24"/>
          <w:szCs w:val="22"/>
        </w:rPr>
        <w:commentReference w:id="60"/>
      </w:r>
    </w:p>
    <w:p w14:paraId="06CD3736" w14:textId="126B5606" w:rsidR="004B7925" w:rsidRPr="004B7925" w:rsidRDefault="004B7925" w:rsidP="00F23ABD">
      <w:pPr>
        <w:pStyle w:val="Bulletlevel1"/>
      </w:pPr>
      <w:r w:rsidRPr="004B7925">
        <w:rPr>
          <w:b/>
          <w:bCs/>
        </w:rPr>
        <w:t xml:space="preserve">Consumers: </w:t>
      </w:r>
      <w:r w:rsidRPr="004B7925">
        <w:t>plain-language support, efficient follow-up, sensitivity to complex eligibility and enrollment issues, surge readiness for dispute periods and seasonal spikes</w:t>
      </w:r>
      <w:r w:rsidR="00E72CE8">
        <w:t>.</w:t>
      </w:r>
    </w:p>
    <w:p w14:paraId="09CBD50B" w14:textId="38ED4869" w:rsidR="004B7925" w:rsidRPr="004B7925" w:rsidRDefault="004B7925" w:rsidP="00F23ABD">
      <w:pPr>
        <w:pStyle w:val="Bulletlevel1"/>
      </w:pPr>
      <w:r w:rsidRPr="004B7925">
        <w:rPr>
          <w:b/>
          <w:bCs/>
        </w:rPr>
        <w:t xml:space="preserve">Issuers: </w:t>
      </w:r>
      <w:r w:rsidR="000D1764">
        <w:rPr>
          <w:b/>
          <w:bCs/>
        </w:rPr>
        <w:t xml:space="preserve"> </w:t>
      </w:r>
      <w:r w:rsidR="000D1764" w:rsidRPr="000D1764">
        <w:t>O</w:t>
      </w:r>
      <w:r w:rsidRPr="000D1764">
        <w:t xml:space="preserve">perationally </w:t>
      </w:r>
      <w:r w:rsidRPr="004B7925">
        <w:t>precise coordination, documented communications, targeted outreach, issue pattern analysis, and collective communications where recurring issues emerge</w:t>
      </w:r>
      <w:r w:rsidR="00E72CE8">
        <w:t>.</w:t>
      </w:r>
    </w:p>
    <w:p w14:paraId="6BB8CE96" w14:textId="7498315F" w:rsidR="004B7925" w:rsidRPr="004B7925" w:rsidRDefault="004B7925" w:rsidP="00F23ABD">
      <w:pPr>
        <w:pStyle w:val="Bulletlevel1"/>
      </w:pPr>
      <w:r w:rsidRPr="004B7925">
        <w:rPr>
          <w:b/>
          <w:bCs/>
        </w:rPr>
        <w:t xml:space="preserve">FFE staff / CMS partners: </w:t>
      </w:r>
      <w:r w:rsidRPr="004B7925">
        <w:t>escalation discipline, status visibility, clear transfers, and timely follow-through</w:t>
      </w:r>
      <w:r w:rsidR="00E72CE8">
        <w:t>.</w:t>
      </w:r>
    </w:p>
    <w:p w14:paraId="2BDA52E8" w14:textId="469B0F10" w:rsidR="004B7925" w:rsidRPr="004B7925" w:rsidRDefault="004B7925" w:rsidP="00F23ABD">
      <w:pPr>
        <w:pStyle w:val="Bulletlevel1"/>
      </w:pPr>
      <w:r w:rsidRPr="004B7925">
        <w:rPr>
          <w:b/>
          <w:bCs/>
        </w:rPr>
        <w:t>SBEs / state partners / related contractors</w:t>
      </w:r>
      <w:r>
        <w:t>:</w:t>
      </w:r>
      <w:r w:rsidRPr="004B7925">
        <w:t xml:space="preserve"> coordination across different resolution paths, documented interactions, and dependable turnaroun</w:t>
      </w:r>
      <w:r w:rsidR="00E72CE8">
        <w:t>d.</w:t>
      </w:r>
    </w:p>
    <w:p w14:paraId="0A64ED26" w14:textId="35424CAE" w:rsidR="008104BC" w:rsidRPr="004E7BE1" w:rsidRDefault="004B7925" w:rsidP="00F23ABD">
      <w:pPr>
        <w:pStyle w:val="Bulletlevel1"/>
      </w:pPr>
      <w:r w:rsidRPr="004B7925">
        <w:rPr>
          <w:b/>
          <w:bCs/>
        </w:rPr>
        <w:t xml:space="preserve">Employer-related stakeholders under Task 10: </w:t>
      </w:r>
      <w:r w:rsidRPr="004B7925">
        <w:t>call-center support, script-governed inquiries, transfers, triage, and recurring reporting</w:t>
      </w:r>
      <w:r>
        <w:t>.</w:t>
      </w:r>
    </w:p>
    <w:p w14:paraId="1BABF67C" w14:textId="77777777" w:rsidR="00753C8C" w:rsidRPr="00753C8C" w:rsidRDefault="00753C8C" w:rsidP="005D763D">
      <w:pPr>
        <w:pStyle w:val="Subheading1"/>
      </w:pPr>
      <w:r w:rsidRPr="00753C8C">
        <w:t>Key differentiators</w:t>
      </w:r>
    </w:p>
    <w:p w14:paraId="7083A5A5" w14:textId="3E6FA78C" w:rsidR="008A2CD3" w:rsidRPr="008A2CD3" w:rsidRDefault="008A2CD3" w:rsidP="00F23ABD">
      <w:pPr>
        <w:pStyle w:val="Bulletlevel1"/>
      </w:pPr>
      <w:r w:rsidRPr="008A2CD3">
        <w:rPr>
          <w:b/>
          <w:bCs/>
        </w:rPr>
        <w:t>Multi-stakeholder support model</w:t>
      </w:r>
      <w:r w:rsidRPr="008A2CD3">
        <w:t xml:space="preserve"> tailored to the Marketplace ecosystem, not generic queue management</w:t>
      </w:r>
      <w:r>
        <w:t>.</w:t>
      </w:r>
    </w:p>
    <w:p w14:paraId="0576A4C7" w14:textId="5E9FAEE9" w:rsidR="008A2CD3" w:rsidRPr="008A2CD3" w:rsidRDefault="008A2CD3" w:rsidP="00F23ABD">
      <w:pPr>
        <w:pStyle w:val="Bulletlevel1"/>
      </w:pPr>
      <w:r w:rsidRPr="008A2CD3">
        <w:rPr>
          <w:b/>
          <w:bCs/>
        </w:rPr>
        <w:t>Proactive outbound resolution</w:t>
      </w:r>
      <w:r w:rsidRPr="008A2CD3">
        <w:t xml:space="preserve"> used to reduce cycle time, repeat contacts, and stakeholder burden</w:t>
      </w:r>
      <w:r>
        <w:t>.</w:t>
      </w:r>
    </w:p>
    <w:p w14:paraId="339C2742" w14:textId="1FC973CE" w:rsidR="008A2CD3" w:rsidRPr="008A2CD3" w:rsidRDefault="008A2CD3" w:rsidP="00F23ABD">
      <w:pPr>
        <w:pStyle w:val="Bulletlevel1"/>
      </w:pPr>
      <w:r w:rsidRPr="008A2CD3">
        <w:rPr>
          <w:b/>
          <w:bCs/>
        </w:rPr>
        <w:t>Unified contact and correspondence workflow</w:t>
      </w:r>
      <w:r w:rsidRPr="008A2CD3">
        <w:t xml:space="preserve"> with full documentation and auditability</w:t>
      </w:r>
      <w:r>
        <w:t>.</w:t>
      </w:r>
    </w:p>
    <w:p w14:paraId="089AD4F7" w14:textId="730CBC77" w:rsidR="008A2CD3" w:rsidRPr="008A2CD3" w:rsidRDefault="008A2CD3" w:rsidP="00F23ABD">
      <w:pPr>
        <w:pStyle w:val="Bulletlevel1"/>
      </w:pPr>
      <w:r w:rsidRPr="008A2CD3">
        <w:rPr>
          <w:b/>
          <w:bCs/>
        </w:rPr>
        <w:t>Formal script, SOP, QA, and training governance</w:t>
      </w:r>
      <w:r w:rsidRPr="008A2CD3">
        <w:t xml:space="preserve"> tied to CMS-approved processes</w:t>
      </w:r>
      <w:r>
        <w:t>.</w:t>
      </w:r>
    </w:p>
    <w:p w14:paraId="197F6F53" w14:textId="4E92C706" w:rsidR="004E7BE1" w:rsidRPr="00F23ABD" w:rsidRDefault="008A2CD3" w:rsidP="00F23ABD">
      <w:pPr>
        <w:pStyle w:val="Bulletlevel1"/>
      </w:pPr>
      <w:r w:rsidRPr="008A2CD3">
        <w:rPr>
          <w:b/>
          <w:bCs/>
        </w:rPr>
        <w:t>Continuous-improvement engine</w:t>
      </w:r>
      <w:r w:rsidRPr="008A2CD3">
        <w:t xml:space="preserve"> that turns contact trends into better scripts, communications, and workflows</w:t>
      </w:r>
      <w:r>
        <w:t>.</w:t>
      </w:r>
    </w:p>
    <w:p w14:paraId="49C9197E" w14:textId="3EC7F6C1" w:rsidR="008A2CD3" w:rsidRDefault="007F098A" w:rsidP="00F23ABD">
      <w:pPr>
        <w:pStyle w:val="Subheading1"/>
        <w:rPr>
          <w:b w:val="0"/>
        </w:rPr>
      </w:pPr>
      <w:r w:rsidRPr="007F098A">
        <w:t>Illustrative metrics aligned to SOW reporting and KPI expectations</w:t>
      </w:r>
      <w:r w:rsidR="004E7BE1">
        <w:t>.</w:t>
      </w:r>
      <w:commentRangeStart w:id="61"/>
      <w:commentRangeStart w:id="62"/>
      <w:commentRangeEnd w:id="61"/>
      <w:r w:rsidR="004E7BE1">
        <w:rPr>
          <w:rStyle w:val="CommentReference"/>
          <w:b w:val="0"/>
          <w:sz w:val="24"/>
          <w:szCs w:val="22"/>
        </w:rPr>
        <w:commentReference w:id="61"/>
      </w:r>
      <w:commentRangeEnd w:id="62"/>
      <w:r>
        <w:rPr>
          <w:rStyle w:val="CommentReference"/>
          <w:b w:val="0"/>
          <w:sz w:val="24"/>
          <w:szCs w:val="22"/>
        </w:rPr>
        <w:commentReference w:id="62"/>
      </w:r>
    </w:p>
    <w:p w14:paraId="3A4A55B9" w14:textId="0478325A" w:rsidR="004E7BE1" w:rsidRPr="004E7BE1" w:rsidRDefault="004E7BE1" w:rsidP="004E7BE1">
      <w:pPr>
        <w:spacing w:after="0"/>
        <w:rPr>
          <w:rFonts w:ascii="Arial Narrow" w:hAnsi="Arial Narrow"/>
          <w:b/>
          <w:bCs/>
        </w:rPr>
      </w:pPr>
      <w:r>
        <w:rPr>
          <w:rFonts w:ascii="Arial Narrow" w:hAnsi="Arial Narrow"/>
          <w:b/>
          <w:bCs/>
        </w:rPr>
        <w:t>A</w:t>
      </w:r>
      <w:r w:rsidRPr="004E7BE1">
        <w:rPr>
          <w:rFonts w:ascii="Arial Narrow" w:hAnsi="Arial Narrow"/>
          <w:b/>
          <w:bCs/>
        </w:rPr>
        <w:t>ccess and responsiveness</w:t>
      </w:r>
    </w:p>
    <w:p w14:paraId="50C76AC1" w14:textId="77777777" w:rsidR="004E7BE1" w:rsidRPr="004E7BE1" w:rsidRDefault="004E7BE1" w:rsidP="00A557DC">
      <w:pPr>
        <w:pStyle w:val="Bulletlevel1"/>
      </w:pPr>
      <w:r w:rsidRPr="004E7BE1">
        <w:t>Speed to answer</w:t>
      </w:r>
    </w:p>
    <w:p w14:paraId="0D575212" w14:textId="77777777" w:rsidR="004E7BE1" w:rsidRPr="004E7BE1" w:rsidRDefault="004E7BE1" w:rsidP="00A557DC">
      <w:pPr>
        <w:pStyle w:val="Bulletlevel1"/>
      </w:pPr>
      <w:r w:rsidRPr="004E7BE1">
        <w:t>Abandon rate</w:t>
      </w:r>
    </w:p>
    <w:p w14:paraId="69F43BDA" w14:textId="77777777" w:rsidR="004E7BE1" w:rsidRPr="004E7BE1" w:rsidRDefault="004E7BE1" w:rsidP="00A557DC">
      <w:pPr>
        <w:pStyle w:val="Bulletlevel1"/>
      </w:pPr>
      <w:r w:rsidRPr="004E7BE1">
        <w:t>Voicemail response timeliness</w:t>
      </w:r>
    </w:p>
    <w:p w14:paraId="59A906B1" w14:textId="77777777" w:rsidR="004E7BE1" w:rsidRPr="004E7BE1" w:rsidRDefault="004E7BE1" w:rsidP="00A557DC">
      <w:pPr>
        <w:pStyle w:val="Bulletlevel1"/>
      </w:pPr>
      <w:r w:rsidRPr="004E7BE1">
        <w:t>Service level</w:t>
      </w:r>
    </w:p>
    <w:p w14:paraId="44728EBD" w14:textId="77777777" w:rsidR="004E7BE1" w:rsidRPr="004E7BE1" w:rsidRDefault="004E7BE1" w:rsidP="004E7BE1">
      <w:pPr>
        <w:spacing w:after="0"/>
        <w:rPr>
          <w:rFonts w:ascii="Arial Narrow" w:hAnsi="Arial Narrow"/>
          <w:b/>
          <w:bCs/>
        </w:rPr>
      </w:pPr>
      <w:r w:rsidRPr="004E7BE1">
        <w:rPr>
          <w:rFonts w:ascii="Arial Narrow" w:hAnsi="Arial Narrow"/>
          <w:b/>
          <w:bCs/>
        </w:rPr>
        <w:lastRenderedPageBreak/>
        <w:t>Resolution</w:t>
      </w:r>
    </w:p>
    <w:p w14:paraId="79DACBB6" w14:textId="77777777" w:rsidR="004E7BE1" w:rsidRPr="004E7BE1" w:rsidRDefault="004E7BE1" w:rsidP="00A557DC">
      <w:pPr>
        <w:pStyle w:val="Bulletlevel1"/>
      </w:pPr>
      <w:r w:rsidRPr="004E7BE1">
        <w:t>First-contact resolution</w:t>
      </w:r>
    </w:p>
    <w:p w14:paraId="59C60A43" w14:textId="77777777" w:rsidR="004E7BE1" w:rsidRPr="004E7BE1" w:rsidRDefault="004E7BE1" w:rsidP="00A557DC">
      <w:pPr>
        <w:pStyle w:val="Bulletlevel1"/>
      </w:pPr>
      <w:r w:rsidRPr="004E7BE1">
        <w:t>Average days to case closure</w:t>
      </w:r>
    </w:p>
    <w:p w14:paraId="1D84A401" w14:textId="77777777" w:rsidR="004E7BE1" w:rsidRPr="004E7BE1" w:rsidRDefault="004E7BE1" w:rsidP="00A557DC">
      <w:pPr>
        <w:pStyle w:val="Bulletlevel1"/>
      </w:pPr>
      <w:r w:rsidRPr="004E7BE1">
        <w:t>Aging backlog by stakeholder and issue type</w:t>
      </w:r>
    </w:p>
    <w:p w14:paraId="049470EA" w14:textId="77777777" w:rsidR="004E7BE1" w:rsidRPr="004E7BE1" w:rsidRDefault="004E7BE1" w:rsidP="00A557DC">
      <w:pPr>
        <w:pStyle w:val="Bulletlevel1"/>
      </w:pPr>
      <w:r w:rsidRPr="004E7BE1">
        <w:t>Outbound contact success rate</w:t>
      </w:r>
    </w:p>
    <w:p w14:paraId="4DBC7D79" w14:textId="77777777" w:rsidR="004E7BE1" w:rsidRPr="004E7BE1" w:rsidRDefault="004E7BE1" w:rsidP="004E7BE1">
      <w:pPr>
        <w:spacing w:after="0"/>
        <w:rPr>
          <w:rFonts w:ascii="Arial Narrow" w:hAnsi="Arial Narrow"/>
          <w:b/>
          <w:bCs/>
        </w:rPr>
      </w:pPr>
      <w:r w:rsidRPr="004E7BE1">
        <w:rPr>
          <w:rFonts w:ascii="Arial Narrow" w:hAnsi="Arial Narrow"/>
          <w:b/>
          <w:bCs/>
        </w:rPr>
        <w:t>Quality and compliance</w:t>
      </w:r>
    </w:p>
    <w:p w14:paraId="53267B33" w14:textId="77777777" w:rsidR="004E7BE1" w:rsidRPr="004E7BE1" w:rsidRDefault="004E7BE1" w:rsidP="00A557DC">
      <w:pPr>
        <w:pStyle w:val="Bulletlevel1"/>
      </w:pPr>
      <w:r w:rsidRPr="004E7BE1">
        <w:t>QA accuracy</w:t>
      </w:r>
    </w:p>
    <w:p w14:paraId="0651311E" w14:textId="77777777" w:rsidR="004E7BE1" w:rsidRPr="004E7BE1" w:rsidRDefault="004E7BE1" w:rsidP="00A557DC">
      <w:pPr>
        <w:pStyle w:val="Bulletlevel1"/>
      </w:pPr>
      <w:r w:rsidRPr="004E7BE1">
        <w:t>Script adherence</w:t>
      </w:r>
    </w:p>
    <w:p w14:paraId="73D5FA5A" w14:textId="77777777" w:rsidR="004E7BE1" w:rsidRPr="004E7BE1" w:rsidRDefault="004E7BE1" w:rsidP="00A557DC">
      <w:pPr>
        <w:pStyle w:val="Bulletlevel1"/>
      </w:pPr>
      <w:r w:rsidRPr="004E7BE1">
        <w:t>Documentation completeness</w:t>
      </w:r>
    </w:p>
    <w:p w14:paraId="72F24035" w14:textId="77777777" w:rsidR="004E7BE1" w:rsidRPr="004E7BE1" w:rsidRDefault="004E7BE1" w:rsidP="00A557DC">
      <w:pPr>
        <w:pStyle w:val="Bulletlevel1"/>
      </w:pPr>
      <w:r w:rsidRPr="004E7BE1">
        <w:t>Training completion / refresh timeliness</w:t>
      </w:r>
    </w:p>
    <w:p w14:paraId="529638A6" w14:textId="77777777" w:rsidR="004E7BE1" w:rsidRPr="004E7BE1" w:rsidRDefault="004E7BE1" w:rsidP="004E7BE1">
      <w:pPr>
        <w:spacing w:after="0"/>
        <w:rPr>
          <w:rFonts w:ascii="Arial Narrow" w:hAnsi="Arial Narrow"/>
          <w:b/>
          <w:bCs/>
        </w:rPr>
      </w:pPr>
      <w:r w:rsidRPr="004E7BE1">
        <w:rPr>
          <w:rFonts w:ascii="Arial Narrow" w:hAnsi="Arial Narrow"/>
          <w:b/>
          <w:bCs/>
        </w:rPr>
        <w:t>Stakeholder service</w:t>
      </w:r>
    </w:p>
    <w:p w14:paraId="68081AD5" w14:textId="77777777" w:rsidR="004E7BE1" w:rsidRPr="004E7BE1" w:rsidRDefault="004E7BE1" w:rsidP="00A557DC">
      <w:pPr>
        <w:pStyle w:val="Bulletlevel1"/>
      </w:pPr>
      <w:r w:rsidRPr="004E7BE1">
        <w:t>Issuer inquiry turnaround</w:t>
      </w:r>
    </w:p>
    <w:p w14:paraId="19FA581D" w14:textId="77777777" w:rsidR="004E7BE1" w:rsidRPr="004E7BE1" w:rsidRDefault="004E7BE1" w:rsidP="00A557DC">
      <w:pPr>
        <w:pStyle w:val="Bulletlevel1"/>
      </w:pPr>
      <w:r w:rsidRPr="004E7BE1">
        <w:t>Correspondence timeliness</w:t>
      </w:r>
    </w:p>
    <w:p w14:paraId="3413183E" w14:textId="77777777" w:rsidR="004E7BE1" w:rsidRPr="004E7BE1" w:rsidRDefault="004E7BE1" w:rsidP="00A557DC">
      <w:pPr>
        <w:pStyle w:val="Bulletlevel1"/>
      </w:pPr>
      <w:r w:rsidRPr="004E7BE1">
        <w:t>Escalation volume and aging</w:t>
      </w:r>
    </w:p>
    <w:p w14:paraId="5B95D5D8" w14:textId="77777777" w:rsidR="004E7BE1" w:rsidRPr="004E7BE1" w:rsidRDefault="004E7BE1" w:rsidP="00A557DC">
      <w:pPr>
        <w:pStyle w:val="Bulletlevel1"/>
      </w:pPr>
      <w:r w:rsidRPr="004E7BE1">
        <w:t>Trend-to-action closure rate</w:t>
      </w:r>
    </w:p>
    <w:p w14:paraId="6C016405" w14:textId="77777777" w:rsidR="000958FF" w:rsidRPr="009D64BC" w:rsidRDefault="00B735F5" w:rsidP="000958FF">
      <w:pPr>
        <w:pStyle w:val="BodyText"/>
        <w:rPr>
          <w:u w:val="single"/>
        </w:rPr>
      </w:pPr>
      <w:r w:rsidRPr="009D64BC">
        <w:rPr>
          <w:u w:val="single"/>
        </w:rPr>
        <w:t xml:space="preserve">[Challenges &amp; Mitigations: </w:t>
      </w:r>
      <w:r w:rsidRPr="009D64BC">
        <w:rPr>
          <w:i/>
          <w:u w:val="single"/>
        </w:rPr>
        <w:t>Our understanding of pain points and challenges of the technical work that requires or is alleviated by the approach that we’re proposing – note that this content will be pulled out and summarized across tasks in section 1c</w:t>
      </w:r>
      <w:r w:rsidRPr="009D64BC">
        <w:rPr>
          <w:u w:val="single"/>
        </w:rPr>
        <w:t>]</w:t>
      </w:r>
    </w:p>
    <w:p w14:paraId="2CABAA50" w14:textId="20961AE7" w:rsidR="009D64BC" w:rsidRPr="009D64BC" w:rsidRDefault="00A557DC" w:rsidP="00A557DC">
      <w:pPr>
        <w:pStyle w:val="List1"/>
      </w:pPr>
      <w:r w:rsidRPr="00A557DC">
        <w:t>1</w:t>
      </w:r>
      <w:r>
        <w:tab/>
      </w:r>
      <w:r w:rsidR="009D64BC" w:rsidRPr="009D64BC">
        <w:rPr>
          <w:b/>
          <w:bCs/>
        </w:rPr>
        <w:t>Challenge: fragmented systems and swivel-chair work</w:t>
      </w:r>
      <w:r w:rsidR="009D64BC" w:rsidRPr="009D64BC">
        <w:br/>
      </w:r>
      <w:r w:rsidR="009D64BC" w:rsidRPr="009D64BC">
        <w:rPr>
          <w:b/>
          <w:bCs/>
        </w:rPr>
        <w:t>Mitigation:</w:t>
      </w:r>
      <w:r w:rsidR="009D64BC" w:rsidRPr="009D64BC">
        <w:t xml:space="preserve"> standard workflows, clear ownership, unified documentation, and visible case status across channels and handoffs</w:t>
      </w:r>
      <w:r w:rsidR="009D64BC">
        <w:t>.</w:t>
      </w:r>
    </w:p>
    <w:p w14:paraId="50B17B01" w14:textId="3518AEBA" w:rsidR="009D64BC" w:rsidRPr="009D64BC" w:rsidRDefault="00A557DC" w:rsidP="00A557DC">
      <w:pPr>
        <w:pStyle w:val="List1"/>
      </w:pPr>
      <w:r w:rsidRPr="00A557DC">
        <w:t>2</w:t>
      </w:r>
      <w:r>
        <w:tab/>
      </w:r>
      <w:r w:rsidR="009D64BC" w:rsidRPr="009D64BC">
        <w:rPr>
          <w:b/>
          <w:bCs/>
        </w:rPr>
        <w:t>Challenge: multiple handoffs across CMS, issuers, states, SBEs, and contractors</w:t>
      </w:r>
      <w:r w:rsidR="009D64BC" w:rsidRPr="009D64BC">
        <w:br/>
      </w:r>
      <w:r w:rsidR="009D64BC" w:rsidRPr="009D64BC">
        <w:rPr>
          <w:b/>
          <w:bCs/>
        </w:rPr>
        <w:t>Mitigation:</w:t>
      </w:r>
      <w:r w:rsidR="009D64BC" w:rsidRPr="009D64BC">
        <w:t xml:space="preserve"> defined transfer points, escalation rules, closed-loop follow-up</w:t>
      </w:r>
      <w:r w:rsidR="00B36C20" w:rsidRPr="00B36C20">
        <w:t xml:space="preserve">, and </w:t>
      </w:r>
      <w:r w:rsidR="009D64BC" w:rsidRPr="009D64BC">
        <w:t>case aging visibility</w:t>
      </w:r>
      <w:r w:rsidR="00B36C20" w:rsidRPr="00B36C20">
        <w:t>, supported by an integrated</w:t>
      </w:r>
      <w:r w:rsidR="00DB0485">
        <w:t xml:space="preserve"> QA model </w:t>
      </w:r>
      <w:r w:rsidR="00B36C20" w:rsidRPr="00B36C20">
        <w:t>that identifies cross-stakeholder improvement</w:t>
      </w:r>
      <w:r w:rsidR="00DB0485">
        <w:t xml:space="preserve"> </w:t>
      </w:r>
      <w:r w:rsidR="00811BEA">
        <w:t>opportunities</w:t>
      </w:r>
      <w:r w:rsidR="00B36C20" w:rsidRPr="00B36C20">
        <w:t>, routes</w:t>
      </w:r>
      <w:r w:rsidR="00DB0485">
        <w:t xml:space="preserve"> </w:t>
      </w:r>
      <w:r w:rsidR="00811BEA">
        <w:t xml:space="preserve">updates to CMS partners, and </w:t>
      </w:r>
      <w:r w:rsidR="00B36C20" w:rsidRPr="00B36C20">
        <w:t>tracks</w:t>
      </w:r>
      <w:r w:rsidR="00811BEA">
        <w:t xml:space="preserve"> review and concurrence through completion.</w:t>
      </w:r>
    </w:p>
    <w:p w14:paraId="43C8BB31" w14:textId="0DBB6F42" w:rsidR="009D64BC" w:rsidRPr="009D64BC" w:rsidRDefault="00A557DC" w:rsidP="00A557DC">
      <w:pPr>
        <w:pStyle w:val="List1"/>
      </w:pPr>
      <w:r w:rsidRPr="00A557DC">
        <w:t>3</w:t>
      </w:r>
      <w:r>
        <w:tab/>
      </w:r>
      <w:r w:rsidR="009D64BC" w:rsidRPr="009D64BC">
        <w:rPr>
          <w:b/>
          <w:bCs/>
        </w:rPr>
        <w:t>Challenge: evolving policy, process, and script direction</w:t>
      </w:r>
      <w:r w:rsidR="009D64BC" w:rsidRPr="009D64BC">
        <w:br/>
      </w:r>
      <w:r w:rsidR="009D64BC" w:rsidRPr="009D64BC">
        <w:rPr>
          <w:b/>
          <w:bCs/>
        </w:rPr>
        <w:t>Mitigation:</w:t>
      </w:r>
      <w:r w:rsidR="009D64BC" w:rsidRPr="009D64BC">
        <w:t xml:space="preserve"> governed knowledge management, refresh training, QA monitoring, and controlled script updates</w:t>
      </w:r>
      <w:r w:rsidR="009D64BC">
        <w:t>.</w:t>
      </w:r>
    </w:p>
    <w:p w14:paraId="06C21AE0" w14:textId="49518682" w:rsidR="009D64BC" w:rsidRPr="009D64BC" w:rsidRDefault="00A557DC" w:rsidP="00A557DC">
      <w:pPr>
        <w:pStyle w:val="List1"/>
      </w:pPr>
      <w:r w:rsidRPr="00A557DC">
        <w:t>4</w:t>
      </w:r>
      <w:r>
        <w:tab/>
      </w:r>
      <w:r w:rsidR="009D64BC" w:rsidRPr="009D64BC">
        <w:rPr>
          <w:b/>
          <w:bCs/>
        </w:rPr>
        <w:t>Challenge: seasonal surges and uneven demand</w:t>
      </w:r>
      <w:r w:rsidR="009D64BC" w:rsidRPr="009D64BC">
        <w:br/>
      </w:r>
      <w:r w:rsidR="009D64BC" w:rsidRPr="009D64BC">
        <w:rPr>
          <w:b/>
          <w:bCs/>
        </w:rPr>
        <w:t>Mitigation:</w:t>
      </w:r>
      <w:r w:rsidR="009D64BC" w:rsidRPr="009D64BC">
        <w:t xml:space="preserve"> WFM forecasting, flexible staffing, targeted outbound campaigns, and queue monitoring to maintain service continuity</w:t>
      </w:r>
      <w:r w:rsidR="009D64BC">
        <w:t>.</w:t>
      </w:r>
    </w:p>
    <w:p w14:paraId="099AE6E8" w14:textId="0322AE39" w:rsidR="000958FF" w:rsidRPr="003414BC" w:rsidRDefault="00A557DC" w:rsidP="00A557DC">
      <w:pPr>
        <w:pStyle w:val="List1"/>
      </w:pPr>
      <w:r w:rsidRPr="00A557DC">
        <w:t>5</w:t>
      </w:r>
      <w:r>
        <w:tab/>
      </w:r>
      <w:r w:rsidR="009D64BC" w:rsidRPr="009D64BC">
        <w:rPr>
          <w:b/>
          <w:bCs/>
        </w:rPr>
        <w:t>Challenge: need for compliant innovation without operational disruption</w:t>
      </w:r>
      <w:r w:rsidR="009D64BC" w:rsidRPr="009D64BC">
        <w:br/>
      </w:r>
      <w:r w:rsidR="009D64BC" w:rsidRPr="009D64BC">
        <w:rPr>
          <w:b/>
          <w:bCs/>
        </w:rPr>
        <w:t>Mitigation:</w:t>
      </w:r>
      <w:r w:rsidR="009D64BC" w:rsidRPr="009D64BC">
        <w:t xml:space="preserve"> CMS-approved pilots, human-in-the-loop AI-assisted triage, and transparent documentation of technical solutions and use cases</w:t>
      </w:r>
      <w:r w:rsidR="009D64BC">
        <w:t>.</w:t>
      </w:r>
    </w:p>
    <w:p w14:paraId="67C1ADEA" w14:textId="15284684" w:rsidR="00B735F5" w:rsidRDefault="00B735F5" w:rsidP="00B735F5">
      <w:pPr>
        <w:pStyle w:val="BodyText"/>
        <w:rPr>
          <w:u w:val="single"/>
        </w:rPr>
      </w:pPr>
      <w:r w:rsidRPr="009D64BC">
        <w:rPr>
          <w:u w:val="single"/>
        </w:rPr>
        <w:t>[</w:t>
      </w:r>
      <w:commentRangeStart w:id="63"/>
      <w:commentRangeStart w:id="64"/>
      <w:commentRangeStart w:id="65"/>
      <w:commentRangeStart w:id="66"/>
      <w:commentRangeStart w:id="67"/>
      <w:r w:rsidRPr="009D64BC">
        <w:rPr>
          <w:u w:val="single"/>
        </w:rPr>
        <w:t xml:space="preserve">Proof Points: </w:t>
      </w:r>
      <w:r w:rsidRPr="009D64BC">
        <w:rPr>
          <w:i/>
          <w:u w:val="single"/>
        </w:rPr>
        <w:t>List out projects where we’ve done similar work or where the details of our approach have been proven</w:t>
      </w:r>
      <w:r w:rsidRPr="009D64BC">
        <w:rPr>
          <w:u w:val="single"/>
        </w:rPr>
        <w:t>]</w:t>
      </w:r>
      <w:commentRangeEnd w:id="63"/>
      <w:r w:rsidR="00772824">
        <w:rPr>
          <w:rStyle w:val="CommentReference"/>
          <w:sz w:val="24"/>
          <w:szCs w:val="22"/>
          <w:u w:val="single"/>
        </w:rPr>
        <w:commentReference w:id="63"/>
      </w:r>
      <w:commentRangeEnd w:id="64"/>
      <w:r>
        <w:rPr>
          <w:rStyle w:val="CommentReference"/>
          <w:sz w:val="24"/>
          <w:szCs w:val="22"/>
          <w:u w:val="single"/>
        </w:rPr>
        <w:commentReference w:id="64"/>
      </w:r>
      <w:commentRangeEnd w:id="65"/>
      <w:r>
        <w:rPr>
          <w:rStyle w:val="CommentReference"/>
          <w:sz w:val="24"/>
          <w:szCs w:val="22"/>
          <w:u w:val="single"/>
        </w:rPr>
        <w:commentReference w:id="65"/>
      </w:r>
      <w:commentRangeEnd w:id="66"/>
      <w:r>
        <w:rPr>
          <w:rStyle w:val="CommentReference"/>
          <w:sz w:val="24"/>
          <w:szCs w:val="22"/>
          <w:u w:val="single"/>
        </w:rPr>
        <w:commentReference w:id="66"/>
      </w:r>
      <w:commentRangeEnd w:id="67"/>
      <w:r>
        <w:rPr>
          <w:rStyle w:val="CommentReference"/>
          <w:sz w:val="24"/>
          <w:szCs w:val="22"/>
          <w:u w:val="single"/>
        </w:rPr>
        <w:commentReference w:id="67"/>
      </w:r>
    </w:p>
    <w:p w14:paraId="4B3D7BA5" w14:textId="62F558DE" w:rsidR="00CD5459" w:rsidRPr="00CD5459" w:rsidRDefault="00CD5459" w:rsidP="00A557DC">
      <w:pPr>
        <w:pStyle w:val="Bulletlevel1"/>
        <w:rPr>
          <w:color w:val="FF0000"/>
        </w:rPr>
      </w:pPr>
      <w:commentRangeStart w:id="69"/>
      <w:r w:rsidRPr="00C2036A">
        <w:rPr>
          <w:b/>
          <w:bCs/>
        </w:rPr>
        <w:t>Covered</w:t>
      </w:r>
      <w:commentRangeEnd w:id="69"/>
      <w:r w:rsidRPr="00C2036A">
        <w:rPr>
          <w:rStyle w:val="CommentReference"/>
          <w:b/>
          <w:bCs/>
          <w:sz w:val="24"/>
          <w:szCs w:val="22"/>
        </w:rPr>
        <w:commentReference w:id="69"/>
      </w:r>
      <w:r w:rsidRPr="00C2036A">
        <w:rPr>
          <w:b/>
          <w:bCs/>
        </w:rPr>
        <w:t xml:space="preserve"> California Health Insurance Exchange Contact Center.</w:t>
      </w:r>
      <w:r>
        <w:t xml:space="preserve"> Deloitte stood up Amazon Connect in about 40 hours during annual enrollment, when contact volume peaks near 300,000 contacts per month. Deloitte provided project management, engineering, testing, training, and hypercare, led go-live and SSO migration with zero critical or high-impact issues, and continues to support enhancements such as courtesy callback, post-call survey, conversational IVR, custom agent desktop, and advanced </w:t>
      </w:r>
      <w:r>
        <w:lastRenderedPageBreak/>
        <w:t xml:space="preserve">reporting. </w:t>
      </w:r>
      <w:r w:rsidRPr="00C2036A">
        <w:rPr>
          <w:color w:val="FF0000"/>
        </w:rPr>
        <w:t>Proof for: digital exchange support, continuity under load, and practical contact-center modernization.</w:t>
      </w:r>
    </w:p>
    <w:p w14:paraId="4921D7EE" w14:textId="71545493" w:rsidR="00D031A5" w:rsidRPr="00D031A5" w:rsidRDefault="00D031A5" w:rsidP="00A557DC">
      <w:pPr>
        <w:pStyle w:val="Bulletlevel1"/>
        <w:rPr>
          <w:color w:val="FF0000"/>
        </w:rPr>
      </w:pPr>
      <w:r w:rsidRPr="00D031A5">
        <w:rPr>
          <w:b/>
          <w:bCs/>
          <w:color w:val="000000" w:themeColor="text1"/>
        </w:rPr>
        <w:t>CDC Vaccine Administration Management System (VAMS).</w:t>
      </w:r>
      <w:r w:rsidRPr="00D031A5">
        <w:rPr>
          <w:color w:val="000000" w:themeColor="text1"/>
        </w:rPr>
        <w:t xml:space="preserve"> Deloitte supported CDC’s national VAMS environment and rapidly deployed an AWS Connect-based call center to support end users, jurisdictions, and clinics when high call volume accompanied system rollout. Deloitte provided call center oversight, reporting, SLA monitoring, training, knowledge management, continuous process improvement, and centralized QA reporting across five workstreams, while building a Salesforce-based knowledge repository with 300+ artifacts. The effort supported a multi-tier call center solution used in administering 9.5M vaccines.</w:t>
      </w:r>
      <w:r w:rsidRPr="00D031A5">
        <w:rPr>
          <w:color w:val="FF0000"/>
        </w:rPr>
        <w:t xml:space="preserve"> Proof for: federal stakeholder support, high-volume contact center oversight, training and QA governance, and knowledge-management-enabled continuous improvement.</w:t>
      </w:r>
    </w:p>
    <w:p w14:paraId="770D7CF7" w14:textId="40805D11" w:rsidR="00095BFA" w:rsidRPr="00095BFA" w:rsidRDefault="00095BFA" w:rsidP="00A557DC">
      <w:pPr>
        <w:pStyle w:val="Bulletlevel1"/>
        <w:rPr>
          <w:color w:val="FF0000"/>
        </w:rPr>
      </w:pPr>
      <w:r w:rsidRPr="00095BFA">
        <w:rPr>
          <w:b/>
          <w:bCs/>
          <w:color w:val="000000" w:themeColor="text1"/>
        </w:rPr>
        <w:t xml:space="preserve">Financial Crimes Enforcement Network (FinCEN) Beneficial Ownership Contact Center. </w:t>
      </w:r>
      <w:r w:rsidRPr="00095BFA">
        <w:rPr>
          <w:color w:val="000000" w:themeColor="text1"/>
        </w:rPr>
        <w:t xml:space="preserve">Deloitte stood up and operates a federal compliance-oriented contact center built on Salesforce Government Cloud Plus, Amazon Connect, and AWS Lex in a FedRAMP High environment. The team launched command center operations, deployed chatbot capabilities, supported outbound calls and web-to-case inquiries, published 141 business and 86 technical knowledge articles, ran a QA program for outbound calls and </w:t>
      </w:r>
      <w:r w:rsidR="00AC2B57">
        <w:rPr>
          <w:color w:val="000000" w:themeColor="text1"/>
        </w:rPr>
        <w:t>web-to-case</w:t>
      </w:r>
      <w:r w:rsidRPr="00095BFA">
        <w:rPr>
          <w:color w:val="000000" w:themeColor="text1"/>
        </w:rPr>
        <w:t xml:space="preserve"> responses, and used dashboards to monitor daily performance, schedules, and productivity. Results include eliminating a 5K-case backlog within three months, closing 350K+ cases to date, conducting 23K+ outbound calls, auditing 11K+ cases at an average score of 96%, and reducing closure time to within a day of receipt by July 2025.</w:t>
      </w:r>
      <w:r>
        <w:rPr>
          <w:color w:val="000000" w:themeColor="text1"/>
        </w:rPr>
        <w:t xml:space="preserve"> </w:t>
      </w:r>
      <w:r w:rsidRPr="00095BFA">
        <w:rPr>
          <w:color w:val="FF0000"/>
        </w:rPr>
        <w:t>Proof for: federal case-management operations, outbound support, dashboard-driven performance management, quality auditing, and knowledge-centered service delivery.</w:t>
      </w:r>
    </w:p>
    <w:p w14:paraId="1EBDFFFF" w14:textId="0E9158C7" w:rsidR="00470E02" w:rsidRPr="00095BFA" w:rsidRDefault="00715790" w:rsidP="00A557DC">
      <w:pPr>
        <w:pStyle w:val="Bulletlevel1"/>
        <w:rPr>
          <w:color w:val="FF0000"/>
        </w:rPr>
      </w:pPr>
      <w:r w:rsidRPr="00715790">
        <w:rPr>
          <w:b/>
          <w:bCs/>
          <w:color w:val="000000" w:themeColor="text1"/>
        </w:rPr>
        <w:t>United States Navy MyNavy Career Center (MNCC).</w:t>
      </w:r>
      <w:r w:rsidRPr="00715790">
        <w:rPr>
          <w:color w:val="000000" w:themeColor="text1"/>
        </w:rPr>
        <w:t xml:space="preserve"> Deloitte helped the Navy redesign and modernize a tiered omnichannel HR service-delivery model supporting 330,000+ Sailors, including Salesforce CRM, Cisco telephony, IVR, post-call survey capabilities, command center development, and implementation of WFM, QA, and reporting and analytics. Deloitte also conducted contact-driver analysis, recommended a content-management approach, created knowledge materials, established a maintenance model for the knowledge base, and helped shift lower-complexity work to the left. The resulting model supports 36,000+ contacts per month and has enabled the creation and resolution of 1.5M customer requests and inquiries since launch. </w:t>
      </w:r>
      <w:r w:rsidRPr="00715790">
        <w:rPr>
          <w:color w:val="FF0000"/>
        </w:rPr>
        <w:t>Proof for: federal omnichannel operating-model design, command-center integration, contact-driver analysis, knowledge management, and scalable service-delivery improvement.</w:t>
      </w:r>
    </w:p>
    <w:p w14:paraId="735E49B0" w14:textId="7232E065" w:rsidR="004F3326" w:rsidRPr="00492B1F" w:rsidRDefault="004F3326" w:rsidP="00A557DC">
      <w:pPr>
        <w:pStyle w:val="Bulletlevel1"/>
      </w:pPr>
      <w:r w:rsidRPr="004F3326">
        <w:rPr>
          <w:b/>
          <w:bCs/>
        </w:rPr>
        <w:t xml:space="preserve">State health and human services contact center operations. </w:t>
      </w:r>
      <w:r>
        <w:t xml:space="preserve">Deloitte rapidly mobilized and stabilized state contact center operations supporting time-sensitive public health and benefits programs. In New York, Deloitte took over an overwhelmed vaccine hotline, deployed 4,000+ surge support agents, handled 5M+ calls including 100K+ per day at peak, and improved performance through QA, WFM, reporting, knowledge management, and micro-learning, contributing to a 53% reduction in hold time and a 75% reduction in Tier 2 escalations. In the District of Columbia, Deloitte launched a contact center in 25 days, implemented a cloud-based solution in five weeks, handled nearly 24,000 calls, and supported an end-to-end managed service model with QA, command center oversight, and reporting. </w:t>
      </w:r>
      <w:r w:rsidRPr="004F3326">
        <w:rPr>
          <w:color w:val="FF0000"/>
        </w:rPr>
        <w:t>Proof for: rapid mobilization, surge operations, disciplined service delivery, and government contact center execution.</w:t>
      </w:r>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 xml:space="preserve">Figure X.X-X. </w:t>
      </w:r>
      <w:r w:rsidR="00420545" w:rsidRPr="00420545">
        <w:t>The ER&amp;R Ecosystem: Core Systems, Integrations, Security Infrastructure, and Operational Stakeholder Network</w:t>
      </w:r>
      <w:r w:rsidR="00420545">
        <w:t>.</w:t>
      </w:r>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X.X-X.</w:t>
      </w:r>
      <w:r>
        <w:t xml:space="preserve"> </w:t>
      </w:r>
      <w:r w:rsidRPr="00420545">
        <w:t>Deloitte's Six-Phase ER&amp;R Delivery Model</w:t>
      </w:r>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X.X-X.</w:t>
      </w:r>
      <w:r w:rsidR="00D34E5C">
        <w:t xml:space="preserve"> Provide Title.</w:t>
      </w:r>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lastRenderedPageBreak/>
        <w:t xml:space="preserve">Figure X.X-X. </w:t>
      </w:r>
      <w:r w:rsidRPr="0031446F">
        <w:t>ER&amp;R Conversational Interface — Stage 1 Internal Command Center</w:t>
      </w:r>
      <w:r>
        <w:t>.</w:t>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X.X-X. Provide Title.</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BodyText"/>
      </w:pPr>
      <w:r>
        <w:t>[Our Understanding]</w:t>
      </w:r>
    </w:p>
    <w:p w14:paraId="5239D862" w14:textId="686161EC" w:rsidR="00C37302" w:rsidRPr="00975FC4" w:rsidRDefault="00C37302" w:rsidP="00975FC4">
      <w:pPr>
        <w:pStyle w:val="BodyText"/>
        <w:rPr>
          <w:color w:val="000000"/>
        </w:rPr>
      </w:pPr>
      <w:r>
        <w:rPr>
          <w:rStyle w:val="eop"/>
          <w:rFonts w:cs="Segoe UI"/>
        </w:rPr>
        <w:t>CMS maintains multiple SOPs, User Guides, and Job Aids, which Team Deloitte will improve and update monthly, quarterly, and on an ad hoc basis with COR approval.  These updates will reflect</w:t>
      </w:r>
      <w:r w:rsidRPr="00E13EB4">
        <w:rPr>
          <w:color w:val="000000"/>
        </w:rPr>
        <w:t xml:space="preserve"> changes in policy, workflow, system functionality, </w:t>
      </w:r>
      <w:r>
        <w:rPr>
          <w:color w:val="000000"/>
        </w:rPr>
        <w:t>or</w:t>
      </w:r>
      <w:r w:rsidRPr="00E13EB4">
        <w:rPr>
          <w:color w:val="000000"/>
        </w:rPr>
        <w:t xml:space="preserve"> operational priorities</w:t>
      </w:r>
      <w:r>
        <w:rPr>
          <w:color w:val="000000"/>
        </w:rPr>
        <w:t xml:space="preserve">. </w:t>
      </w:r>
      <w:r>
        <w:rPr>
          <w:rStyle w:val="eop"/>
          <w:rFonts w:cs="Segoe UI"/>
        </w:rPr>
        <w:t xml:space="preserve">CMS will receive three Task 9 reports from Team Deloitte monthly: the </w:t>
      </w:r>
      <w:r w:rsidRPr="00B03C22">
        <w:rPr>
          <w:rStyle w:val="eop"/>
          <w:rFonts w:cs="Segoe UI"/>
        </w:rPr>
        <w:t>Business Process</w:t>
      </w:r>
      <w:r>
        <w:rPr>
          <w:rStyle w:val="eop"/>
          <w:rFonts w:cs="Segoe UI"/>
        </w:rPr>
        <w:t xml:space="preserve"> </w:t>
      </w:r>
      <w:r w:rsidRPr="00B03C22">
        <w:rPr>
          <w:rStyle w:val="eop"/>
          <w:rFonts w:cs="Segoe UI"/>
        </w:rPr>
        <w:t>Improvement Report</w:t>
      </w:r>
      <w:r>
        <w:rPr>
          <w:rStyle w:val="eop"/>
          <w:rFonts w:cs="Segoe UI"/>
        </w:rPr>
        <w:t>, Performance Report, and Quality Assurance Report. CMS will also receive a</w:t>
      </w:r>
      <w:r w:rsidRPr="00E13EB4">
        <w:rPr>
          <w:color w:val="000000"/>
        </w:rPr>
        <w:t xml:space="preserve"> Quality Assurance Plan within 45 days of </w:t>
      </w:r>
      <w:r>
        <w:rPr>
          <w:color w:val="000000"/>
        </w:rPr>
        <w:t xml:space="preserve">the </w:t>
      </w:r>
      <w:r w:rsidRPr="00E13EB4">
        <w:rPr>
          <w:color w:val="000000"/>
        </w:rPr>
        <w:t>Base Period</w:t>
      </w:r>
      <w:r>
        <w:rPr>
          <w:color w:val="000000"/>
        </w:rPr>
        <w:t xml:space="preserve">. </w:t>
      </w:r>
    </w:p>
    <w:p w14:paraId="7451E3E8" w14:textId="71F5E7D7" w:rsidR="003414BC" w:rsidRPr="003414BC" w:rsidRDefault="09770625" w:rsidP="003414BC">
      <w:pPr>
        <w:pStyle w:val="BodyText"/>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Team Deloitte’s QA approach links governance and performance to monitor the quality of operational support and deliverables through a single closed-loop model that strengthens execution and drives measurable improvement across the ER&amp;R program</w:t>
      </w:r>
      <w:r w:rsidR="003442AD">
        <w:t>.</w:t>
      </w:r>
    </w:p>
    <w:p w14:paraId="54F3AF99" w14:textId="1B5F3479" w:rsidR="00C37302" w:rsidRDefault="0020358F" w:rsidP="003442AD">
      <w:pPr>
        <w:pStyle w:val="BodyText"/>
      </w:pPr>
      <w:r w:rsidRPr="001403F4">
        <w:t>Team Deloitte will execute Task 9 through an integrated</w:t>
      </w:r>
      <w:r w:rsidRPr="001403F4">
        <w:rPr>
          <w:rFonts w:eastAsiaTheme="majorEastAsia" w:cs="Segoe UI"/>
          <w:b/>
          <w:color w:val="000000"/>
        </w:rPr>
        <w:t xml:space="preserve"> quality, and analytics governance model</w:t>
      </w:r>
      <w:r w:rsidRPr="001403F4">
        <w:rPr>
          <w:rFonts w:cs="Segoe UI"/>
          <w:color w:val="000000"/>
        </w:rPr>
        <w:t xml:space="preserve"> that translates operational findings into approved, measurable process improvement. Within </w:t>
      </w:r>
      <w:r w:rsidRPr="001403F4">
        <w:rPr>
          <w:rFonts w:eastAsiaTheme="majorEastAsia" w:cs="Segoe UI"/>
          <w:b/>
          <w:color w:val="000000"/>
        </w:rPr>
        <w:t>45 days</w:t>
      </w:r>
      <w:r w:rsidRPr="001403F4">
        <w:rPr>
          <w:rFonts w:cs="Segoe UI"/>
          <w:color w:val="000000"/>
        </w:rPr>
        <w:t xml:space="preserve"> of </w:t>
      </w:r>
      <w:r>
        <w:rPr>
          <w:rFonts w:cs="Segoe UI"/>
          <w:color w:val="000000"/>
        </w:rPr>
        <w:t xml:space="preserve">the </w:t>
      </w:r>
      <w:r w:rsidRPr="001403F4">
        <w:rPr>
          <w:rFonts w:cs="Segoe UI"/>
          <w:color w:val="000000"/>
        </w:rPr>
        <w:t xml:space="preserve">Base Period start, Team Deloitte will deliver a Quality Assurance Plan that defines </w:t>
      </w:r>
      <w:r>
        <w:rPr>
          <w:rFonts w:cs="Segoe UI"/>
          <w:color w:val="000000"/>
        </w:rPr>
        <w:t>Service Level Agreements, Acceptable Quality Levels</w:t>
      </w:r>
      <w:r w:rsidRPr="001403F4">
        <w:rPr>
          <w:rFonts w:cs="Segoe UI"/>
          <w:color w:val="000000"/>
        </w:rPr>
        <w:t>,</w:t>
      </w:r>
      <w:r>
        <w:rPr>
          <w:rFonts w:cs="Segoe UI"/>
          <w:color w:val="000000"/>
        </w:rPr>
        <w:t xml:space="preserve"> KPIs, etc. The QASP will be developed with baseline performance in mind. </w:t>
      </w:r>
      <w:r w:rsidRPr="001403F4">
        <w:rPr>
          <w:rFonts w:cs="Segoe UI"/>
          <w:color w:val="000000"/>
        </w:rPr>
        <w:t xml:space="preserve">Team Deloitte will begin by assessing CMS-provided SOPs, user guides, job aids, workflows, and current performance measures </w:t>
      </w:r>
      <w:r>
        <w:rPr>
          <w:rFonts w:cs="Segoe UI"/>
          <w:color w:val="000000"/>
        </w:rPr>
        <w:t>to understand the</w:t>
      </w:r>
      <w:r w:rsidRPr="001403F4">
        <w:rPr>
          <w:rFonts w:cs="Segoe UI"/>
          <w:color w:val="000000"/>
        </w:rPr>
        <w:t xml:space="preserve"> baseline </w:t>
      </w:r>
      <w:r>
        <w:rPr>
          <w:rFonts w:cs="Segoe UI"/>
          <w:color w:val="000000"/>
        </w:rPr>
        <w:t>ER</w:t>
      </w:r>
      <w:r w:rsidRPr="001403F4">
        <w:rPr>
          <w:rFonts w:cs="Segoe UI"/>
          <w:color w:val="000000"/>
        </w:rPr>
        <w:t>&amp;R processes and documentation. From that baseline, Team Deloitte will implement a governed documentation lifecycle that identifies change triggers, assesses impact, drafts and reviews revisions, maintains version control, and routes updates for COR approval—ensuring procedural guidance remains current, controlled, and aligned to approved business requirements.</w:t>
      </w:r>
      <w:r>
        <w:rPr>
          <w:rFonts w:cs="Segoe UI"/>
          <w:color w:val="000000"/>
        </w:rPr>
        <w:t xml:space="preserve"> The methods, processes, and tools </w:t>
      </w:r>
      <w:r w:rsidR="00D86B3C">
        <w:rPr>
          <w:rFonts w:cs="Segoe UI"/>
          <w:color w:val="000000"/>
        </w:rPr>
        <w:t xml:space="preserve">in Table </w:t>
      </w:r>
      <w:r w:rsidR="00D86B3C" w:rsidRPr="006A33B8">
        <w:rPr>
          <w:color w:val="C00000"/>
        </w:rPr>
        <w:t>XX</w:t>
      </w:r>
      <w:r>
        <w:rPr>
          <w:rFonts w:cs="Segoe UI"/>
          <w:color w:val="000000"/>
        </w:rPr>
        <w:t xml:space="preserve"> below will be used for the relevant deliverables:</w:t>
      </w:r>
    </w:p>
    <w:p w14:paraId="305C94A8" w14:textId="20B1E0DA" w:rsidR="00087006" w:rsidRPr="00AD34BF" w:rsidRDefault="00AD34BF" w:rsidP="00AD34BF">
      <w:pPr>
        <w:pStyle w:val="TableTitle"/>
      </w:pPr>
      <w:r>
        <w:t>Table X.X-X. Provide Title.</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Team Deloitte</w:t>
      </w:r>
      <w:r w:rsidRPr="001403F4">
        <w:rPr>
          <w:rFonts w:cs="Segoe UI"/>
          <w:color w:val="000000"/>
        </w:rPr>
        <w:t xml:space="preserve"> will embed continuous improvement into routine operations through a closed-loop </w:t>
      </w:r>
      <w:r>
        <w:rPr>
          <w:rFonts w:cs="Segoe UI"/>
          <w:color w:val="000000"/>
        </w:rPr>
        <w:t>approach that will</w:t>
      </w:r>
      <w:r w:rsidRPr="001403F4">
        <w:rPr>
          <w:rFonts w:cs="Segoe UI"/>
          <w:color w:val="000000"/>
        </w:rPr>
        <w:t xml:space="preserve"> measure performance, identify issues, analyze root causes, implement corrective actions, update documentation, and validate results. Findings from QA reviews, trend analysis, recurring defects, and stakeholder feedback will inform </w:t>
      </w:r>
      <w:r>
        <w:rPr>
          <w:rFonts w:cs="Segoe UI"/>
          <w:color w:val="000000"/>
        </w:rPr>
        <w:t>reports</w:t>
      </w:r>
      <w:r w:rsidRPr="001403F4">
        <w:rPr>
          <w:rFonts w:cs="Segoe UI"/>
          <w:color w:val="000000"/>
        </w:rPr>
        <w:t>, making Task 9 a driver of operational improvement rather than a stand-alone compliance function. To support program oversight and integrity,</w:t>
      </w:r>
      <w:r w:rsidRPr="00C0682D">
        <w:rPr>
          <w:rFonts w:cs="Segoe UI"/>
          <w:color w:val="000000"/>
        </w:rPr>
        <w:t xml:space="preserve"> </w:t>
      </w:r>
      <w:r>
        <w:rPr>
          <w:rFonts w:cs="Segoe UI"/>
          <w:color w:val="000000"/>
        </w:rPr>
        <w:t>Team</w:t>
      </w:r>
      <w:r w:rsidRPr="001403F4">
        <w:rPr>
          <w:rFonts w:cs="Segoe UI"/>
          <w:color w:val="000000"/>
        </w:rPr>
        <w:t xml:space="preserve"> Deloitte will also apply a repeatable analytic framework to CMS-required data and translate them into decision-useful reporting that identifies practical recommendations for CMS action.</w:t>
      </w:r>
      <w:r w:rsidRPr="00A66999">
        <w:rPr>
          <w:rFonts w:cs="Segoe UI"/>
          <w:color w:val="000000"/>
        </w:rPr>
        <w:t xml:space="preserve"> </w:t>
      </w:r>
      <w:r>
        <w:rPr>
          <w:rFonts w:cs="Segoe UI"/>
          <w:color w:val="000000"/>
        </w:rPr>
        <w:t>The methods, processes, and tools below</w:t>
      </w:r>
      <w:r w:rsidR="00D86B3C">
        <w:rPr>
          <w:rFonts w:cs="Segoe UI"/>
          <w:color w:val="000000"/>
        </w:rPr>
        <w:t xml:space="preserve"> in Table </w:t>
      </w:r>
      <w:r w:rsidR="00D86B3C" w:rsidRPr="00D86B3C">
        <w:rPr>
          <w:rFonts w:eastAsia="Times New Roman" w:cs="Segoe UI"/>
          <w:color w:val="C00000"/>
          <w:szCs w:val="24"/>
          <w:rPrChange w:id="75" w:author="Nunes, Nina-Marie" w:date="2026-04-27T08:25:00Z" w16du:dateUtc="2026-04-27T12:25:00Z">
            <w:rPr>
              <w:color w:val="C00000"/>
            </w:rPr>
          </w:rPrChange>
        </w:rPr>
        <w:t>XX</w:t>
      </w:r>
      <w:r w:rsidRPr="00D86B3C">
        <w:rPr>
          <w:rFonts w:eastAsia="Times New Roman" w:cs="Segoe UI"/>
          <w:color w:val="C00000"/>
          <w:szCs w:val="24"/>
          <w:rPrChange w:id="76" w:author="Nunes, Nina-Marie" w:date="2026-04-27T08:25:00Z" w16du:dateUtc="2026-04-27T12:25:00Z">
            <w:rPr>
              <w:color w:val="C00000"/>
            </w:rPr>
          </w:rPrChange>
        </w:rPr>
        <w:t xml:space="preserve"> </w:t>
      </w:r>
      <w:r>
        <w:rPr>
          <w:rFonts w:cs="Segoe UI"/>
          <w:color w:val="000000"/>
        </w:rPr>
        <w:t>will be used for the relevant deliverables:</w:t>
      </w:r>
    </w:p>
    <w:p w14:paraId="2777F236" w14:textId="46E05CE4" w:rsidR="00AD34BF" w:rsidRPr="00D71EFD" w:rsidRDefault="00D71EFD" w:rsidP="00D71EFD">
      <w:pPr>
        <w:pStyle w:val="TableTitle"/>
      </w:pPr>
      <w:r>
        <w:t>Table X.X-X. Provide Title.</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40EC4A20" w14:textId="797AAE72" w:rsidR="003414BC" w:rsidRPr="003414BC" w:rsidRDefault="09770625" w:rsidP="67059926">
      <w:pPr>
        <w:pStyle w:val="BodyText"/>
      </w:pPr>
      <w:r>
        <w:t xml:space="preserve">[Challenges &amp; Mitigations: </w:t>
      </w:r>
      <w:r w:rsidRPr="67059926">
        <w:rPr>
          <w:i/>
          <w:iCs/>
        </w:rPr>
        <w:t>Our understanding of pain points and challenges of the technical work that requires or is alleviated by the approach that we’re proposing – note that this content will be pulled out and summarized across tasks in section 1c</w:t>
      </w:r>
      <w:r>
        <w:t>]</w:t>
      </w:r>
    </w:p>
    <w:p w14:paraId="628396AE" w14:textId="77777777" w:rsidR="000F742E" w:rsidRPr="000949F5" w:rsidRDefault="000F742E" w:rsidP="009F47CF">
      <w:pPr>
        <w:pStyle w:val="BodyText"/>
        <w:rPr>
          <w:rFonts w:cs="Segoe UI"/>
        </w:rPr>
      </w:pPr>
      <w:r w:rsidRPr="00BB1E9A">
        <w:t>A primary challenge under Task 9 is maintaining current documentation in a dynamic ER&amp;R operating environment, where policy changes, workflow update</w:t>
      </w:r>
      <w:r>
        <w:rPr>
          <w:rFonts w:cs="Segoe UI"/>
          <w:color w:val="000000"/>
        </w:rPr>
        <w:t>s</w:t>
      </w:r>
      <w:r w:rsidRPr="00BB1E9A">
        <w:rPr>
          <w:rFonts w:cs="Segoe UI"/>
          <w:color w:val="000000"/>
        </w:rPr>
        <w:t xml:space="preserve">, and system modifications can quickly make SOPs, </w:t>
      </w:r>
      <w:r w:rsidRPr="00BB1E9A">
        <w:rPr>
          <w:rFonts w:cs="Segoe UI"/>
          <w:color w:val="000000"/>
        </w:rPr>
        <w:lastRenderedPageBreak/>
        <w:t xml:space="preserve">user guides, and job aids outdated. Left unaddressed, this creates risk of inconsistent execution, </w:t>
      </w:r>
      <w:r>
        <w:rPr>
          <w:rFonts w:cs="Segoe UI"/>
          <w:color w:val="000000"/>
        </w:rPr>
        <w:t>duplicative effort</w:t>
      </w:r>
      <w:r w:rsidRPr="00BB1E9A">
        <w:rPr>
          <w:rFonts w:cs="Segoe UI"/>
          <w:color w:val="000000"/>
        </w:rPr>
        <w:t xml:space="preserve">, and avoidable errors. </w:t>
      </w:r>
    </w:p>
    <w:p w14:paraId="6D38752A" w14:textId="77777777" w:rsidR="000F742E" w:rsidRPr="00BB1E9A" w:rsidRDefault="000F742E" w:rsidP="009F47CF">
      <w:pPr>
        <w:pStyle w:val="BodyText"/>
        <w:rPr>
          <w:rFonts w:cs="Segoe UI"/>
          <w:color w:val="000000"/>
        </w:rPr>
      </w:pPr>
      <w:r>
        <w:t>Team Deloitte</w:t>
      </w:r>
      <w:r w:rsidRPr="00BB1E9A">
        <w:rPr>
          <w:rFonts w:cs="Segoe UI"/>
          <w:color w:val="000000"/>
        </w:rPr>
        <w:t xml:space="preserve"> will mitigate this risk through disciplined documentation governance that includes defined change triggers, </w:t>
      </w:r>
      <w:r w:rsidRPr="00BB1E9A">
        <w:rPr>
          <w:rFonts w:cs="Segoe UI"/>
          <w:b/>
          <w:color w:val="000000"/>
        </w:rPr>
        <w:t>SOP</w:t>
      </w:r>
      <w:r w:rsidRPr="00BB1E9A">
        <w:rPr>
          <w:rFonts w:cs="Segoe UI"/>
          <w:color w:val="000000"/>
        </w:rPr>
        <w:t xml:space="preserve">, </w:t>
      </w:r>
      <w:r w:rsidRPr="00BB1E9A">
        <w:rPr>
          <w:rFonts w:cs="Segoe UI"/>
          <w:b/>
          <w:color w:val="000000"/>
        </w:rPr>
        <w:t>user guide</w:t>
      </w:r>
      <w:r>
        <w:rPr>
          <w:rFonts w:cs="Segoe UI"/>
          <w:b/>
          <w:color w:val="000000"/>
        </w:rPr>
        <w:t>s,</w:t>
      </w:r>
      <w:r w:rsidRPr="00BB1E9A">
        <w:rPr>
          <w:rFonts w:cs="Segoe UI"/>
          <w:b/>
          <w:color w:val="000000"/>
        </w:rPr>
        <w:t xml:space="preserve"> job aid checkpoint</w:t>
      </w:r>
      <w:r>
        <w:rPr>
          <w:rFonts w:cs="Segoe UI"/>
          <w:b/>
          <w:color w:val="000000"/>
        </w:rPr>
        <w:t xml:space="preserve"> </w:t>
      </w:r>
      <w:r w:rsidRPr="00BB1E9A">
        <w:rPr>
          <w:rFonts w:cs="Segoe UI"/>
          <w:b/>
          <w:color w:val="000000"/>
        </w:rPr>
        <w:t>reviews</w:t>
      </w:r>
      <w:r w:rsidRPr="00BB1E9A">
        <w:rPr>
          <w:rFonts w:cs="Segoe UI"/>
          <w:color w:val="000000"/>
        </w:rPr>
        <w:t>, version control, approval tracking, and end-to-end traceability from business change to approved document update. A</w:t>
      </w:r>
      <w:r>
        <w:rPr>
          <w:rFonts w:cs="Segoe UI"/>
          <w:color w:val="000000"/>
        </w:rPr>
        <w:t>nother</w:t>
      </w:r>
      <w:r w:rsidRPr="00BB1E9A">
        <w:rPr>
          <w:rFonts w:cs="Segoe UI"/>
          <w:color w:val="000000"/>
        </w:rPr>
        <w:t xml:space="preserve"> challenge is ensuring that quality assurance drives measurable improvement rather than simply cataloging defects. </w:t>
      </w:r>
      <w:r>
        <w:rPr>
          <w:rFonts w:cs="Segoe UI"/>
          <w:color w:val="000000"/>
        </w:rPr>
        <w:t>We</w:t>
      </w:r>
      <w:r w:rsidRPr="00BB1E9A">
        <w:rPr>
          <w:rFonts w:cs="Segoe UI"/>
          <w:color w:val="000000"/>
        </w:rPr>
        <w:t xml:space="preserve"> will address this by integrating QA reviews with root cause analysis, mitigation monitoring, and </w:t>
      </w:r>
      <w:r>
        <w:rPr>
          <w:rFonts w:cs="Segoe UI"/>
          <w:color w:val="000000"/>
        </w:rPr>
        <w:t>user feedback</w:t>
      </w:r>
      <w:r w:rsidRPr="00BB1E9A">
        <w:rPr>
          <w:rFonts w:cs="Segoe UI"/>
          <w:color w:val="000000"/>
        </w:rPr>
        <w:t xml:space="preserve"> so that findings reduce recurrence and strengthen operational performance over time.</w:t>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 xml:space="preserve">Task 9 </w:t>
      </w:r>
      <w:r>
        <w:rPr>
          <w:rFonts w:cs="Segoe UI"/>
          <w:color w:val="000000"/>
        </w:rPr>
        <w:t>activities include</w:t>
      </w:r>
      <w:r w:rsidRPr="00BB1E9A">
        <w:rPr>
          <w:rFonts w:cs="Segoe UI"/>
          <w:color w:val="000000"/>
        </w:rPr>
        <w:t xml:space="preserve"> meaningful, reliable, and practical </w:t>
      </w:r>
      <w:r>
        <w:rPr>
          <w:rFonts w:cs="Segoe UI"/>
          <w:color w:val="000000"/>
        </w:rPr>
        <w:t>KPIs</w:t>
      </w:r>
      <w:r w:rsidRPr="00BB1E9A">
        <w:rPr>
          <w:rFonts w:cs="Segoe UI"/>
          <w:color w:val="000000"/>
        </w:rPr>
        <w:t xml:space="preserve"> </w:t>
      </w:r>
      <w:r>
        <w:rPr>
          <w:rFonts w:cs="Segoe UI"/>
          <w:color w:val="000000"/>
        </w:rPr>
        <w:t>and OKRs</w:t>
      </w:r>
      <w:r w:rsidRPr="00BB1E9A">
        <w:rPr>
          <w:rFonts w:cs="Segoe UI"/>
          <w:color w:val="000000"/>
        </w:rPr>
        <w:t xml:space="preserve">. </w:t>
      </w:r>
      <w:r>
        <w:rPr>
          <w:rFonts w:cs="Segoe UI"/>
          <w:color w:val="000000"/>
        </w:rPr>
        <w:t xml:space="preserve">Too many </w:t>
      </w:r>
      <w:r w:rsidRPr="00BB1E9A">
        <w:rPr>
          <w:rFonts w:cs="Segoe UI"/>
          <w:color w:val="000000"/>
        </w:rPr>
        <w:t>measures can increase reporting burden without improving oversight</w:t>
      </w:r>
      <w:r>
        <w:rPr>
          <w:rFonts w:cs="Segoe UI"/>
          <w:color w:val="000000"/>
        </w:rPr>
        <w:t xml:space="preserve"> or insight</w:t>
      </w:r>
      <w:r w:rsidRPr="00BB1E9A">
        <w:rPr>
          <w:rFonts w:cs="Segoe UI"/>
          <w:color w:val="000000"/>
        </w:rPr>
        <w:t xml:space="preserve">. </w:t>
      </w:r>
      <w:r>
        <w:rPr>
          <w:rFonts w:cs="Segoe UI"/>
          <w:color w:val="000000"/>
        </w:rPr>
        <w:t xml:space="preserve">Team </w:t>
      </w:r>
      <w:r w:rsidRPr="00BB1E9A">
        <w:rPr>
          <w:rFonts w:cs="Segoe UI"/>
          <w:color w:val="000000"/>
        </w:rPr>
        <w:t xml:space="preserve">Deloitte will mitigate these </w:t>
      </w:r>
      <w:r>
        <w:rPr>
          <w:rFonts w:cs="Segoe UI"/>
          <w:color w:val="000000"/>
        </w:rPr>
        <w:t>challenges</w:t>
      </w:r>
      <w:r w:rsidRPr="00BB1E9A">
        <w:rPr>
          <w:rFonts w:cs="Segoe UI"/>
          <w:color w:val="000000"/>
        </w:rPr>
        <w:t xml:space="preserve"> by developing metrics</w:t>
      </w:r>
      <w:r>
        <w:rPr>
          <w:rFonts w:cs="Segoe UI"/>
          <w:color w:val="000000"/>
        </w:rPr>
        <w:t xml:space="preserve"> using a ranking method to clarify the order of importance for all measures</w:t>
      </w:r>
      <w:r w:rsidRPr="00BB1E9A">
        <w:rPr>
          <w:rFonts w:cs="Segoe UI"/>
          <w:color w:val="000000"/>
        </w:rPr>
        <w:t xml:space="preserve">. </w:t>
      </w:r>
    </w:p>
    <w:p w14:paraId="20FB22C3" w14:textId="2B9055C9" w:rsidR="003414BC" w:rsidRPr="003414BC" w:rsidRDefault="09770625" w:rsidP="003414BC">
      <w:pPr>
        <w:pStyle w:val="BodyText"/>
      </w:pPr>
      <w:r>
        <w:t xml:space="preserve">[Proof Points: </w:t>
      </w:r>
      <w:r w:rsidRPr="67059926">
        <w:rPr>
          <w:i/>
          <w:iCs/>
        </w:rPr>
        <w:t>List out projects where we’ve done similar work or where the details of our approach have been proven</w:t>
      </w:r>
      <w:r>
        <w:t>]</w:t>
      </w:r>
    </w:p>
    <w:p w14:paraId="3BEBBA83" w14:textId="50F0B52C" w:rsidR="003414BC" w:rsidRPr="003414BC" w:rsidRDefault="00EF248C" w:rsidP="003414BC">
      <w:pPr>
        <w:pStyle w:val="BodyText"/>
      </w:pPr>
      <w:r>
        <w:t xml:space="preserve">- </w:t>
      </w:r>
      <w:r w:rsidRPr="003B5583">
        <w:rPr>
          <w:color w:val="C00000"/>
        </w:rPr>
        <w:t xml:space="preserve">Proof Points in progress </w:t>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BodyText"/>
        <w:rPr>
          <w:u w:val="single"/>
        </w:rPr>
      </w:pPr>
      <w:r w:rsidRPr="005E1602">
        <w:rPr>
          <w:u w:val="single"/>
        </w:rPr>
        <w:t>[Our Understanding]</w:t>
      </w:r>
    </w:p>
    <w:p w14:paraId="7889113D" w14:textId="73DBBA04" w:rsidR="00795CAA" w:rsidRPr="00795CAA" w:rsidRDefault="00795CAA" w:rsidP="00750184">
      <w:pPr>
        <w:pStyle w:val="Bulletlevel1"/>
      </w:pPr>
      <w:r w:rsidRPr="00795CAA">
        <w:t xml:space="preserve">Task 10 is CMS’s </w:t>
      </w:r>
      <w:r w:rsidRPr="002B6DD1">
        <w:t>flexible support lane</w:t>
      </w:r>
      <w:r w:rsidRPr="00795CAA">
        <w:t xml:space="preserve"> for </w:t>
      </w:r>
      <w:r w:rsidR="002B6DD1" w:rsidRPr="002B6DD1">
        <w:t xml:space="preserve">targeted operational needs, </w:t>
      </w:r>
      <w:r w:rsidRPr="00795CAA">
        <w:t xml:space="preserve">special projects, short-turn analyses, </w:t>
      </w:r>
      <w:r w:rsidR="002B6DD1" w:rsidRPr="002B6DD1">
        <w:t xml:space="preserve">ad hoc </w:t>
      </w:r>
      <w:r w:rsidRPr="00795CAA">
        <w:t>training</w:t>
      </w:r>
      <w:r w:rsidR="002B6DD1" w:rsidRPr="002B6DD1">
        <w:t xml:space="preserve"> and workshops, annual FFE</w:t>
      </w:r>
      <w:r w:rsidRPr="00795CAA">
        <w:t xml:space="preserve"> Enrollment Manual support</w:t>
      </w:r>
      <w:r w:rsidR="007F0B04">
        <w:t xml:space="preserve">, </w:t>
      </w:r>
      <w:r w:rsidR="0095190C">
        <w:t>Death PDM consumer response operations, and the Employer Notice Helpdesk</w:t>
      </w:r>
      <w:r w:rsidR="00256190">
        <w:t xml:space="preserve">. </w:t>
      </w:r>
      <w:r w:rsidR="002B6DD1" w:rsidRPr="002B6DD1">
        <w:t>It gives CMS a way to direct new work without creating a separate delivery structure, while keeping work aligned to existing stakeholder communications, tracking, reporting, and handoffs across the ER&amp;R ecosystem</w:t>
      </w:r>
      <w:r>
        <w:t>.</w:t>
      </w:r>
    </w:p>
    <w:p w14:paraId="685CC6EA" w14:textId="21750211" w:rsidR="00795CAA" w:rsidRPr="00795CAA" w:rsidRDefault="003D5F85" w:rsidP="00750184">
      <w:pPr>
        <w:pStyle w:val="Bulletlevel1"/>
      </w:pPr>
      <w:r>
        <w:t>This effort will be</w:t>
      </w:r>
      <w:r w:rsidR="00A20E75" w:rsidRPr="00A20E75">
        <w:t xml:space="preserve"> most effective when it is treated as a controlled extension of the core stakeholder-support model rather than a collection of disconnected activities. Some work is project-based, such as short studies, data analyses, workshops, and annual manual updates. Other work is operational, including Death PDM response support and the Employer Notice Helpdesk. In both cases, CMS needs rapid activation, clear ownership, approved scripts and materials where applicable, traceable issue handling, dependable reporting, and coordination across CMS, federal and state partners, and related contractors</w:t>
      </w:r>
      <w:r w:rsidR="00795CAA" w:rsidRPr="00795CAA">
        <w:t xml:space="preserve">. </w:t>
      </w:r>
    </w:p>
    <w:p w14:paraId="2FF406FD" w14:textId="473C2C04" w:rsidR="00087F21" w:rsidRPr="00795CAA" w:rsidRDefault="00087F21" w:rsidP="00750184">
      <w:pPr>
        <w:pStyle w:val="Bulletlevel1"/>
      </w:pPr>
      <w:r w:rsidRPr="00087F21">
        <w:t>Death PDM and Employer Notice support make that need concrete. For Death PDM, the contractor must support consumer response activity, track callers who are successfully matched to the list of notified deceased consumers, and provide a running list to the FFE by email on a weekly basis once the line is open. For the Employer Notice Helpdesk, the contractor must support a toll-free telephone line with TTY services, inbound calls and voicemails, outbound calls, transfers, CMS-approved scripts, organized issue triage and tracking, and weekly, monthly, and annual performance and issue reporting during Monday through Friday operations from 8 AM to 8 PM Eastern Time, excluding federal holidays</w:t>
      </w:r>
    </w:p>
    <w:p w14:paraId="2A95F3FF" w14:textId="33ED690C" w:rsidR="00CA4C3D" w:rsidRPr="00795CAA" w:rsidRDefault="00CA4C3D" w:rsidP="00750184">
      <w:pPr>
        <w:pStyle w:val="Bulletlevel1"/>
      </w:pPr>
      <w:r w:rsidRPr="00CA4C3D">
        <w:t>The annual FFE Enrollment Manual is another example of Task 10’s role. CMS needs subject matter support across preparation, edit and review, clearance, and education and publication, along with project planning, stakeholder engagement, meeting facilitation, iteration tracking, and approval support across the January to July cycle or as otherwise directed by CMS</w:t>
      </w:r>
    </w:p>
    <w:p w14:paraId="3045E715" w14:textId="7190D35E" w:rsidR="00795CAA" w:rsidRPr="003414BC" w:rsidRDefault="00702997" w:rsidP="00750184">
      <w:pPr>
        <w:pStyle w:val="Bulletlevel1"/>
      </w:pPr>
      <w:r>
        <w:lastRenderedPageBreak/>
        <w:t>This effort is dependent upon</w:t>
      </w:r>
      <w:r w:rsidR="00795CAA" w:rsidRPr="00795CAA">
        <w:t xml:space="preserve"> the same coordination environment as the rest of ER&amp;R. The SOW calls for collaboration with CMS, federal and state agencies, and multiple contractors, including Data Services Hub, Eligibility Support, Federal Exchange, Marketplace System Integrator, Operations Analytics, Operations Support, and Stakeholder Engagement. </w:t>
      </w:r>
    </w:p>
    <w:p w14:paraId="09159350" w14:textId="53508E60" w:rsidR="004C1628" w:rsidRPr="003414BC" w:rsidRDefault="004C1628" w:rsidP="004C1628">
      <w:pPr>
        <w:pStyle w:val="BodyText"/>
      </w:pPr>
      <w:r w:rsidRPr="004C1628">
        <w:t>Taken together, Task 10 is best understood as CMS’s controlled activation lane for targeted support functions and special projects that need to launch quickly, connect cleanly to the broader ER&amp;R operating environment, and remain accurate, traceable, and manageable as direction evolves</w:t>
      </w:r>
      <w:r w:rsidR="00750184">
        <w:t>.</w:t>
      </w:r>
    </w:p>
    <w:p w14:paraId="689CD439" w14:textId="6D198DC8" w:rsidR="00750184" w:rsidRDefault="00750184" w:rsidP="00750184">
      <w:pPr>
        <w:pStyle w:val="FigureTitle"/>
      </w:pPr>
      <w:r>
        <w:t>Figure X.X-X. Provide Title.</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BodyText"/>
        <w:rPr>
          <w:u w:val="single"/>
        </w:rPr>
      </w:pPr>
      <w:r w:rsidRPr="005E1602">
        <w:rPr>
          <w:u w:val="single"/>
        </w:rPr>
        <w:t>[Our Approach]</w:t>
      </w:r>
    </w:p>
    <w:p w14:paraId="44FF59A4" w14:textId="5636226B" w:rsidR="00796F9F" w:rsidRPr="000324D6" w:rsidRDefault="004B1A93" w:rsidP="00750184">
      <w:pPr>
        <w:pStyle w:val="Subheading1"/>
        <w:rPr>
          <w:b w:val="0"/>
        </w:rPr>
      </w:pPr>
      <w:r>
        <w:lastRenderedPageBreak/>
        <w:t xml:space="preserve">Task </w:t>
      </w:r>
      <w:r w:rsidR="00BF0924">
        <w:rPr>
          <w:bCs/>
        </w:rPr>
        <w:t>10.1</w:t>
      </w:r>
      <w:r>
        <w:rPr>
          <w:bCs/>
        </w:rPr>
        <w:t xml:space="preserve"> </w:t>
      </w:r>
      <w:r w:rsidR="00796F9F" w:rsidRPr="000324D6">
        <w:rPr>
          <w:bCs/>
        </w:rPr>
        <w:t>— Short Studies, Special Projects, and Data Analyses</w:t>
      </w:r>
    </w:p>
    <w:p w14:paraId="5835CE6D" w14:textId="392A81C2" w:rsidR="00750184" w:rsidRPr="00750184" w:rsidRDefault="00750184" w:rsidP="00750184">
      <w:pPr>
        <w:pStyle w:val="FigureTitle"/>
      </w:pPr>
      <w:r>
        <w:t>Figure X.X-X. Provide Title.</w:t>
      </w:r>
    </w:p>
    <w:p w14:paraId="58EB0853" w14:textId="77C7930F" w:rsidR="000059FF" w:rsidRPr="000324D6" w:rsidRDefault="000059FF" w:rsidP="000059FF">
      <w:pPr>
        <w:pStyle w:val="BodyText"/>
        <w:jc w:val="center"/>
        <w:rPr>
          <w:b/>
          <w:bCs/>
        </w:rPr>
      </w:pPr>
      <w:r w:rsidRPr="000059FF">
        <w:rPr>
          <w:b/>
          <w:bCs/>
          <w:noProof/>
        </w:rPr>
        <w:drawing>
          <wp:inline distT="0" distB="0" distL="0" distR="0" wp14:anchorId="3E61992A" wp14:editId="398692EE">
            <wp:extent cx="5086350" cy="3778250"/>
            <wp:effectExtent l="0" t="0" r="0" b="0"/>
            <wp:docPr id="31389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6479" name=""/>
                    <pic:cNvPicPr/>
                  </pic:nvPicPr>
                  <pic:blipFill rotWithShape="1">
                    <a:blip r:embed="rId39"/>
                    <a:srcRect l="7265" t="8462" r="7158"/>
                    <a:stretch>
                      <a:fillRect/>
                    </a:stretch>
                  </pic:blipFill>
                  <pic:spPr bwMode="auto">
                    <a:xfrm>
                      <a:off x="0" y="0"/>
                      <a:ext cx="5086350" cy="3778250"/>
                    </a:xfrm>
                    <a:prstGeom prst="rect">
                      <a:avLst/>
                    </a:prstGeom>
                    <a:ln>
                      <a:noFill/>
                    </a:ln>
                    <a:extLst>
                      <a:ext uri="{53640926-AAD7-44D8-BBD7-CCE9431645EC}">
                        <a14:shadowObscured xmlns:a14="http://schemas.microsoft.com/office/drawing/2010/main"/>
                      </a:ext>
                    </a:extLst>
                  </pic:spPr>
                </pic:pic>
              </a:graphicData>
            </a:graphic>
          </wp:inline>
        </w:drawing>
      </w:r>
    </w:p>
    <w:p w14:paraId="1FCA40E3" w14:textId="77777777" w:rsidR="00796F9F" w:rsidRPr="00796F9F" w:rsidRDefault="00796F9F" w:rsidP="004E4D55">
      <w:pPr>
        <w:pStyle w:val="Bulletlevel1"/>
      </w:pPr>
      <w:r w:rsidRPr="00796F9F">
        <w:t>Activate a standardized Ad Hoc Request Intake and Scoping Protocol upon receipt of any COR-directed request, using a lightweight charter template that captures problem statement, data requirements, success criteria, deliverable format, and timeline — with a confirmation brief to the COR within two (2) business days to validate scope and assumptions before analysis begins, reducing rework caused by ambiguous requests.</w:t>
      </w:r>
    </w:p>
    <w:p w14:paraId="2D281145" w14:textId="77777777" w:rsidR="00796F9F" w:rsidRPr="00796F9F" w:rsidRDefault="00796F9F" w:rsidP="004E4D55">
      <w:pPr>
        <w:pStyle w:val="Bulletlevel1"/>
      </w:pPr>
      <w:r w:rsidRPr="00796F9F">
        <w:t>Maintain a pre-positioned analytical playbook for high-frequency study types — improper enrollment, failure-to-reconcile (FTR), SEP verification, data matching inconsistency (DMI) analysis, and duplicate enrollment — containing reusable methodologies, analytic logic, data dictionaries, QA checklists, and shell templates for briefs, memoranda, dashboards, and issue papers, so urgent requests stand up faster while methodological consistency and defensibility are preserved across studies.</w:t>
      </w:r>
    </w:p>
    <w:p w14:paraId="752B3E82" w14:textId="77777777" w:rsidR="00796F9F" w:rsidRPr="00796F9F" w:rsidRDefault="00796F9F" w:rsidP="004E4D55">
      <w:pPr>
        <w:pStyle w:val="Bulletlevel1"/>
      </w:pPr>
      <w:r w:rsidRPr="00796F9F">
        <w:t>Apply a tiered capacity model that distinguishes short-cycle analyses (quick-turn data pulls, trend snapshots) from complex policy-driven studies (regulatory impact assessments, multi-system reconciliation studies), giving CMS the right level of support for each request without paying for excess standing capacity.</w:t>
      </w:r>
    </w:p>
    <w:p w14:paraId="1709F525" w14:textId="77777777" w:rsidR="00796F9F" w:rsidRPr="00796F9F" w:rsidRDefault="00796F9F" w:rsidP="004E4D55">
      <w:pPr>
        <w:pStyle w:val="Bulletlevel1"/>
      </w:pPr>
      <w:r w:rsidRPr="00796F9F">
        <w:t>Execute Task 10 within the analytics environment established under Task 9, using CMS's existing Snowflake and Power BI tools to perform ad hoc analyses and to assess whether each one-time request should be converted into a repeatable monitoring product, dashboard, standard query, or self-service analytic — turning recurring questions into operational monitoring capability rather than one-off deliverables.</w:t>
      </w:r>
    </w:p>
    <w:p w14:paraId="740E3FEA" w14:textId="77777777" w:rsidR="00796F9F" w:rsidRPr="00796F9F" w:rsidRDefault="00796F9F" w:rsidP="004E4D55">
      <w:pPr>
        <w:pStyle w:val="Bulletlevel1"/>
      </w:pPr>
      <w:r w:rsidRPr="00796F9F">
        <w:t xml:space="preserve">Leverage cross-task data already governed under the contract — including ER&amp;R dispute data, CERRS casework, 834/820 transaction files, and HICS flagging patterns from Tasks 1–9 — to reduce </w:t>
      </w:r>
      <w:r w:rsidRPr="00796F9F">
        <w:lastRenderedPageBreak/>
        <w:t>duplicative pulls, shorten time to insight, and improve consistency across reporting and special studies; structure ad hoc reports for reuse so findings can feed the weekly, monthly, and annual reporting under Task 9 wherever appropriate.</w:t>
      </w:r>
    </w:p>
    <w:p w14:paraId="61B6EC0B" w14:textId="77777777" w:rsidR="00796F9F" w:rsidRPr="00796F9F" w:rsidRDefault="00796F9F" w:rsidP="004E4D55">
      <w:pPr>
        <w:pStyle w:val="Bulletlevel1"/>
      </w:pPr>
      <w:r w:rsidRPr="00796F9F">
        <w:t>Proactively surface analytically grounded opportunities for program integrity and process optimization rather than waiting solely for COR-directed work — bringing forward targeted recommendations on emerging patterns such as duplicate enrollment risks, SEP abuse indicators, and issuer outliers, drawing on Deloitte's program integrity and payment/reconciliation analytics experience from comparable engagements.</w:t>
      </w:r>
    </w:p>
    <w:p w14:paraId="418A3B89" w14:textId="77777777" w:rsidR="00796F9F" w:rsidRPr="00796F9F" w:rsidRDefault="00796F9F" w:rsidP="004E4D55">
      <w:pPr>
        <w:pStyle w:val="Bulletlevel1"/>
      </w:pPr>
      <w:r w:rsidRPr="00796F9F">
        <w:t>Drive findings into operational improvement through a closed-loop process — when analyses reveal recurring control gaps, avoidable defects, or process bottlenecks, route insights to the appropriate process and QA leads (under Task 9) for root-cause assessment and corrective-action planning, converting one-shot studies into a continuous improvement loop with measurable process enhancement over time.</w:t>
      </w:r>
    </w:p>
    <w:p w14:paraId="6F1AD2EE" w14:textId="77777777" w:rsidR="00796F9F" w:rsidRPr="00796F9F" w:rsidRDefault="00796F9F" w:rsidP="004E4D55">
      <w:pPr>
        <w:pStyle w:val="Bulletlevel1"/>
      </w:pPr>
      <w:r w:rsidRPr="00796F9F">
        <w:t>Apply the 2025 Marketplace Integrity and Affordability Final Rule as the analytic lens for studies touching Marketplace integrity, enrollment verification, or affordability — framing findings around current regulatory requirements (improper enrollments, SEP verification, income validation) and accounting for subsequent legal stays affecting certain provisions, so CMS receives compliance-aware conclusions.</w:t>
      </w:r>
    </w:p>
    <w:p w14:paraId="731ADE55" w14:textId="77777777" w:rsidR="00796F9F" w:rsidRPr="00796F9F" w:rsidRDefault="00796F9F" w:rsidP="004E4D55">
      <w:pPr>
        <w:pStyle w:val="Bulletlevel1"/>
      </w:pPr>
      <w:r w:rsidRPr="00796F9F">
        <w:t>Maintain a rolling Special Projects Tracker accessible to the COR capturing each active and queued request, current status, assigned owner, data dependencies, deliverable type, risks, and target completion date — supporting prioritization, real-time visibility, and proactive escalation of at-risk items.</w:t>
      </w:r>
    </w:p>
    <w:p w14:paraId="68D0560B" w14:textId="77777777" w:rsidR="00796F9F" w:rsidRPr="00796F9F" w:rsidRDefault="00796F9F" w:rsidP="004E4D55">
      <w:pPr>
        <w:pStyle w:val="Bulletlevel1"/>
      </w:pPr>
      <w:r w:rsidRPr="00796F9F">
        <w:t>Document assumptions, source data constraints, and methodological limitations for every deliverable — particularly where FMPS, MIDAS, issuer files, or other inputs may present completeness or quality concerns — so findings are credible, reproducible, and resilient under reviewer scrutiny.</w:t>
      </w:r>
    </w:p>
    <w:p w14:paraId="3C73FF4E" w14:textId="152D5DAD" w:rsidR="003B1501" w:rsidRPr="000324D6" w:rsidRDefault="003B1501" w:rsidP="00563ECD">
      <w:pPr>
        <w:pStyle w:val="Subheading1"/>
        <w:rPr>
          <w:b w:val="0"/>
        </w:rPr>
      </w:pPr>
      <w:r>
        <w:t xml:space="preserve">Task 10.2 </w:t>
      </w:r>
      <w:r w:rsidRPr="000324D6">
        <w:rPr>
          <w:bCs/>
        </w:rPr>
        <w:t xml:space="preserve">— </w:t>
      </w:r>
      <w:r>
        <w:rPr>
          <w:bCs/>
        </w:rPr>
        <w:t xml:space="preserve">Ad Hoc </w:t>
      </w:r>
      <w:commentRangeStart w:id="79"/>
      <w:r>
        <w:rPr>
          <w:bCs/>
        </w:rPr>
        <w:t>Trainings</w:t>
      </w:r>
      <w:commentRangeEnd w:id="79"/>
      <w:r w:rsidR="00B53833" w:rsidRPr="000324D6">
        <w:rPr>
          <w:rStyle w:val="CommentReference"/>
          <w:b w:val="0"/>
          <w:sz w:val="24"/>
          <w:szCs w:val="22"/>
        </w:rPr>
        <w:commentReference w:id="79"/>
      </w:r>
    </w:p>
    <w:p w14:paraId="015834EF" w14:textId="6675A8AF" w:rsidR="00691F41" w:rsidRPr="00691F41" w:rsidRDefault="00691F41" w:rsidP="00691F41">
      <w:pPr>
        <w:pStyle w:val="BodyText"/>
      </w:pPr>
      <w:r w:rsidRPr="00563ECD">
        <w:rPr>
          <w:rStyle w:val="CharacterBold"/>
        </w:rPr>
        <w:t>Understanding:</w:t>
      </w:r>
      <w:r w:rsidRPr="00691F41">
        <w:t xml:space="preserve"> </w:t>
      </w:r>
      <w:r w:rsidR="005C7260">
        <w:t xml:space="preserve">As CMS modernizes </w:t>
      </w:r>
      <w:r w:rsidR="00B51BD3">
        <w:t>and enhances existing systems, human decision making and performance may depend on training topics yet to emerge.</w:t>
      </w:r>
      <w:r w:rsidR="005C7260">
        <w:t xml:space="preserve"> </w:t>
      </w:r>
      <w:r w:rsidR="0085689E">
        <w:t>Task 10.2 requires</w:t>
      </w:r>
      <w:r w:rsidR="00FD7E47">
        <w:t xml:space="preserve"> </w:t>
      </w:r>
      <w:r w:rsidR="0086385D">
        <w:t>efficient identification, development, and deployment of</w:t>
      </w:r>
      <w:r w:rsidR="0085689E">
        <w:t xml:space="preserve"> </w:t>
      </w:r>
      <w:r w:rsidR="00CE73FC">
        <w:t xml:space="preserve">training support that complements existing capability building throughout </w:t>
      </w:r>
      <w:r w:rsidR="00187BD5">
        <w:t xml:space="preserve">the CMS ER&amp;R </w:t>
      </w:r>
      <w:r w:rsidR="00930BF3">
        <w:t>modernization</w:t>
      </w:r>
      <w:r w:rsidR="00187BD5">
        <w:t xml:space="preserve"> program</w:t>
      </w:r>
      <w:r w:rsidR="00030ED8">
        <w:t xml:space="preserve"> and the Stakeholder Engagement contractor’s </w:t>
      </w:r>
      <w:r w:rsidR="00930BF3">
        <w:t>training program</w:t>
      </w:r>
      <w:r w:rsidR="00187BD5">
        <w:t xml:space="preserve">. </w:t>
      </w:r>
      <w:r w:rsidR="00654E9D">
        <w:t xml:space="preserve">This training may include </w:t>
      </w:r>
      <w:r w:rsidR="00DD609C">
        <w:t xml:space="preserve">advanced subject matter development or </w:t>
      </w:r>
      <w:r w:rsidR="00716E50">
        <w:t xml:space="preserve">surge training efforts to maximize the operationalization of </w:t>
      </w:r>
      <w:r w:rsidRPr="00691F41">
        <w:t>ER&amp;R, 1095-A, CCHC, and underlying CMS systems</w:t>
      </w:r>
      <w:r w:rsidR="00D668A0">
        <w:t>.</w:t>
      </w:r>
    </w:p>
    <w:p w14:paraId="52B7AC45" w14:textId="4783C9F7" w:rsidR="00602CDA" w:rsidRDefault="00602CDA" w:rsidP="00602CDA">
      <w:pPr>
        <w:pStyle w:val="FigureTitle"/>
      </w:pPr>
      <w:r>
        <w:lastRenderedPageBreak/>
        <w:t>Figure X.X-X. Provide Title.</w:t>
      </w:r>
    </w:p>
    <w:p w14:paraId="5A98D73F" w14:textId="236DC050" w:rsidR="00255A70" w:rsidRPr="00691F41" w:rsidRDefault="00602CDA" w:rsidP="00602CDA">
      <w:pPr>
        <w:pStyle w:val="FigureGraphic"/>
      </w:pPr>
      <w:r>
        <w:rPr>
          <w:noProof/>
        </w:rPr>
        <w:drawing>
          <wp:inline distT="0" distB="0" distL="0" distR="0" wp14:anchorId="57548BEF" wp14:editId="7F80B7E5">
            <wp:extent cx="5099050" cy="4504055"/>
            <wp:effectExtent l="0" t="0" r="6350" b="0"/>
            <wp:docPr id="1739038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a:extLst>
                        <a:ext uri="{28A0092B-C50C-407E-A947-70E740481C1C}">
                          <a14:useLocalDpi xmlns:a14="http://schemas.microsoft.com/office/drawing/2010/main" val="0"/>
                        </a:ext>
                      </a:extLst>
                    </a:blip>
                    <a:srcRect l="7264" t="6952" r="6955"/>
                    <a:stretch>
                      <a:fillRect/>
                    </a:stretch>
                  </pic:blipFill>
                  <pic:spPr bwMode="auto">
                    <a:xfrm>
                      <a:off x="0" y="0"/>
                      <a:ext cx="5099050" cy="4504055"/>
                    </a:xfrm>
                    <a:prstGeom prst="rect">
                      <a:avLst/>
                    </a:prstGeom>
                    <a:noFill/>
                    <a:ln>
                      <a:noFill/>
                    </a:ln>
                    <a:extLst>
                      <a:ext uri="{53640926-AAD7-44D8-BBD7-CCE9431645EC}">
                        <a14:shadowObscured xmlns:a14="http://schemas.microsoft.com/office/drawing/2010/main"/>
                      </a:ext>
                    </a:extLst>
                  </pic:spPr>
                </pic:pic>
              </a:graphicData>
            </a:graphic>
          </wp:inline>
        </w:drawing>
      </w:r>
    </w:p>
    <w:p w14:paraId="2FF36ED2" w14:textId="63BE4829" w:rsidR="000E077D" w:rsidRDefault="00691F41" w:rsidP="0036747B">
      <w:pPr>
        <w:pStyle w:val="Bulletlevel1"/>
      </w:pPr>
      <w:r w:rsidRPr="0036747B">
        <w:rPr>
          <w:rStyle w:val="CharacterBold"/>
        </w:rPr>
        <w:t>Apply a structured intake and curriculum design protocol</w:t>
      </w:r>
      <w:r w:rsidR="00957B30" w:rsidRPr="0036747B">
        <w:rPr>
          <w:rStyle w:val="CharacterBold"/>
        </w:rPr>
        <w:t>:</w:t>
      </w:r>
      <w:r w:rsidRPr="00691F41">
        <w:t xml:space="preserve"> </w:t>
      </w:r>
      <w:r w:rsidR="00957B30">
        <w:t>Establish a common design, governance, and delivery model</w:t>
      </w:r>
      <w:r w:rsidRPr="00691F41">
        <w:t xml:space="preserve"> triggered by COR direction </w:t>
      </w:r>
      <w:r w:rsidR="00B17714">
        <w:t>that</w:t>
      </w:r>
      <w:r w:rsidRPr="00691F41">
        <w:t xml:space="preserve"> confirm</w:t>
      </w:r>
      <w:r w:rsidR="00B17714">
        <w:t>s</w:t>
      </w:r>
      <w:r w:rsidRPr="00691F41">
        <w:t xml:space="preserve"> audience (issuers, SBEs, agents/brokers, assisters, CMS internal teams, or contractor partners), training objectives, regulatory or operational driver (e.g., Payment Notice change, Enrollment Manual revision, new system release), preferred format (webinar, workshop, office hours, </w:t>
      </w:r>
      <w:r w:rsidR="00E721B8">
        <w:t>web-based training</w:t>
      </w:r>
      <w:r w:rsidRPr="00691F41">
        <w:t>, in</w:t>
      </w:r>
      <w:r w:rsidR="00E721B8">
        <w:t>structor-led training</w:t>
      </w:r>
      <w:r w:rsidRPr="00691F41">
        <w:t xml:space="preserve">), and target delivery date so each engagement is scoped before development begins. </w:t>
      </w:r>
    </w:p>
    <w:p w14:paraId="5B770773" w14:textId="6E92ACC8" w:rsidR="00E83DC6" w:rsidRDefault="00691F41" w:rsidP="0036747B">
      <w:pPr>
        <w:pStyle w:val="Bulletlevel1"/>
      </w:pPr>
      <w:r w:rsidRPr="0036747B">
        <w:rPr>
          <w:rStyle w:val="CharacterBold"/>
        </w:rPr>
        <w:t>Develop training content using a modular, reusable architecture</w:t>
      </w:r>
      <w:r w:rsidRPr="00691F41">
        <w:t xml:space="preserve"> anchored to the FFE Enrollment Manual, current SOPs, and live CERRS/HICS/SEED/EDA CORE configurations so material is operationally accurate, can be updated quickly when regulations or systems change, and can be repurposed across delivery formats</w:t>
      </w:r>
      <w:r w:rsidR="000774B6">
        <w:t>.</w:t>
      </w:r>
    </w:p>
    <w:p w14:paraId="5856080F" w14:textId="27D413C0" w:rsidR="00D75759" w:rsidRDefault="00E124B0" w:rsidP="0036747B">
      <w:pPr>
        <w:pStyle w:val="Bulletlevel1"/>
      </w:pPr>
      <w:r w:rsidRPr="0036747B">
        <w:rPr>
          <w:rStyle w:val="CharacterBold"/>
        </w:rPr>
        <w:t>Human performance experts are paired with subject matter experts</w:t>
      </w:r>
      <w:r>
        <w:t xml:space="preserve"> to design training that matches format (e.g., microlearnings, realistic scenario-based workshops, reinforcement nudges, or performance-focused resources) to audience and topic using modern adult learning principles.</w:t>
      </w:r>
    </w:p>
    <w:p w14:paraId="745BF71D" w14:textId="146CA802" w:rsidR="004517C4" w:rsidRDefault="00E124B0" w:rsidP="0036747B">
      <w:pPr>
        <w:pStyle w:val="Bulletlevel1"/>
      </w:pPr>
      <w:r w:rsidRPr="0036747B">
        <w:rPr>
          <w:rStyle w:val="CharacterBold"/>
        </w:rPr>
        <w:t>Performance- and outcome-driven development methodology:</w:t>
      </w:r>
      <w:r>
        <w:t xml:space="preserve"> Design training backward from the desired business outcomes (e.g., speed to proficiency, policy adherence, quality, customer experience, reduced handle time, improved accuracy, and adoption of new tools) using role-based learning journeys. Use QA findings to drive identification of new training topics.</w:t>
      </w:r>
    </w:p>
    <w:p w14:paraId="32D1D7A6" w14:textId="3B8E9DD8" w:rsidR="00522843" w:rsidRDefault="00884E22" w:rsidP="0036747B">
      <w:pPr>
        <w:pStyle w:val="Bulletlevel1"/>
      </w:pPr>
      <w:r w:rsidRPr="0036747B">
        <w:rPr>
          <w:rStyle w:val="CharacterBold"/>
        </w:rPr>
        <w:t>508</w:t>
      </w:r>
      <w:r w:rsidR="00D268CE" w:rsidRPr="0036747B">
        <w:rPr>
          <w:rStyle w:val="CharacterBold"/>
        </w:rPr>
        <w:t xml:space="preserve"> and CMS compliance</w:t>
      </w:r>
      <w:r w:rsidRPr="0036747B">
        <w:rPr>
          <w:rStyle w:val="CharacterBold"/>
        </w:rPr>
        <w:t xml:space="preserve"> by design:</w:t>
      </w:r>
      <w:r>
        <w:t xml:space="preserve"> Embed accessibility and Section 508 requirements into content standards, authoring, testing, and delivery to ensure training is usable for all learners and suitable for </w:t>
      </w:r>
      <w:r>
        <w:lastRenderedPageBreak/>
        <w:t xml:space="preserve">regulated or public-sector environments. </w:t>
      </w:r>
      <w:r w:rsidR="00D268CE">
        <w:t>Partner with CMS</w:t>
      </w:r>
      <w:r w:rsidR="00691F41">
        <w:t xml:space="preserve"> training infrastructure</w:t>
      </w:r>
      <w:r w:rsidR="00691F41" w:rsidRPr="00691F41">
        <w:t xml:space="preserve"> </w:t>
      </w:r>
      <w:r w:rsidR="00521F57">
        <w:t>offices to host and deliver content based on target audience (</w:t>
      </w:r>
      <w:r w:rsidR="00691F41" w:rsidRPr="00691F41">
        <w:t xml:space="preserve">REGTAP for issuer/SBE/assister </w:t>
      </w:r>
      <w:r w:rsidR="004B520F">
        <w:t>content</w:t>
      </w:r>
      <w:r w:rsidR="00691F41" w:rsidRPr="00691F41">
        <w:t xml:space="preserve">, MLMS </w:t>
      </w:r>
      <w:r w:rsidR="004B520F">
        <w:t>for</w:t>
      </w:r>
      <w:r w:rsidR="00691F41" w:rsidRPr="00691F41">
        <w:t xml:space="preserve"> agent/broker audiences</w:t>
      </w:r>
      <w:r w:rsidR="00522843">
        <w:t>,</w:t>
      </w:r>
      <w:r w:rsidR="00691F41" w:rsidRPr="00691F41">
        <w:t xml:space="preserve"> CMS</w:t>
      </w:r>
      <w:r w:rsidR="00522843">
        <w:t xml:space="preserve"> learning management system for internal staff). </w:t>
      </w:r>
    </w:p>
    <w:p w14:paraId="0492CB43" w14:textId="77777777" w:rsidR="00BD0465" w:rsidRDefault="00691F41" w:rsidP="0036747B">
      <w:pPr>
        <w:pStyle w:val="Bulletlevel1"/>
      </w:pPr>
      <w:r w:rsidRPr="0036747B">
        <w:rPr>
          <w:rStyle w:val="CharacterBold"/>
        </w:rPr>
        <w:t>Coordinate with the Stakeholder Engagement contractor and adjacent contractors</w:t>
      </w:r>
      <w:r w:rsidRPr="00691F41">
        <w:t xml:space="preserve"> (Operations Analytics, FMPS, MSI, Eligibility Support, Federal Exchange Call Center) on any training that touches shared content or audiences</w:t>
      </w:r>
      <w:r w:rsidR="00BD0465">
        <w:t>,</w:t>
      </w:r>
      <w:r w:rsidRPr="00691F41">
        <w:t xml:space="preserve"> using a joint scoping checkpoint to prevent duplication, confirm message consistency, and align on logistics. </w:t>
      </w:r>
    </w:p>
    <w:p w14:paraId="31B35942" w14:textId="52172145" w:rsidR="0036747B" w:rsidRDefault="00396C18" w:rsidP="00602CDA">
      <w:pPr>
        <w:pStyle w:val="Bulletlevel1"/>
      </w:pPr>
      <w:r w:rsidRPr="0036747B">
        <w:rPr>
          <w:rStyle w:val="CharacterBold"/>
        </w:rPr>
        <w:t>Continuous measurement and improvement:</w:t>
      </w:r>
      <w:r>
        <w:t xml:space="preserve"> Track completion, proficiency, and operational performance using automated, data-based measurement aligned with the Kirkpatrick model of evaluation.</w:t>
      </w:r>
    </w:p>
    <w:p w14:paraId="09A8F23E" w14:textId="54863B9D" w:rsidR="0036747B" w:rsidRDefault="00602CDA" w:rsidP="00602CDA">
      <w:pPr>
        <w:pStyle w:val="TableTitle"/>
      </w:pPr>
      <w:r>
        <w:t>Table X.X-X. Provide Title.</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7CB3895C" w14:textId="41A85D5F" w:rsidR="001C7A30" w:rsidRPr="000324D6" w:rsidRDefault="001C7A30" w:rsidP="0036747B">
      <w:pPr>
        <w:pStyle w:val="Subheading1"/>
        <w:rPr>
          <w:b w:val="0"/>
        </w:rPr>
      </w:pPr>
      <w:r>
        <w:lastRenderedPageBreak/>
        <w:t xml:space="preserve">Task 10.3 </w:t>
      </w:r>
      <w:r w:rsidRPr="000324D6">
        <w:rPr>
          <w:bCs/>
        </w:rPr>
        <w:t xml:space="preserve">— </w:t>
      </w:r>
      <w:r w:rsidR="00AD655E">
        <w:rPr>
          <w:bCs/>
        </w:rPr>
        <w:t>A</w:t>
      </w:r>
      <w:r w:rsidR="00AD655E" w:rsidRPr="00AD655E">
        <w:rPr>
          <w:bCs/>
        </w:rPr>
        <w:t xml:space="preserve">nnual </w:t>
      </w:r>
      <w:r w:rsidR="00AD655E">
        <w:rPr>
          <w:bCs/>
        </w:rPr>
        <w:t>R</w:t>
      </w:r>
      <w:r w:rsidR="00AD655E" w:rsidRPr="00AD655E">
        <w:rPr>
          <w:bCs/>
        </w:rPr>
        <w:t>evision of the FFE Enrollment Manual</w:t>
      </w:r>
    </w:p>
    <w:p w14:paraId="6462CCB5" w14:textId="038719EF" w:rsidR="0036747B" w:rsidRDefault="0036747B" w:rsidP="0036747B">
      <w:pPr>
        <w:pStyle w:val="FigureTitle"/>
      </w:pPr>
      <w:r>
        <w:t>Figure X.X-X. Provide Title.</w:t>
      </w:r>
    </w:p>
    <w:p w14:paraId="35FA668B" w14:textId="326EB29E" w:rsidR="0036747B" w:rsidRPr="0036747B" w:rsidRDefault="0036747B" w:rsidP="0036747B">
      <w:pPr>
        <w:pStyle w:val="FigureGraphic"/>
      </w:pPr>
      <w:r>
        <w:rPr>
          <w:noProof/>
        </w:rPr>
        <w:drawing>
          <wp:inline distT="0" distB="0" distL="0" distR="0" wp14:anchorId="0CA53280" wp14:editId="2CC3C202">
            <wp:extent cx="5162550" cy="3270250"/>
            <wp:effectExtent l="0" t="0" r="0" b="6350"/>
            <wp:docPr id="54235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1">
                      <a:extLst>
                        <a:ext uri="{28A0092B-C50C-407E-A947-70E740481C1C}">
                          <a14:useLocalDpi xmlns:a14="http://schemas.microsoft.com/office/drawing/2010/main" val="0"/>
                        </a:ext>
                      </a:extLst>
                    </a:blip>
                    <a:srcRect l="6303" t="10867" r="6846" b="3026"/>
                    <a:stretch>
                      <a:fillRect/>
                    </a:stretch>
                  </pic:blipFill>
                  <pic:spPr bwMode="auto">
                    <a:xfrm>
                      <a:off x="0" y="0"/>
                      <a:ext cx="5162550" cy="3270250"/>
                    </a:xfrm>
                    <a:prstGeom prst="rect">
                      <a:avLst/>
                    </a:prstGeom>
                    <a:noFill/>
                    <a:ln>
                      <a:noFill/>
                    </a:ln>
                    <a:extLst>
                      <a:ext uri="{53640926-AAD7-44D8-BBD7-CCE9431645EC}">
                        <a14:shadowObscured xmlns:a14="http://schemas.microsoft.com/office/drawing/2010/main"/>
                      </a:ext>
                    </a:extLst>
                  </pic:spPr>
                </pic:pic>
              </a:graphicData>
            </a:graphic>
          </wp:inline>
        </w:drawing>
      </w:r>
    </w:p>
    <w:p w14:paraId="5D63E426" w14:textId="69ADBF65" w:rsidR="00A65DEF" w:rsidRPr="000324D6" w:rsidRDefault="00A65DEF" w:rsidP="0036747B">
      <w:pPr>
        <w:pStyle w:val="ParagraphSpacer"/>
      </w:pPr>
    </w:p>
    <w:p w14:paraId="110B5B1D" w14:textId="77777777" w:rsidR="004A346A" w:rsidRDefault="004A346A" w:rsidP="0036747B">
      <w:pPr>
        <w:pStyle w:val="Bulletlevel1"/>
      </w:pPr>
      <w:r w:rsidRPr="0036747B">
        <w:rPr>
          <w:rStyle w:val="CharacterBold"/>
        </w:rPr>
        <w:t>Stand up an integrated Manual project team in January</w:t>
      </w:r>
      <w:r w:rsidRPr="004A346A">
        <w:t xml:space="preserve"> pairing Deloitte program management with embedded enrollment, reconciliation, and program integrity SMEs drawn from Tasks 2, 3, 4, 8, and 9 — so the Manual is revised by practitioners who see how chapters on DMIs, SEPs, FTR, ER&amp;R, HICS, PDM, UEs, 1095-A corrections, appeals, and HRAs play out in live casework. </w:t>
      </w:r>
    </w:p>
    <w:p w14:paraId="5C79C6D5" w14:textId="77777777" w:rsidR="00AD36E5" w:rsidRDefault="004A346A" w:rsidP="0036747B">
      <w:pPr>
        <w:pStyle w:val="Bulletlevel1"/>
      </w:pPr>
      <w:r w:rsidRPr="0036747B">
        <w:rPr>
          <w:rStyle w:val="CharacterBold"/>
        </w:rPr>
        <w:t>Develop and maintain an Enrollment Manual Project Plan covering the four phases — Preparation, Edit/Review, Clearance, and Education/Publication — across the January–July timeline</w:t>
      </w:r>
      <w:r w:rsidRPr="004A346A">
        <w:t xml:space="preserve">, anchored to a master schedule with phase gates, owner assignments, version control, and explicit dependencies on regulatory inputs (the annual Payment Notice, Marketplace Stabilization Rule updates, the annual Letter to Issuers, and in-cycle CMS guidance) so CMS retains real-time visibility into status and slippage risk. </w:t>
      </w:r>
    </w:p>
    <w:p w14:paraId="4CCAB807" w14:textId="05EC7CBB" w:rsidR="00D3350C" w:rsidRDefault="004A346A" w:rsidP="0036747B">
      <w:pPr>
        <w:pStyle w:val="Bulletlevel1"/>
      </w:pPr>
      <w:r w:rsidRPr="0036747B">
        <w:rPr>
          <w:rStyle w:val="CharacterBold"/>
        </w:rPr>
        <w:t>Drive the Preparation Phase with a structured regulatory and operational change inventory</w:t>
      </w:r>
      <w:r w:rsidRPr="004A346A">
        <w:t xml:space="preserve">, scanning final rules, Payment Notices, sub-regulatory guidance, the annual Letter to Issuers, ER&amp;R lessons learned, HICS casework patterns, recurring DMI/SEP issues, and SBE/issuer feedback — translating each into a proposed redline scoped to the affected chapter(s) and exhibit(s) for CMS prioritization. </w:t>
      </w:r>
    </w:p>
    <w:p w14:paraId="6111B4EF" w14:textId="77777777" w:rsidR="00EF76F2" w:rsidRDefault="004A346A" w:rsidP="0036747B">
      <w:pPr>
        <w:pStyle w:val="Bulletlevel1"/>
      </w:pPr>
      <w:r w:rsidRPr="0036747B">
        <w:rPr>
          <w:rStyle w:val="CharacterBold"/>
        </w:rPr>
        <w:t>Use AI-assisted document analysis to accelerate the Edit/Review Phase</w:t>
      </w:r>
      <w:r w:rsidRPr="004A346A">
        <w:t xml:space="preserve"> by leveraging Deloitte's GenAI documentation tooling to run cross-reference checks, identify outdated citations, surface inconsistencies between chapters, and flag passages affected by superseded bulletins — while keeping editorial judgment with CMS SMEs and Deloitte content leads under a human-in-the-loop model. </w:t>
      </w:r>
    </w:p>
    <w:p w14:paraId="20FA8EA9" w14:textId="77777777" w:rsidR="00EF76F2" w:rsidRDefault="004A346A" w:rsidP="0036747B">
      <w:pPr>
        <w:pStyle w:val="Bulletlevel1"/>
      </w:pPr>
      <w:r w:rsidRPr="0036747B">
        <w:rPr>
          <w:rStyle w:val="CharacterBold"/>
        </w:rPr>
        <w:t>Manage CCIIO stakeholder engagement and meeting facilitation through a designated Deloitte Manual Lead</w:t>
      </w:r>
      <w:r w:rsidRPr="004A346A">
        <w:t xml:space="preserve"> who coordinates SME assignments, brokers cross-CCIIO decisions across Payment Policy &amp; Financial Management, Eligibility &amp; Enrollment, and the State Exchange Group, and runs the kick-off, weekly stand-ups, and SME working sessions using standardized agendas, decision logs, and </w:t>
      </w:r>
      <w:r w:rsidRPr="004A346A">
        <w:lastRenderedPageBreak/>
        <w:t xml:space="preserve">action trackers that record every disposition (accept / revise / defer / out-of-scope) with a documented rationale and clear owner. </w:t>
      </w:r>
    </w:p>
    <w:p w14:paraId="0AAB4638" w14:textId="77777777" w:rsidR="00A9200B" w:rsidRDefault="004A346A" w:rsidP="0036747B">
      <w:pPr>
        <w:pStyle w:val="Bulletlevel1"/>
      </w:pPr>
      <w:r w:rsidRPr="0036747B">
        <w:rPr>
          <w:rStyle w:val="CharacterBold"/>
        </w:rPr>
        <w:t>Apply rigorous version control and iteration tracking</w:t>
      </w:r>
      <w:r w:rsidRPr="004A346A">
        <w:t xml:space="preserve"> through a centralized, access-controlled working repository with redline-and-clean versioning, edit attribution, and an SME comment-resolution workflow — so no comment is lost between drafts and every change is traceable to a regulatory or operational source, consistent with the broader Program-Integrity-by-design approach. </w:t>
      </w:r>
    </w:p>
    <w:p w14:paraId="58ADED60" w14:textId="77777777" w:rsidR="00A9200B" w:rsidRDefault="004A346A" w:rsidP="0036747B">
      <w:pPr>
        <w:pStyle w:val="Bulletlevel1"/>
      </w:pPr>
      <w:r w:rsidRPr="0036747B">
        <w:rPr>
          <w:rStyle w:val="CharacterBold"/>
        </w:rPr>
        <w:t xml:space="preserve">Treat the Clearance Phase as a structured submission and adjudication process — </w:t>
      </w:r>
      <w:r w:rsidRPr="004A346A">
        <w:t xml:space="preserve">packaging clearance drafts with change summaries, source citations, and unresolved-issue logs for CCIIO leadership; managing comment cycles against committed turnaround windows; and escalating contested edits to the COR with options and recommendations rather than open questions. </w:t>
      </w:r>
    </w:p>
    <w:p w14:paraId="5C815ADB" w14:textId="77777777" w:rsidR="00A9200B" w:rsidRDefault="004A346A" w:rsidP="0036747B">
      <w:pPr>
        <w:pStyle w:val="Bulletlevel1"/>
      </w:pPr>
      <w:r w:rsidRPr="0036747B">
        <w:rPr>
          <w:rStyle w:val="CharacterBold"/>
        </w:rPr>
        <w:t>Coordinate the Education and Publication Phase as a clean handoff to the Stakeholder Engagement contractor —</w:t>
      </w:r>
      <w:r w:rsidRPr="004A346A">
        <w:t xml:space="preserve"> providing the final approved Manual with a substantive change summary, quick-reference change matrices for issuers and SBEs, and SME availability for downstream training development — so the Manual is operationalized for the issuer community, not just published.</w:t>
      </w:r>
    </w:p>
    <w:p w14:paraId="07BD2F18" w14:textId="77777777" w:rsidR="00A9200B" w:rsidRDefault="004A346A" w:rsidP="0036747B">
      <w:pPr>
        <w:pStyle w:val="Bulletlevel1"/>
      </w:pPr>
      <w:r w:rsidRPr="0036747B">
        <w:rPr>
          <w:rStyle w:val="CharacterBold"/>
        </w:rPr>
        <w:t>Maintain a Manual Change Log accessible to the COR</w:t>
      </w:r>
      <w:r w:rsidRPr="004A346A">
        <w:t xml:space="preserve"> capturing every proposed, accepted, deferred, and rejected change across all four phases, with cross-references to the originating regulation, guidance document, or operational issue — supporting the current cycle, forward-year planning, and any later inquiry into specific provisions. </w:t>
      </w:r>
    </w:p>
    <w:p w14:paraId="0415ED05" w14:textId="454AFC50" w:rsidR="005E1602" w:rsidRDefault="004A346A" w:rsidP="0036747B">
      <w:pPr>
        <w:pStyle w:val="Bulletlevel1"/>
      </w:pPr>
      <w:r w:rsidRPr="0036747B">
        <w:rPr>
          <w:rStyle w:val="CharacterBold"/>
        </w:rPr>
        <w:t>Carry Manual updates forward into ER&amp;R operations</w:t>
      </w:r>
      <w:r w:rsidRPr="004A346A">
        <w:t xml:space="preserve"> by refreshing SOPs, QA checklists, training materials, and CERRS/HICS configuration as needed under Task 9 — closing the loop so regulatory and policy changes captured in the Manual are reflected in how Deloitte processes disputes, casework, and reconciliation the moment the Manual takes effect.</w:t>
      </w:r>
    </w:p>
    <w:p w14:paraId="6EDBF6F0" w14:textId="5197F494" w:rsidR="003A1544" w:rsidRPr="000324D6" w:rsidRDefault="003A1544" w:rsidP="0036747B">
      <w:pPr>
        <w:pStyle w:val="Subheading1"/>
        <w:rPr>
          <w:b w:val="0"/>
        </w:rPr>
      </w:pPr>
      <w:r>
        <w:lastRenderedPageBreak/>
        <w:t xml:space="preserve">Task 10.4 </w:t>
      </w:r>
      <w:r w:rsidR="0036747B">
        <w:t>—</w:t>
      </w:r>
      <w:r w:rsidRPr="000324D6">
        <w:t xml:space="preserve"> </w:t>
      </w:r>
      <w:r w:rsidR="002F1DE3">
        <w:rPr>
          <w:bCs/>
        </w:rPr>
        <w:t xml:space="preserve">Death Periodic Data Matching </w:t>
      </w:r>
    </w:p>
    <w:p w14:paraId="270D544C" w14:textId="75284B48" w:rsidR="003B5B37" w:rsidRDefault="0036747B" w:rsidP="0036747B">
      <w:pPr>
        <w:pStyle w:val="FigureTitle"/>
      </w:pPr>
      <w:r>
        <w:t>Figure X.X-X. Provide Title.</w:t>
      </w:r>
    </w:p>
    <w:p w14:paraId="05AA974C" w14:textId="2002FC54" w:rsidR="0036747B" w:rsidRPr="0036747B" w:rsidRDefault="0036747B" w:rsidP="0036747B">
      <w:pPr>
        <w:pStyle w:val="FigureGraphic"/>
      </w:pPr>
      <w:r>
        <w:rPr>
          <w:noProof/>
        </w:rPr>
        <w:drawing>
          <wp:inline distT="0" distB="0" distL="0" distR="0" wp14:anchorId="439FCF4A" wp14:editId="184F3582">
            <wp:extent cx="5175250" cy="4362450"/>
            <wp:effectExtent l="0" t="0" r="0" b="0"/>
            <wp:docPr id="1041789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l="6837" t="7430" r="6100" b="1420"/>
                    <a:stretch>
                      <a:fillRect/>
                    </a:stretch>
                  </pic:blipFill>
                  <pic:spPr bwMode="auto">
                    <a:xfrm>
                      <a:off x="0" y="0"/>
                      <a:ext cx="5175250" cy="4362450"/>
                    </a:xfrm>
                    <a:prstGeom prst="rect">
                      <a:avLst/>
                    </a:prstGeom>
                    <a:noFill/>
                    <a:ln>
                      <a:noFill/>
                    </a:ln>
                    <a:extLst>
                      <a:ext uri="{53640926-AAD7-44D8-BBD7-CCE9431645EC}">
                        <a14:shadowObscured xmlns:a14="http://schemas.microsoft.com/office/drawing/2010/main"/>
                      </a:ext>
                    </a:extLst>
                  </pic:spPr>
                </pic:pic>
              </a:graphicData>
            </a:graphic>
          </wp:inline>
        </w:drawing>
      </w:r>
    </w:p>
    <w:p w14:paraId="724CAF47" w14:textId="201BB344" w:rsidR="00D24207" w:rsidRDefault="00A91CFE" w:rsidP="0036747B">
      <w:pPr>
        <w:pStyle w:val="BodyTextBulletIntro"/>
      </w:pPr>
      <w:r w:rsidRPr="00A91CFE">
        <w:t>Deloitte will operate Death PDM as a controlled, script-guided response lane aligned to the broader Task 7 support model. We will provide toll-free voicemail support with TTY capability, manage inbound consumer attestations, place outbound calls when appropriate, generate confirmation notices as attestations are received, and maintain accurate tracking of consumers successfully matched to the notified deceased-consumer list. We will provide CMS and the FFE with the required weekly running list through a repeatable reporting process that emphasizes timeliness, traceability, and data accuracy. This approach gives CMS a dependable mechanism to manage a sensitive, low-volume, high-consequence process with clear ownership, visible status, and consistent handling from intake through reporting.</w:t>
      </w:r>
    </w:p>
    <w:p w14:paraId="7DAF3281" w14:textId="77777777" w:rsidR="00845DAC" w:rsidRDefault="00845DAC" w:rsidP="0036747B">
      <w:pPr>
        <w:pStyle w:val="Bulletlevel1"/>
      </w:pPr>
      <w:r w:rsidRPr="0036747B">
        <w:rPr>
          <w:rStyle w:val="CharacterBold"/>
        </w:rPr>
        <w:t>Operate Death PDM as a campaign-based, surge-ready operation aligned to the twice-yearly cycle</w:t>
      </w:r>
      <w:r w:rsidRPr="00845DAC">
        <w:t xml:space="preserve">, scaling staffing and infrastructure up ahead of each notice mailing and back down between cycles — sized to ~5,000 initial warning notices per cycle and a &lt;1% attestation response rate, so CMS pays for capacity proportional to actual demand. </w:t>
      </w:r>
    </w:p>
    <w:p w14:paraId="437D115F" w14:textId="77777777" w:rsidR="00845DAC" w:rsidRDefault="00845DAC" w:rsidP="0036747B">
      <w:pPr>
        <w:pStyle w:val="Bulletlevel1"/>
      </w:pPr>
      <w:r w:rsidRPr="0036747B">
        <w:rPr>
          <w:rStyle w:val="CharacterBold"/>
        </w:rPr>
        <w:t>Stand up a dedicated toll-free Death PDM line with TTY and outbound callback support</w:t>
      </w:r>
      <w:r w:rsidRPr="00845DAC">
        <w:t xml:space="preserve">, routed through Deloitte's existing ER&amp;R contact center infrastructure under Task 7 — leveraging shared platform capabilities while keeping Death PDM handling logically separated to protect caller privacy and dignity. </w:t>
      </w:r>
    </w:p>
    <w:p w14:paraId="1D577FF9" w14:textId="77777777" w:rsidR="00845DAC" w:rsidRDefault="00845DAC" w:rsidP="0036747B">
      <w:pPr>
        <w:pStyle w:val="Bulletlevel1"/>
      </w:pPr>
      <w:r w:rsidRPr="0036747B">
        <w:rPr>
          <w:rStyle w:val="CharacterBold"/>
        </w:rPr>
        <w:t>Train a small, specialized response team in trauma-informed, empathetic call handling</w:t>
      </w:r>
      <w:r w:rsidRPr="00845DAC">
        <w:t xml:space="preserve">, recognizing callers are typically grieving family members or living individuals who received a wrongful </w:t>
      </w:r>
      <w:r w:rsidRPr="00845DAC">
        <w:lastRenderedPageBreak/>
        <w:t xml:space="preserve">death notice — emotionally charged scenarios where careful handling protects both the consumer and CMS from complaints. </w:t>
      </w:r>
    </w:p>
    <w:p w14:paraId="09403D40" w14:textId="4E4FD0F1" w:rsidR="00D157AE" w:rsidRDefault="00845DAC" w:rsidP="0036747B">
      <w:pPr>
        <w:pStyle w:val="Bulletlevel1"/>
      </w:pPr>
      <w:r w:rsidRPr="0036747B">
        <w:rPr>
          <w:rStyle w:val="CharacterBold"/>
        </w:rPr>
        <w:t>Apply a rigorous attestation verification protocol</w:t>
      </w:r>
      <w:r w:rsidRPr="00845DAC">
        <w:t xml:space="preserve"> for every call — capturing identity-verifying details, cross-referencing the CMS-provided list of notified deceased consumers, and flagging failed verifications </w:t>
      </w:r>
      <w:r w:rsidR="00FE0A7E">
        <w:t>for</w:t>
      </w:r>
      <w:r w:rsidRPr="00845DAC">
        <w:t xml:space="preserve"> adjudication rather than auto-accepting unverified claims — consistent with Deloitte's Program-Integrity-by-design approach. </w:t>
      </w:r>
    </w:p>
    <w:p w14:paraId="4C8988C6" w14:textId="77777777" w:rsidR="00A5094F" w:rsidRDefault="00845DAC" w:rsidP="0036747B">
      <w:pPr>
        <w:pStyle w:val="Bulletlevel1"/>
      </w:pPr>
      <w:r w:rsidRPr="0036747B">
        <w:rPr>
          <w:rStyle w:val="CharacterBold"/>
        </w:rPr>
        <w:t>Generate attestation receipt notices on a rolling basis</w:t>
      </w:r>
      <w:r w:rsidRPr="00845DAC">
        <w:t xml:space="preserve"> as verifications are confirmed, leveraging Task 6 notice generation, the existing Death PDM English and Spanish templates from Appendix B, and standard secure transfer to the Federal Marketplace Print contractor. </w:t>
      </w:r>
    </w:p>
    <w:p w14:paraId="776067D8" w14:textId="77777777" w:rsidR="00A5094F" w:rsidRDefault="00845DAC" w:rsidP="0036747B">
      <w:pPr>
        <w:pStyle w:val="Bulletlevel1"/>
      </w:pPr>
      <w:r w:rsidRPr="0036747B">
        <w:rPr>
          <w:rStyle w:val="CharacterBold"/>
        </w:rPr>
        <w:t>Maintain a single authoritative attestation log</w:t>
      </w:r>
      <w:r w:rsidRPr="00845DAC">
        <w:t xml:space="preserve"> capturing every call, attestation status (verified / unverified / unmatched), supporting evidence, receipt notice date, and final disposition — providing audit-ready traceability and a defensible record if a removal is later contested. </w:t>
      </w:r>
    </w:p>
    <w:p w14:paraId="7FB56D3D" w14:textId="77777777" w:rsidR="00A5094F" w:rsidRDefault="00845DAC" w:rsidP="0036747B">
      <w:pPr>
        <w:pStyle w:val="Bulletlevel1"/>
      </w:pPr>
      <w:r w:rsidRPr="0036747B">
        <w:rPr>
          <w:rStyle w:val="CharacterBold"/>
        </w:rPr>
        <w:t>Deliver the required weekly running list of successfully matched attestations to the FFE via secure email</w:t>
      </w:r>
      <w:r w:rsidRPr="00845DAC">
        <w:t xml:space="preserve">, in a COR-approved format, beginning the day the telephone line opens — so FFE operations can suppress automated removal without manual reconciliation. </w:t>
      </w:r>
    </w:p>
    <w:p w14:paraId="11BDF777" w14:textId="77777777" w:rsidR="00A5094F" w:rsidRDefault="00845DAC" w:rsidP="0036747B">
      <w:pPr>
        <w:pStyle w:val="Bulletlevel1"/>
      </w:pPr>
      <w:r w:rsidRPr="0036747B">
        <w:rPr>
          <w:rStyle w:val="CharacterBold"/>
        </w:rPr>
        <w:t>Coordinate attestation outcomes with the broader ER&amp;R termination process</w:t>
      </w:r>
      <w:r w:rsidRPr="00845DAC">
        <w:t xml:space="preserve"> documented in the FFE Enrollment Manual, so Death PDM results are reflected promptly in CERRS, HICS, and downstream FFE systems. </w:t>
      </w:r>
    </w:p>
    <w:p w14:paraId="5AB10877" w14:textId="77777777" w:rsidR="00A5094F" w:rsidRDefault="00845DAC" w:rsidP="0036747B">
      <w:pPr>
        <w:pStyle w:val="Bulletlevel1"/>
      </w:pPr>
      <w:r w:rsidRPr="0036747B">
        <w:rPr>
          <w:rStyle w:val="CharacterBold"/>
        </w:rPr>
        <w:t>Plan for the anticipated expansion to multi-member applications</w:t>
      </w:r>
      <w:r w:rsidRPr="00845DAC">
        <w:t xml:space="preserve"> by designing intake scripts, verification logic, and reporting formats to handle multiple subscribers per case from day one — so the operation is ready when CMS systems enable it, without rework. </w:t>
      </w:r>
    </w:p>
    <w:p w14:paraId="254E3C69" w14:textId="4698458D" w:rsidR="00845DAC" w:rsidRDefault="00845DAC" w:rsidP="0036747B">
      <w:pPr>
        <w:pStyle w:val="Bulletlevel1"/>
      </w:pPr>
      <w:r w:rsidRPr="0036747B">
        <w:rPr>
          <w:rStyle w:val="CharacterBold"/>
        </w:rPr>
        <w:t>Deliver post-cycle reporting to the COR</w:t>
      </w:r>
      <w:r w:rsidRPr="00845DAC">
        <w:t xml:space="preserve"> capturing call volume, attestation rates, verification outcomes, common caller concerns, and any patterns suggesting SSA data quality issues or notice-content improvements — turning each cycle into a feedback loop that strengthens the next.</w:t>
      </w:r>
    </w:p>
    <w:p w14:paraId="203BF964" w14:textId="77092641" w:rsidR="00F776AC" w:rsidRDefault="00D24207" w:rsidP="0036747B">
      <w:pPr>
        <w:pStyle w:val="Subheading1"/>
      </w:pPr>
      <w:r>
        <w:lastRenderedPageBreak/>
        <w:t>Task 10.</w:t>
      </w:r>
      <w:r w:rsidR="00DE4E87">
        <w:t>5</w:t>
      </w:r>
      <w:r>
        <w:t xml:space="preserve"> </w:t>
      </w:r>
      <w:r w:rsidR="0036747B">
        <w:t>—</w:t>
      </w:r>
      <w:r>
        <w:t xml:space="preserve"> </w:t>
      </w:r>
      <w:r w:rsidR="00A90C53">
        <w:t>Employer Notice Help</w:t>
      </w:r>
      <w:r w:rsidR="000B1DE7">
        <w:t>desk</w:t>
      </w:r>
      <w:r>
        <w:t xml:space="preserve"> </w:t>
      </w:r>
    </w:p>
    <w:p w14:paraId="3C8322C7" w14:textId="2CA677F8" w:rsidR="0036747B" w:rsidRDefault="0036747B" w:rsidP="0036747B">
      <w:pPr>
        <w:pStyle w:val="FigureTitle"/>
      </w:pPr>
      <w:r>
        <w:t>Figure X.X-X. Provide Title.</w:t>
      </w:r>
    </w:p>
    <w:p w14:paraId="5028591B" w14:textId="6E96F0F8" w:rsidR="0036747B" w:rsidRPr="0036747B" w:rsidRDefault="0036747B" w:rsidP="0036747B">
      <w:pPr>
        <w:pStyle w:val="FigureGraphic"/>
      </w:pPr>
      <w:r>
        <w:rPr>
          <w:noProof/>
        </w:rPr>
        <w:drawing>
          <wp:inline distT="0" distB="0" distL="0" distR="0" wp14:anchorId="1CC860A8" wp14:editId="590F5D85">
            <wp:extent cx="5124450" cy="4784090"/>
            <wp:effectExtent l="0" t="0" r="0" b="0"/>
            <wp:docPr id="1948427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a:extLst>
                        <a:ext uri="{28A0092B-C50C-407E-A947-70E740481C1C}">
                          <a14:useLocalDpi xmlns:a14="http://schemas.microsoft.com/office/drawing/2010/main" val="0"/>
                        </a:ext>
                      </a:extLst>
                    </a:blip>
                    <a:srcRect l="7265" t="6803" r="6527"/>
                    <a:stretch>
                      <a:fillRect/>
                    </a:stretch>
                  </pic:blipFill>
                  <pic:spPr bwMode="auto">
                    <a:xfrm>
                      <a:off x="0" y="0"/>
                      <a:ext cx="5124450" cy="4784090"/>
                    </a:xfrm>
                    <a:prstGeom prst="rect">
                      <a:avLst/>
                    </a:prstGeom>
                    <a:noFill/>
                    <a:ln>
                      <a:noFill/>
                    </a:ln>
                    <a:extLst>
                      <a:ext uri="{53640926-AAD7-44D8-BBD7-CCE9431645EC}">
                        <a14:shadowObscured xmlns:a14="http://schemas.microsoft.com/office/drawing/2010/main"/>
                      </a:ext>
                    </a:extLst>
                  </pic:spPr>
                </pic:pic>
              </a:graphicData>
            </a:graphic>
          </wp:inline>
        </w:drawing>
      </w:r>
    </w:p>
    <w:p w14:paraId="3039C29C" w14:textId="02A57311" w:rsidR="00D24207" w:rsidRDefault="007F4CAB" w:rsidP="005E1602">
      <w:pPr>
        <w:pStyle w:val="BodyText"/>
      </w:pPr>
      <w:r w:rsidRPr="007F4CAB">
        <w:t xml:space="preserve">Deloitte will operate the Employer Notice Helpdesk as a CMS-aligned, script-governed support function that combines responsive employer service with disciplined issue tracking and reporting. We will provide toll-free and TTY-enabled telephone support, handle inbound calls and voicemails, place outbound calls as needed, and transfer employers to related support functions, including appeals, when required. Deloitte will use a CMS-reviewed and approved script, maintain organized call and issue triage and tracking, and coordinate closely with CMS and partner teams when launch timing, notice language, script content, or operational messaging changes. We will support required operating hours and provide recurring performance and issue reports so CMS has visibility </w:t>
      </w:r>
      <w:r w:rsidR="00C82AC0" w:rsidRPr="007F4CAB">
        <w:t>in contacting</w:t>
      </w:r>
      <w:r w:rsidRPr="007F4CAB">
        <w:t xml:space="preserve"> drivers, recurring questions, and operational trends. This approach gives CMS a stable helpdesk capability that can absorb policy, notice, and messaging updates without disrupting employer support.</w:t>
      </w:r>
    </w:p>
    <w:p w14:paraId="775036C3" w14:textId="77777777" w:rsidR="008E11F1" w:rsidRDefault="00110489" w:rsidP="0036747B">
      <w:pPr>
        <w:pStyle w:val="Bulletlevel1"/>
      </w:pPr>
      <w:r w:rsidRPr="0036747B">
        <w:rPr>
          <w:rStyle w:val="CharacterBold"/>
        </w:rPr>
        <w:t>Stand up the Helpdesk on Deloitte's existing ER&amp;R contact center infrastructure under Task 7</w:t>
      </w:r>
      <w:r w:rsidRPr="00110489">
        <w:t xml:space="preserve">, meeting CMS's preference for an existing system solution while inheriting proven SLA management, secure call recording, and reporting — minimizing standup time and platform cost. </w:t>
      </w:r>
    </w:p>
    <w:p w14:paraId="052025A1" w14:textId="77777777" w:rsidR="008E11F1" w:rsidRDefault="00110489" w:rsidP="0036747B">
      <w:pPr>
        <w:pStyle w:val="Bulletlevel1"/>
      </w:pPr>
      <w:r w:rsidRPr="0036747B">
        <w:rPr>
          <w:rStyle w:val="CharacterBold"/>
        </w:rPr>
        <w:lastRenderedPageBreak/>
        <w:t>Deploy a dedicated toll-free line with TTY</w:t>
      </w:r>
      <w:r w:rsidRPr="00110489">
        <w:t xml:space="preserve"> supporting real-time inbound calls, voicemail, outbound callbacks, and warm transfers to the employer appeals call center, operating Monday–Friday 8 AM–8 PM EST excluding federal holidays. </w:t>
      </w:r>
    </w:p>
    <w:p w14:paraId="1AFF4D09" w14:textId="5FEF947B" w:rsidR="00C06897" w:rsidRDefault="00110489" w:rsidP="0036747B">
      <w:pPr>
        <w:pStyle w:val="Bulletlevel1"/>
      </w:pPr>
      <w:r w:rsidRPr="0036747B">
        <w:rPr>
          <w:rStyle w:val="CharacterBold"/>
        </w:rPr>
        <w:t>Develop a CMS-approved Call Center script</w:t>
      </w:r>
      <w:r w:rsidRPr="00110489">
        <w:t xml:space="preserve"> anchored to current Employer Notice content and the underlying policy framework (employer-coverage affordability, minimum value, ICHRA/QSEHRA, appeals pathways), with a structured update cycle triggered by notice changes, regulatory updates, or recurring caller patterns. </w:t>
      </w:r>
    </w:p>
    <w:p w14:paraId="02120CA8" w14:textId="77777777" w:rsidR="00C06897" w:rsidRDefault="00110489" w:rsidP="0036747B">
      <w:pPr>
        <w:pStyle w:val="Bulletlevel1"/>
      </w:pPr>
      <w:r w:rsidRPr="0036747B">
        <w:rPr>
          <w:rStyle w:val="CharacterBold"/>
        </w:rPr>
        <w:t>Apply an organized triage protocol</w:t>
      </w:r>
      <w:r w:rsidRPr="00110489">
        <w:t xml:space="preserve"> classifying every contact by inquiry type, routing appeals questions to OHI's employer appeals call center, escalating suspected notice or data issues to CMS, and resolving informational inquiries at first contact where possible. </w:t>
      </w:r>
    </w:p>
    <w:p w14:paraId="2495078B" w14:textId="77777777" w:rsidR="00C06897" w:rsidRDefault="00110489" w:rsidP="0036747B">
      <w:pPr>
        <w:pStyle w:val="Bulletlevel1"/>
      </w:pPr>
      <w:r w:rsidRPr="0036747B">
        <w:rPr>
          <w:rStyle w:val="CharacterBold"/>
        </w:rPr>
        <w:t>Maintain a single tracking system of record</w:t>
      </w:r>
      <w:r w:rsidRPr="00110489">
        <w:t xml:space="preserve"> capturing every call and voicemail with timestamp, employer identifiers, inquiry category, disposition, transfer/escalation path, and resolution notes — providing audit-ready traceability and the data foundation for required reporting. </w:t>
      </w:r>
    </w:p>
    <w:p w14:paraId="0449A8F3" w14:textId="77777777" w:rsidR="00C06897" w:rsidRDefault="00110489" w:rsidP="0036747B">
      <w:pPr>
        <w:pStyle w:val="Bulletlevel1"/>
      </w:pPr>
      <w:r w:rsidRPr="0036747B">
        <w:rPr>
          <w:rStyle w:val="CharacterBold"/>
        </w:rPr>
        <w:t>Establish a launch coordination workstream with CCIIO, OHI, and adjacent contractors</w:t>
      </w:r>
      <w:r w:rsidRPr="00110489">
        <w:t xml:space="preserve"> (Federal Exchange Call Center, Stakeholder Engagement, Eligibility Support) covering go-live timing, script approvals, transfer protocols, and joint change control for future notice or messaging updates. </w:t>
      </w:r>
    </w:p>
    <w:p w14:paraId="32241883" w14:textId="77777777" w:rsidR="00C06897" w:rsidRDefault="00110489" w:rsidP="0036747B">
      <w:pPr>
        <w:pStyle w:val="Bulletlevel1"/>
      </w:pPr>
      <w:r w:rsidRPr="0036747B">
        <w:rPr>
          <w:rStyle w:val="CharacterBold"/>
        </w:rPr>
        <w:t>Train Helpdesk agents on Employer Notice subject matter</w:t>
      </w:r>
      <w:r w:rsidRPr="00110489">
        <w:t xml:space="preserve"> using Deloitte's ER&amp;R and FFE Manual SMEs — so agents knowledgeably address why notices are issued, employer-coverage standards, employer options, and appeals routing, while staying within informational support rather than adjudication. </w:t>
      </w:r>
    </w:p>
    <w:p w14:paraId="53DD187B" w14:textId="77777777" w:rsidR="00C06897" w:rsidRDefault="00110489" w:rsidP="0036747B">
      <w:pPr>
        <w:pStyle w:val="Bulletlevel1"/>
      </w:pPr>
      <w:r w:rsidRPr="0036747B">
        <w:rPr>
          <w:rStyle w:val="CharacterBold"/>
        </w:rPr>
        <w:t>Deliver the required weekly, monthly, and annual reports</w:t>
      </w:r>
      <w:r w:rsidRPr="00110489">
        <w:t xml:space="preserve"> covering call volume, handle time, abandonment, voicemail response, transfer rates, top inquiry categories, escalations, and emerging trends — at the COR's chosen frequency, supplemented by ad hoc reporting on request. </w:t>
      </w:r>
    </w:p>
    <w:p w14:paraId="10FFE991" w14:textId="77777777" w:rsidR="00C06897" w:rsidRDefault="00110489" w:rsidP="0036747B">
      <w:pPr>
        <w:pStyle w:val="Bulletlevel1"/>
      </w:pPr>
      <w:r w:rsidRPr="0036747B">
        <w:rPr>
          <w:rStyle w:val="CharacterBold"/>
        </w:rPr>
        <w:t>Surface recurring caller themes to CMS as actionable feedback —</w:t>
      </w:r>
      <w:r w:rsidRPr="00110489">
        <w:t xml:space="preserve"> patterns suggesting notice clarity issues, employer confusion on specific provisions, or upstream data problems — so the Helpdesk informs notice and policy refinement, not just inbound resolution. </w:t>
      </w:r>
    </w:p>
    <w:p w14:paraId="01CB495E" w14:textId="2D9B9BC5" w:rsidR="00C06897" w:rsidRDefault="00110489" w:rsidP="0036747B">
      <w:pPr>
        <w:pStyle w:val="Bulletlevel1"/>
      </w:pPr>
      <w:r w:rsidRPr="0036747B">
        <w:rPr>
          <w:rStyle w:val="CharacterBold"/>
        </w:rPr>
        <w:t>Apply Program-Integrity-by-design controls</w:t>
      </w:r>
      <w:r w:rsidRPr="00110489">
        <w:t xml:space="preserve"> including caller verification, restricted disclosure of privacy-protected consumer information, and clear handoff protocols when callers raise potential fraud or unauthorized-enrollment concerns.</w:t>
      </w:r>
    </w:p>
    <w:p w14:paraId="6953CE01" w14:textId="70200EF9" w:rsidR="00E96C11" w:rsidRDefault="00E96C11" w:rsidP="0036747B">
      <w:pPr>
        <w:pStyle w:val="Bulletlevel1"/>
      </w:pPr>
      <w:r w:rsidRPr="0036747B">
        <w:rPr>
          <w:rStyle w:val="CharacterBold"/>
        </w:rPr>
        <w:t xml:space="preserve">Proof Point </w:t>
      </w:r>
      <w:r w:rsidR="00F747B6" w:rsidRPr="0036747B">
        <w:rPr>
          <w:rStyle w:val="CharacterBold"/>
        </w:rPr>
        <w:t>|</w:t>
      </w:r>
      <w:r w:rsidRPr="0036747B">
        <w:rPr>
          <w:rStyle w:val="CharacterBold"/>
        </w:rPr>
        <w:t xml:space="preserve"> Rapid activation of targeted support operations:</w:t>
      </w:r>
      <w:r w:rsidRPr="00C06897">
        <w:rPr>
          <w:b/>
          <w:bCs/>
        </w:rPr>
        <w:t xml:space="preserve"> </w:t>
      </w:r>
      <w:r w:rsidRPr="00701A0B">
        <w:t>Deloitte rapidly deployed a targeted federal contact center operation for CDC’s Vaccine Administration Management System (VAMS) in response to high support demand at rollout. Deloitte stood up an AWS Connect-based call center to support end users, jurisdictions, and clinics, backed by training, quality assurance, reporting, SLA monitoring, and knowledge</w:t>
      </w:r>
      <w:r w:rsidR="004B0FE9">
        <w:t xml:space="preserve"> </w:t>
      </w:r>
      <w:r w:rsidRPr="00701A0B">
        <w:t>management support. Deloitte</w:t>
      </w:r>
      <w:r w:rsidR="004B0FE9">
        <w:t xml:space="preserve"> can</w:t>
      </w:r>
      <w:r w:rsidRPr="00701A0B">
        <w:t xml:space="preserve"> activate focused support operations quickly and run them with the structure and reporting discipline needed for CMS</w:t>
      </w:r>
      <w:r w:rsidR="004B0FE9">
        <w:t xml:space="preserve"> </w:t>
      </w:r>
      <w:r w:rsidRPr="00701A0B">
        <w:t>Task 10 support lanes.</w:t>
      </w:r>
    </w:p>
    <w:p w14:paraId="3DE8572F" w14:textId="7B75D0A2" w:rsidR="00D148F4" w:rsidRPr="00D148F4" w:rsidRDefault="00D148F4" w:rsidP="0036747B">
      <w:pPr>
        <w:pStyle w:val="Subheading1"/>
        <w:rPr>
          <w:b w:val="0"/>
        </w:rPr>
      </w:pPr>
      <w:r w:rsidRPr="0036747B">
        <w:t xml:space="preserve">Task 10.6 </w:t>
      </w:r>
      <w:r w:rsidR="0036747B" w:rsidRPr="0036747B">
        <w:t>—</w:t>
      </w:r>
      <w:r w:rsidRPr="0036747B">
        <w:t xml:space="preserve"> Projects</w:t>
      </w:r>
      <w:r>
        <w:rPr>
          <w:bCs/>
        </w:rPr>
        <w:t xml:space="preserve"> Related to the Scope of the SOW Inclusive of all Tasks</w:t>
      </w:r>
    </w:p>
    <w:p w14:paraId="243FE180" w14:textId="77777777" w:rsidR="00570384" w:rsidRDefault="00570384" w:rsidP="0036747B">
      <w:pPr>
        <w:pStyle w:val="Bulletlevel1"/>
      </w:pPr>
      <w:r w:rsidRPr="0036747B">
        <w:rPr>
          <w:rStyle w:val="CharacterBold"/>
        </w:rPr>
        <w:t>Treat the catch-all clause as a structured intake channel, not unbounded scope —</w:t>
      </w:r>
      <w:r w:rsidRPr="00570384">
        <w:t xml:space="preserve"> applying the Ad Hoc Request Intake and Scoping Protocol from Task 10.1 to confirm problem statement, deliverable format, success criteria, and timeline with the COR before work begins, and rolling each request into the Special Projects Tracker for unified visibility across all Task 10 subsections. </w:t>
      </w:r>
    </w:p>
    <w:p w14:paraId="4DA8EFB8" w14:textId="77777777" w:rsidR="00570384" w:rsidRDefault="00570384" w:rsidP="0036747B">
      <w:pPr>
        <w:pStyle w:val="Bulletlevel1"/>
      </w:pPr>
      <w:r w:rsidRPr="0036747B">
        <w:rPr>
          <w:rStyle w:val="CharacterBold"/>
        </w:rPr>
        <w:t xml:space="preserve">Draw on a cross-task SME bench spanning Tasks 1–9 — </w:t>
      </w:r>
      <w:r w:rsidRPr="00570384">
        <w:t xml:space="preserve">issuer disputes, 1095-A reconciliation, CCHC casework, FFE updates, notice generation, telephony, IT systems, and SOPs/QA — and apply Deloitte's surge-support model to scale resources up for short-duration projects without disrupting steady-state operations, consistent with the surge approach used during peak 1095-A periods. </w:t>
      </w:r>
    </w:p>
    <w:p w14:paraId="3FEDDBD2" w14:textId="5F676777" w:rsidR="003414BC" w:rsidRPr="003414BC" w:rsidRDefault="00570384" w:rsidP="003414BC">
      <w:pPr>
        <w:pStyle w:val="Bulletlevel1"/>
      </w:pPr>
      <w:r w:rsidRPr="0036747B">
        <w:rPr>
          <w:rStyle w:val="CharacterBold"/>
        </w:rPr>
        <w:lastRenderedPageBreak/>
        <w:t xml:space="preserve">Apply Program-Integrity-by-design and audit-ready traceability to every catch-all engagement — </w:t>
      </w:r>
      <w:r w:rsidRPr="00570384">
        <w:t>documenting scope, assumptions, and outcomes against COR direction — and convert recurring requests into right-sized operational capabilities under Task 9 (dashboards, SOPs, task-level enhancements) so repeat work is institutionalized rather than re-executed.</w:t>
      </w:r>
    </w:p>
    <w:p w14:paraId="3DE40421" w14:textId="77777777" w:rsidR="0036747B" w:rsidRPr="003414BC" w:rsidRDefault="0036747B" w:rsidP="0036747B">
      <w:pPr>
        <w:pStyle w:val="BodyText"/>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14:paraId="39AD793C" w14:textId="21F17486" w:rsidR="00BE38A0" w:rsidRDefault="00B17E66">
            <w:pPr>
              <w:pStyle w:val="TableRowHeading"/>
            </w:pPr>
            <w:r w:rsidRPr="00682127">
              <w:t>Transition-In &amp; Knowledge Transfer</w:t>
            </w:r>
            <w:r w:rsidRPr="00682127" w:rsidDel="00F624DF">
              <w:t xml:space="preserve"> </w:t>
            </w:r>
          </w:p>
        </w:tc>
        <w:tc>
          <w:tcPr>
            <w:tcW w:w="1380" w:type="pct"/>
          </w:tcPr>
          <w:p w14:paraId="4F10C8D0" w14:textId="47100063" w:rsidR="00BE38A0" w:rsidRDefault="004C2AFC">
            <w:pPr>
              <w:pStyle w:val="TableBody"/>
              <w:cnfStyle w:val="000000000000" w:firstRow="0" w:lastRow="0" w:firstColumn="0" w:lastColumn="0" w:oddVBand="0" w:evenVBand="0" w:oddHBand="0" w:evenHBand="0" w:firstRowFirstColumn="0" w:firstRowLastColumn="0" w:lastRowFirstColumn="0" w:lastRowLastColumn="0"/>
            </w:pPr>
            <w:r w:rsidRPr="004C2AFC">
              <w:t>Incomplete or delayed transfer of institutional knowledge from the incumbent contractor — including undocumented business rules, system configurations, and SOPs — could degrade performance during the 3-month transition-in, cause SLA misses, and require increased CMS oversight to stabilize operations.</w:t>
            </w:r>
          </w:p>
        </w:tc>
        <w:tc>
          <w:tcPr>
            <w:tcW w:w="2644" w:type="pct"/>
          </w:tcPr>
          <w:p w14:paraId="09B39241" w14:textId="77777777" w:rsidR="00F97200" w:rsidRDefault="006A3DC3" w:rsidP="00EC785A">
            <w:pPr>
              <w:pStyle w:val="TableBody"/>
              <w:cnfStyle w:val="000000000000" w:firstRow="0" w:lastRow="0" w:firstColumn="0" w:lastColumn="0" w:oddVBand="0" w:evenVBand="0" w:oddHBand="0" w:evenHBand="0" w:firstRowFirstColumn="0" w:firstRowLastColumn="0" w:lastRowFirstColumn="0" w:lastRowLastColumn="0"/>
            </w:pPr>
            <w:r w:rsidRPr="00802C4A">
              <w:t>Execute</w:t>
            </w:r>
            <w:r w:rsidRPr="009D3190">
              <w:t xml:space="preserve"> a structured Transition-In Plan submitted within 8 business days of award, establishing a Joint Operating Agreement with the incumbent within 7 calendar days. </w:t>
            </w:r>
          </w:p>
          <w:p w14:paraId="333EF73E" w14:textId="088C4EB1" w:rsidR="006A3DC3" w:rsidRPr="00802C4A" w:rsidRDefault="006A3DC3" w:rsidP="00EC785A">
            <w:pPr>
              <w:pStyle w:val="TableBody"/>
              <w:spacing w:after="0"/>
              <w:cnfStyle w:val="000000000000" w:firstRow="0" w:lastRow="0" w:firstColumn="0" w:lastColumn="0" w:oddVBand="0" w:evenVBand="0" w:oddHBand="0" w:evenHBand="0" w:firstRowFirstColumn="0" w:firstRowLastColumn="0" w:lastRowFirstColumn="0" w:lastRowLastColumn="0"/>
            </w:pPr>
            <w:r w:rsidRPr="00802C4A">
              <w:t>We will:</w:t>
            </w:r>
          </w:p>
          <w:p w14:paraId="119FE309" w14:textId="77777777" w:rsidR="006A3DC3" w:rsidRPr="00802C4A" w:rsidRDefault="006A3DC3" w:rsidP="00EC785A">
            <w:pPr>
              <w:pStyle w:val="TableBullet1"/>
              <w:cnfStyle w:val="000000000000" w:firstRow="0" w:lastRow="0" w:firstColumn="0" w:lastColumn="0" w:oddVBand="0" w:evenVBand="0" w:oddHBand="0" w:evenHBand="0" w:firstRowFirstColumn="0" w:firstRowLastColumn="0" w:lastRowFirstColumn="0" w:lastRowLastColumn="0"/>
            </w:pPr>
            <w:r w:rsidRPr="00802C4A">
              <w:t>Shadow incumbent operations across all work streams for 60 days before assuming full responsibility</w:t>
            </w:r>
          </w:p>
          <w:p w14:paraId="3DD59E1F" w14:textId="77777777" w:rsidR="006A3DC3" w:rsidRPr="00802C4A" w:rsidRDefault="006A3DC3" w:rsidP="00EC785A">
            <w:pPr>
              <w:pStyle w:val="TableBullet1"/>
              <w:cnfStyle w:val="000000000000" w:firstRow="0" w:lastRow="0" w:firstColumn="0" w:lastColumn="0" w:oddVBand="0" w:evenVBand="0" w:oddHBand="0" w:evenHBand="0" w:firstRowFirstColumn="0" w:firstRowLastColumn="0" w:lastRowFirstColumn="0" w:lastRowLastColumn="0"/>
            </w:pPr>
            <w:r w:rsidRPr="00802C4A">
              <w:t>Deploy dedicated transition leads for ER&amp;R, 1095-A/CCHC, and IT to capture all undocumented processes</w:t>
            </w:r>
          </w:p>
          <w:p w14:paraId="471FDA89" w14:textId="77777777" w:rsidR="001936A5" w:rsidRDefault="006A3DC3" w:rsidP="00EC785A">
            <w:pPr>
              <w:pStyle w:val="TableBullet1"/>
              <w:cnfStyle w:val="000000000000" w:firstRow="0" w:lastRow="0" w:firstColumn="0" w:lastColumn="0" w:oddVBand="0" w:evenVBand="0" w:oddHBand="0" w:evenHBand="0" w:firstRowFirstColumn="0" w:firstRowLastColumn="0" w:lastRowFirstColumn="0" w:lastRowLastColumn="0"/>
            </w:pPr>
            <w:r w:rsidRPr="00802C4A">
              <w:t>Maintain a Knowledge Transfer Tracker reviewed weekly with the COR</w:t>
            </w:r>
          </w:p>
          <w:p w14:paraId="46C33D29" w14:textId="2C0F9A5B" w:rsidR="006A3DC3" w:rsidRPr="00B0491C" w:rsidRDefault="006A3DC3" w:rsidP="00EC785A">
            <w:pPr>
              <w:pStyle w:val="TableBody"/>
              <w:cnfStyle w:val="000000000000" w:firstRow="0" w:lastRow="0" w:firstColumn="0" w:lastColumn="0" w:oddVBand="0" w:evenVBand="0" w:oddHBand="0" w:evenHBand="0" w:firstRowFirstColumn="0" w:firstRowLastColumn="0" w:lastRowFirstColumn="0" w:lastRowLastColumn="0"/>
            </w:pPr>
            <w:r w:rsidRPr="00802C4A">
              <w:t>Begin CERRS, HICS, SEED, and EDA CORE access and training on Day 1 to eliminate system ramp-up delays</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14:paraId="44368557" w14:textId="7AF0164B" w:rsidR="00B17E66" w:rsidRPr="00682127" w:rsidRDefault="00B17E66">
            <w:pPr>
              <w:pStyle w:val="TableRowHeading"/>
            </w:pPr>
            <w:r w:rsidRPr="00F81988">
              <w:t>Seasonal Volume Surges &amp; Workforce Scalability</w:t>
            </w:r>
          </w:p>
        </w:tc>
        <w:tc>
          <w:tcPr>
            <w:tcW w:w="1380" w:type="pct"/>
          </w:tcPr>
          <w:p w14:paraId="7AA6241B" w14:textId="3CF98122" w:rsidR="00B17E66" w:rsidDel="00F624DF" w:rsidRDefault="00533B4C">
            <w:pPr>
              <w:pStyle w:val="TableBody"/>
              <w:cnfStyle w:val="000000000000" w:firstRow="0" w:lastRow="0" w:firstColumn="0" w:lastColumn="0" w:oddVBand="0" w:evenVBand="0" w:oddHBand="0" w:evenHBand="0" w:firstRowFirstColumn="0" w:firstRowLastColumn="0" w:lastRowFirstColumn="0" w:lastRowLastColumn="0"/>
            </w:pPr>
            <w:r w:rsidRPr="00533B4C">
              <w:t>Form 1095-A consumer dispute volumes triple during tax season (January–May), and ER&amp;R volumes peak for 120 days after Open Enrollment close. Failure to recruit, onboard, and train 100–120 temporary analysts on time — within CMS security requirements — could cause SLA breaches, case aging, and increased costs.</w:t>
            </w:r>
          </w:p>
        </w:tc>
        <w:tc>
          <w:tcPr>
            <w:tcW w:w="2644" w:type="pct"/>
          </w:tcPr>
          <w:p w14:paraId="145E2B46" w14:textId="77777777" w:rsidR="008E27C0" w:rsidRPr="007A7B7D" w:rsidRDefault="008411AE" w:rsidP="00EC785A">
            <w:pPr>
              <w:pStyle w:val="TableBullet1"/>
              <w:cnfStyle w:val="000000000000" w:firstRow="0" w:lastRow="0" w:firstColumn="0" w:lastColumn="0" w:oddVBand="0" w:evenVBand="0" w:oddHBand="0" w:evenHBand="0" w:firstRowFirstColumn="0" w:firstRowLastColumn="0" w:lastRowFirstColumn="0" w:lastRowLastColumn="0"/>
            </w:pPr>
            <w:r w:rsidRPr="007A7B7D">
              <w:t>Maintain a pre-qualified surge staffing pipeline refreshed annually before each tax season</w:t>
            </w:r>
          </w:p>
          <w:p w14:paraId="7B283986" w14:textId="77777777" w:rsidR="008E27C0" w:rsidRPr="007A7B7D" w:rsidRDefault="008411AE" w:rsidP="00EC785A">
            <w:pPr>
              <w:pStyle w:val="TableBullet1"/>
              <w:cnfStyle w:val="000000000000" w:firstRow="0" w:lastRow="0" w:firstColumn="0" w:lastColumn="0" w:oddVBand="0" w:evenVBand="0" w:oddHBand="0" w:evenHBand="0" w:firstRowFirstColumn="0" w:firstRowLastColumn="0" w:lastRowFirstColumn="0" w:lastRowLastColumn="0"/>
            </w:pPr>
            <w:r w:rsidRPr="007A7B7D">
              <w:t>Begin onboarding temporary analysts in November to ensure all CMS security training is completed before January case volume peaks</w:t>
            </w:r>
          </w:p>
          <w:p w14:paraId="375CCB19" w14:textId="5949B16B" w:rsidR="008411AE" w:rsidRPr="007A7B7D" w:rsidRDefault="008411AE" w:rsidP="00EC785A">
            <w:pPr>
              <w:pStyle w:val="TableBullet1"/>
              <w:cnfStyle w:val="000000000000" w:firstRow="0" w:lastRow="0" w:firstColumn="0" w:lastColumn="0" w:oddVBand="0" w:evenVBand="0" w:oddHBand="0" w:evenHBand="0" w:firstRowFirstColumn="0" w:firstRowLastColumn="0" w:lastRowFirstColumn="0" w:lastRowLastColumn="0"/>
            </w:pPr>
            <w:r w:rsidRPr="007A7B7D">
              <w:t>Partner with Subcontractor B (surge staffing) under a standing teaming agreement with guaranteed surge capacity commitments</w:t>
            </w:r>
          </w:p>
          <w:p w14:paraId="7DE854FF" w14:textId="36F3E724" w:rsidR="006030FC" w:rsidRDefault="008411AE" w:rsidP="00EC785A">
            <w:pPr>
              <w:pStyle w:val="TableBullet1"/>
              <w:cnfStyle w:val="000000000000" w:firstRow="0" w:lastRow="0" w:firstColumn="0" w:lastColumn="0" w:oddVBand="0" w:evenVBand="0" w:oddHBand="0" w:evenHBand="0" w:firstRowFirstColumn="0" w:firstRowLastColumn="0" w:lastRowFirstColumn="0" w:lastRowLastColumn="0"/>
            </w:pPr>
            <w:r w:rsidRPr="00802C4A">
              <w:t>Cross-train permanent staff to absorb early-season volume while temps complete credentialing</w:t>
            </w:r>
          </w:p>
          <w:p w14:paraId="2BBD0E1C" w14:textId="57629C5E" w:rsidR="00B17E66" w:rsidRPr="006030FC" w:rsidDel="00F624DF" w:rsidRDefault="008411AE" w:rsidP="00EC785A">
            <w:pPr>
              <w:pStyle w:val="TableBullet1"/>
              <w:cnfStyle w:val="000000000000" w:firstRow="0" w:lastRow="0" w:firstColumn="0" w:lastColumn="0" w:oddVBand="0" w:evenVBand="0" w:oddHBand="0" w:evenHBand="0" w:firstRowFirstColumn="0" w:firstRowLastColumn="0" w:lastRowFirstColumn="0" w:lastRowLastColumn="0"/>
            </w:pPr>
            <w:r w:rsidRPr="006030FC">
              <w:t>Monitor weekly case aging reports from December onward and trigger surge protocols at defined volume thresholds</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14:paraId="2CD1CC53" w14:textId="78E56C83" w:rsidR="00B17E66" w:rsidRPr="00F81988" w:rsidRDefault="00B17E66" w:rsidP="00DF16A5">
            <w:pPr>
              <w:pStyle w:val="TableRowHeading"/>
            </w:pPr>
            <w:r w:rsidRPr="003022E8">
              <w:t>IT System Outages &amp; Availability</w:t>
            </w:r>
          </w:p>
        </w:tc>
        <w:tc>
          <w:tcPr>
            <w:tcW w:w="1380" w:type="pct"/>
          </w:tcPr>
          <w:p w14:paraId="07984D45" w14:textId="25471258" w:rsidR="00B17E66" w:rsidDel="00F624DF" w:rsidRDefault="0005464F" w:rsidP="00DF16A5">
            <w:pPr>
              <w:pStyle w:val="TableBody"/>
              <w:cnfStyle w:val="000000000000" w:firstRow="0" w:lastRow="0" w:firstColumn="0" w:lastColumn="0" w:oddVBand="0" w:evenVBand="0" w:oddHBand="0" w:evenHBand="0" w:firstRowFirstColumn="0" w:firstRowLastColumn="0" w:lastRowFirstColumn="0" w:lastRowLastColumn="0"/>
            </w:pPr>
            <w:r w:rsidRPr="0005464F">
              <w:t>The ER&amp;R program relies on automated rules to resolve 99%+ of payment disputes and 100% of SBE disputes. A defective, outdated, or misconfigured rule could incorrectly resolve large volumes of disputes before detection — triggering mass corrections, payment adjustments, increased manual workload, and elevated CMS scrutiny.</w:t>
            </w:r>
          </w:p>
        </w:tc>
        <w:tc>
          <w:tcPr>
            <w:tcW w:w="2644" w:type="pct"/>
          </w:tcPr>
          <w:p w14:paraId="7849A706" w14:textId="3E24D20C" w:rsidR="006030FC" w:rsidRPr="00515A20" w:rsidRDefault="006030FC" w:rsidP="00EC785A">
            <w:pPr>
              <w:pStyle w:val="TableBullet1"/>
              <w:cnfStyle w:val="000000000000" w:firstRow="0" w:lastRow="0" w:firstColumn="0" w:lastColumn="0" w:oddVBand="0" w:evenVBand="0" w:oddHBand="0" w:evenHBand="0" w:firstRowFirstColumn="0" w:firstRowLastColumn="0" w:lastRowFirstColumn="0" w:lastRowLastColumn="0"/>
              <w:rPr>
                <w:szCs w:val="20"/>
              </w:rPr>
            </w:pPr>
            <w:r w:rsidRPr="00802C4A">
              <w:t>Implement a mandatory rule change approval process: every new or modified rule requires peer review, sandbox testing, and COR notification before deployment</w:t>
            </w:r>
          </w:p>
          <w:p w14:paraId="21BE59C1" w14:textId="0D2C8CB6" w:rsidR="006030FC" w:rsidRPr="00515A20" w:rsidRDefault="006030FC" w:rsidP="00EC785A">
            <w:pPr>
              <w:pStyle w:val="TableBullet1"/>
              <w:cnfStyle w:val="000000000000" w:firstRow="0" w:lastRow="0" w:firstColumn="0" w:lastColumn="0" w:oddVBand="0" w:evenVBand="0" w:oddHBand="0" w:evenHBand="0" w:firstRowFirstColumn="0" w:firstRowLastColumn="0" w:lastRowFirstColumn="0" w:lastRowLastColumn="0"/>
              <w:rPr>
                <w:szCs w:val="20"/>
              </w:rPr>
            </w:pPr>
            <w:r w:rsidRPr="00802C4A">
              <w:t>Run parallel processing of existing and new rules on a sample batch before full deployment</w:t>
            </w:r>
          </w:p>
          <w:p w14:paraId="1E8616E9" w14:textId="6A85B23C" w:rsidR="006030FC" w:rsidRPr="006030FC" w:rsidRDefault="006030FC" w:rsidP="00EC785A">
            <w:pPr>
              <w:pStyle w:val="TableBullet1"/>
              <w:cnfStyle w:val="000000000000" w:firstRow="0" w:lastRow="0" w:firstColumn="0" w:lastColumn="0" w:oddVBand="0" w:evenVBand="0" w:oddHBand="0" w:evenHBand="0" w:firstRowFirstColumn="0" w:firstRowLastColumn="0" w:lastRowFirstColumn="0" w:lastRowLastColumn="0"/>
            </w:pPr>
            <w:r w:rsidRPr="006030FC">
              <w:t>Configure automated anomaly detection alerts that flag statistical deviations in dispute resolution outcomes within 24 hours of a rule change going live</w:t>
            </w:r>
          </w:p>
          <w:p w14:paraId="7033BFC9" w14:textId="77777777" w:rsidR="006030FC" w:rsidRDefault="006030FC" w:rsidP="00EC785A">
            <w:pPr>
              <w:pStyle w:val="TableBullet1"/>
              <w:cnfStyle w:val="000000000000" w:firstRow="0" w:lastRow="0" w:firstColumn="0" w:lastColumn="0" w:oddVBand="0" w:evenVBand="0" w:oddHBand="0" w:evenHBand="0" w:firstRowFirstColumn="0" w:firstRowLastColumn="0" w:lastRowFirstColumn="0" w:lastRowLastColumn="0"/>
            </w:pPr>
            <w:r w:rsidRPr="00802C4A">
              <w:t>Maintain a rule rollback procedure that can revert any change within one business day</w:t>
            </w:r>
          </w:p>
          <w:p w14:paraId="628A78BC" w14:textId="36DA4FCA" w:rsidR="00B17E66" w:rsidRPr="006030FC" w:rsidDel="00F624DF" w:rsidRDefault="006030FC" w:rsidP="00EC785A">
            <w:pPr>
              <w:pStyle w:val="TableBullet1"/>
              <w:cnfStyle w:val="000000000000" w:firstRow="0" w:lastRow="0" w:firstColumn="0" w:lastColumn="0" w:oddVBand="0" w:evenVBand="0" w:oddHBand="0" w:evenHBand="0" w:firstRowFirstColumn="0" w:firstRowLastColumn="0" w:lastRowFirstColumn="0" w:lastRowLastColumn="0"/>
            </w:pPr>
            <w:r w:rsidRPr="006030FC">
              <w:t>Conduct quarterly rule audits to identify outdated logic as regulatory and issuer practices evolve</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14:paraId="44D7436D" w14:textId="2BCB978D" w:rsidR="00B17E66" w:rsidRPr="00357F0A" w:rsidRDefault="00B17E66" w:rsidP="00DF16A5">
            <w:pPr>
              <w:pStyle w:val="TableRowHeading"/>
            </w:pPr>
            <w:r w:rsidRPr="00EE6A64">
              <w:t>Regulatory &amp; Policy Changes Mid-Contract</w:t>
            </w:r>
          </w:p>
        </w:tc>
        <w:tc>
          <w:tcPr>
            <w:tcW w:w="1380" w:type="pct"/>
          </w:tcPr>
          <w:p w14:paraId="11428252" w14:textId="447ED00E" w:rsidR="00B17E66" w:rsidDel="00F624DF" w:rsidRDefault="00B66A81" w:rsidP="00DF16A5">
            <w:pPr>
              <w:pStyle w:val="TableBody"/>
              <w:cnfStyle w:val="000000000000" w:firstRow="0" w:lastRow="0" w:firstColumn="0" w:lastColumn="0" w:oddVBand="0" w:evenVBand="0" w:oddHBand="0" w:evenHBand="0" w:firstRowFirstColumn="0" w:firstRowLastColumn="0" w:lastRowFirstColumn="0" w:lastRowLastColumn="0"/>
            </w:pPr>
            <w:r w:rsidRPr="00B66A81">
              <w:t xml:space="preserve">ACA regulations, IRS guidance, CMS policy updates, or changes to Open Enrollment parameters can alter dispute processing rules, Form 1095-A content, SOP requirements, and system logic mid-contract — creating unplanned work, requiring rapid SOP and system updates, and </w:t>
            </w:r>
            <w:r w:rsidRPr="00B66A81">
              <w:lastRenderedPageBreak/>
              <w:t>potentially causing temporary SLA degradation.</w:t>
            </w:r>
          </w:p>
        </w:tc>
        <w:tc>
          <w:tcPr>
            <w:tcW w:w="2644" w:type="pct"/>
          </w:tcPr>
          <w:p w14:paraId="2A47CCEE" w14:textId="7B4B62DC" w:rsidR="00FF5EF2" w:rsidRPr="00FF5EF2" w:rsidRDefault="00FF5EF2" w:rsidP="00EC785A">
            <w:pPr>
              <w:pStyle w:val="TableBullet1"/>
              <w:cnfStyle w:val="000000000000" w:firstRow="0" w:lastRow="0" w:firstColumn="0" w:lastColumn="0" w:oddVBand="0" w:evenVBand="0" w:oddHBand="0" w:evenHBand="0" w:firstRowFirstColumn="0" w:firstRowLastColumn="0" w:lastRowFirstColumn="0" w:lastRowLastColumn="0"/>
            </w:pPr>
            <w:r w:rsidRPr="00FF5EF2">
              <w:lastRenderedPageBreak/>
              <w:t>Designate a Policy Watch function within the program management team to monitor Federal Register, CMS guidance releases, and REGTAP updates continuously</w:t>
            </w:r>
          </w:p>
          <w:p w14:paraId="1F8D887A" w14:textId="2A245302" w:rsidR="00FF5EF2" w:rsidRPr="00FF5EF2" w:rsidRDefault="00FF5EF2" w:rsidP="00EC785A">
            <w:pPr>
              <w:pStyle w:val="TableBullet1"/>
              <w:cnfStyle w:val="000000000000" w:firstRow="0" w:lastRow="0" w:firstColumn="0" w:lastColumn="0" w:oddVBand="0" w:evenVBand="0" w:oddHBand="0" w:evenHBand="0" w:firstRowFirstColumn="0" w:firstRowLastColumn="0" w:lastRowFirstColumn="0" w:lastRowLastColumn="0"/>
            </w:pPr>
            <w:r w:rsidRPr="00FF5EF2">
              <w:t>Maintain a 30-day SOP rapid-update process pre-approved by CMS for non-major changes</w:t>
            </w:r>
          </w:p>
          <w:p w14:paraId="13B964C6" w14:textId="66D862D1" w:rsidR="00FF5EF2" w:rsidRPr="00FF5EF2" w:rsidRDefault="00FF5EF2" w:rsidP="00EC785A">
            <w:pPr>
              <w:pStyle w:val="TableBullet1"/>
              <w:cnfStyle w:val="000000000000" w:firstRow="0" w:lastRow="0" w:firstColumn="0" w:lastColumn="0" w:oddVBand="0" w:evenVBand="0" w:oddHBand="0" w:evenHBand="0" w:firstRowFirstColumn="0" w:firstRowLastColumn="0" w:lastRowFirstColumn="0" w:lastRowLastColumn="0"/>
            </w:pPr>
            <w:r w:rsidRPr="00FF5EF2">
              <w:t>Use the Task 10 Ad Hoc budget and task structure to absorb and fund unplanned regulatory work within the contract vehicle</w:t>
            </w:r>
          </w:p>
          <w:p w14:paraId="4A5BB91A" w14:textId="594A3AD0" w:rsidR="00FF5EF2" w:rsidRPr="00FF5EF2" w:rsidRDefault="00FF5EF2" w:rsidP="00EC785A">
            <w:pPr>
              <w:pStyle w:val="TableBullet1"/>
              <w:cnfStyle w:val="000000000000" w:firstRow="0" w:lastRow="0" w:firstColumn="0" w:lastColumn="0" w:oddVBand="0" w:evenVBand="0" w:oddHBand="0" w:evenHBand="0" w:firstRowFirstColumn="0" w:firstRowLastColumn="0" w:lastRowFirstColumn="0" w:lastRowLastColumn="0"/>
            </w:pPr>
            <w:r w:rsidRPr="00FF5EF2">
              <w:t>Participate in all CMS issuer calls and SBE meetings to receive policy changes in advance of formal publication</w:t>
            </w:r>
          </w:p>
          <w:p w14:paraId="2E487798" w14:textId="0980874E" w:rsidR="00B17E66" w:rsidDel="00F624DF" w:rsidRDefault="00FF5EF2" w:rsidP="00EC785A">
            <w:pPr>
              <w:pStyle w:val="TableBullet1"/>
              <w:cnfStyle w:val="000000000000" w:firstRow="0" w:lastRow="0" w:firstColumn="0" w:lastColumn="0" w:oddVBand="0" w:evenVBand="0" w:oddHBand="0" w:evenHBand="0" w:firstRowFirstColumn="0" w:firstRowLastColumn="0" w:lastRowFirstColumn="0" w:lastRowLastColumn="0"/>
            </w:pPr>
            <w:r w:rsidRPr="00FF5EF2">
              <w:lastRenderedPageBreak/>
              <w:t>Maintain a change impact log that tracks all regulatory changes, their operational impact, and associated system or SOP update status</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583DCD4A" w14:textId="4477F017" w:rsidR="00277A49" w:rsidRPr="00EE6A64" w:rsidRDefault="001936A5" w:rsidP="00DF16A5">
            <w:pPr>
              <w:pStyle w:val="TableRowHeading"/>
            </w:pPr>
            <w:r w:rsidRPr="00EE6EE0">
              <w:lastRenderedPageBreak/>
              <w:t>Fraud, Unauthorized Enrollments &amp; Program Integrity</w:t>
            </w:r>
          </w:p>
        </w:tc>
        <w:tc>
          <w:tcPr>
            <w:tcW w:w="1380" w:type="pct"/>
          </w:tcPr>
          <w:p w14:paraId="55F96DC4" w14:textId="3E3F1A30" w:rsidR="00277A49" w:rsidRPr="00B66A81" w:rsidRDefault="006B432A" w:rsidP="00DF16A5">
            <w:pPr>
              <w:pStyle w:val="TableBody"/>
              <w:cnfStyle w:val="000000000000" w:firstRow="0" w:lastRow="0" w:firstColumn="0" w:lastColumn="0" w:oddVBand="0" w:evenVBand="0" w:oddHBand="0" w:evenHBand="0" w:firstRowFirstColumn="0" w:firstRowLastColumn="0" w:lastRowFirstColumn="0" w:lastRowLastColumn="0"/>
            </w:pPr>
            <w:r w:rsidRPr="006B432A">
              <w:t>Unauthorized plan switches (UPS), unauthorized enrollments (UE), and demographic data obfuscation patterns can create undetected overlapping coverage, incorrect payments, and program integrity vulnerabilities — requiring reactive corrections that increase workload and costs if not identified early.</w:t>
            </w:r>
          </w:p>
        </w:tc>
        <w:tc>
          <w:tcPr>
            <w:tcW w:w="2644" w:type="pct"/>
          </w:tcPr>
          <w:p w14:paraId="3B886B3F" w14:textId="77777777" w:rsidR="00E61586" w:rsidRPr="00E61586" w:rsidRDefault="00E61586" w:rsidP="00B85496">
            <w:pPr>
              <w:pStyle w:val="TableBullet1"/>
              <w:cnfStyle w:val="000000000000" w:firstRow="0" w:lastRow="0" w:firstColumn="0" w:lastColumn="0" w:oddVBand="0" w:evenVBand="0" w:oddHBand="0" w:evenHBand="0" w:firstRowFirstColumn="0" w:firstRowLastColumn="0" w:lastRowFirstColumn="0" w:lastRowLastColumn="0"/>
            </w:pPr>
            <w:r w:rsidRPr="00E61586">
              <w:t>Analyze all new Marketplace enrollments for data anomalies consistent with UPS and UE patterns on an ongoing basis</w:t>
            </w:r>
          </w:p>
          <w:p w14:paraId="7B8726F3" w14:textId="77777777" w:rsidR="00E61586" w:rsidRPr="00E61586" w:rsidRDefault="00E61586" w:rsidP="00B85496">
            <w:pPr>
              <w:pStyle w:val="TableBullet1"/>
              <w:cnfStyle w:val="000000000000" w:firstRow="0" w:lastRow="0" w:firstColumn="0" w:lastColumn="0" w:oddVBand="0" w:evenVBand="0" w:oddHBand="0" w:evenHBand="0" w:firstRowFirstColumn="0" w:firstRowLastColumn="0" w:lastRowFirstColumn="0" w:lastRowLastColumn="0"/>
            </w:pPr>
            <w:r w:rsidRPr="00E61586">
              <w:t>Implement rules-based detection models in coordination with CPI and OPOLE; update logic as new fraud patterns emerge</w:t>
            </w:r>
          </w:p>
          <w:p w14:paraId="0AEE3B08" w14:textId="77777777" w:rsidR="00E61586" w:rsidRPr="00E61586" w:rsidRDefault="00E61586" w:rsidP="00B85496">
            <w:pPr>
              <w:pStyle w:val="TableBullet1"/>
              <w:cnfStyle w:val="000000000000" w:firstRow="0" w:lastRow="0" w:firstColumn="0" w:lastColumn="0" w:oddVBand="0" w:evenVBand="0" w:oddHBand="0" w:evenHBand="0" w:firstRowFirstColumn="0" w:firstRowLastColumn="0" w:lastRowFirstColumn="0" w:lastRowLastColumn="0"/>
            </w:pPr>
            <w:r w:rsidRPr="00E61586">
              <w:t>Report confirmed UPS/UE cases to CPI within defined timelines and execute cancellations through the Update Policy API</w:t>
            </w:r>
          </w:p>
          <w:p w14:paraId="705B5408" w14:textId="77777777" w:rsidR="00E61586" w:rsidRPr="00E61586" w:rsidRDefault="00E61586" w:rsidP="00B85496">
            <w:pPr>
              <w:pStyle w:val="TableBullet1"/>
              <w:cnfStyle w:val="000000000000" w:firstRow="0" w:lastRow="0" w:firstColumn="0" w:lastColumn="0" w:oddVBand="0" w:evenVBand="0" w:oddHBand="0" w:evenHBand="0" w:firstRowFirstColumn="0" w:firstRowLastColumn="0" w:lastRowFirstColumn="0" w:lastRowLastColumn="0"/>
            </w:pPr>
            <w:r w:rsidRPr="00E61586">
              <w:t>Monitor data trends monthly and recommend detection logic enhancements in the Monthly Business Process Improvement Report</w:t>
            </w:r>
          </w:p>
          <w:p w14:paraId="5CF4E8E5" w14:textId="7AB3A499" w:rsidR="00277A49" w:rsidRPr="00277A49" w:rsidRDefault="00E61586" w:rsidP="00B85496">
            <w:pPr>
              <w:pStyle w:val="TableBullet1"/>
              <w:cnfStyle w:val="000000000000" w:firstRow="0" w:lastRow="0" w:firstColumn="0" w:lastColumn="0" w:oddVBand="0" w:evenVBand="0" w:oddHBand="0" w:evenHBand="0" w:firstRowFirstColumn="0" w:firstRowLastColumn="0" w:lastRowFirstColumn="0" w:lastRowLastColumn="0"/>
            </w:pPr>
            <w:r w:rsidRPr="00E61586">
              <w:t>Participate in CPI/OPOLE-driven initiatives as directed by the COR under Task 10</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258275E1" w14:textId="6D4B81AD" w:rsidR="001936A5" w:rsidRPr="00EE6EE0" w:rsidRDefault="001936A5" w:rsidP="00DF16A5">
            <w:pPr>
              <w:pStyle w:val="TableRowHeading"/>
            </w:pPr>
            <w:r w:rsidRPr="00357F0A">
              <w:t>Automated Business Rule Failures</w:t>
            </w:r>
          </w:p>
        </w:tc>
        <w:tc>
          <w:tcPr>
            <w:tcW w:w="1380" w:type="pct"/>
          </w:tcPr>
          <w:p w14:paraId="18F10E29" w14:textId="090FDA80" w:rsidR="001936A5" w:rsidRPr="00B66A81" w:rsidRDefault="00551B53" w:rsidP="00DF16A5">
            <w:pPr>
              <w:pStyle w:val="TableBody"/>
              <w:cnfStyle w:val="000000000000" w:firstRow="0" w:lastRow="0" w:firstColumn="0" w:lastColumn="0" w:oddVBand="0" w:evenVBand="0" w:oddHBand="0" w:evenHBand="0" w:firstRowFirstColumn="0" w:firstRowLastColumn="0" w:lastRowFirstColumn="0" w:lastRowLastColumn="0"/>
            </w:pPr>
            <w:r w:rsidRPr="00551B53">
              <w:t>The ER&amp;R program relies on automated rules to resolve 99%+ of payment disputes and 100% of SBE disputes. A defective, outdated, or misconfigured rule could incorrectly resolve large volumes of disputes before detection — triggering mass corrections, payment adjustments, increased manual workload, and elevated CMS scrutiny.</w:t>
            </w:r>
          </w:p>
        </w:tc>
        <w:tc>
          <w:tcPr>
            <w:tcW w:w="2644" w:type="pct"/>
          </w:tcPr>
          <w:p w14:paraId="55D51389" w14:textId="77777777" w:rsidR="009A4437" w:rsidRPr="009A4437" w:rsidRDefault="009A4437" w:rsidP="00B85496">
            <w:pPr>
              <w:pStyle w:val="TableBullet1"/>
              <w:cnfStyle w:val="000000000000" w:firstRow="0" w:lastRow="0" w:firstColumn="0" w:lastColumn="0" w:oddVBand="0" w:evenVBand="0" w:oddHBand="0" w:evenHBand="0" w:firstRowFirstColumn="0" w:firstRowLastColumn="0" w:lastRowFirstColumn="0" w:lastRowLastColumn="0"/>
            </w:pPr>
            <w:r w:rsidRPr="009A4437">
              <w:t>Implement a mandatory rule change approval process: every new or modified rule requires peer review, sandbox testing, and COR notification before deployment</w:t>
            </w:r>
          </w:p>
          <w:p w14:paraId="6A5B44EF" w14:textId="77777777" w:rsidR="009A4437" w:rsidRPr="009A4437" w:rsidRDefault="009A4437" w:rsidP="00B85496">
            <w:pPr>
              <w:pStyle w:val="TableBullet1"/>
              <w:cnfStyle w:val="000000000000" w:firstRow="0" w:lastRow="0" w:firstColumn="0" w:lastColumn="0" w:oddVBand="0" w:evenVBand="0" w:oddHBand="0" w:evenHBand="0" w:firstRowFirstColumn="0" w:firstRowLastColumn="0" w:lastRowFirstColumn="0" w:lastRowLastColumn="0"/>
            </w:pPr>
            <w:r w:rsidRPr="009A4437">
              <w:t>Run parallel processing of existing and new rules on a sample batch before full deployment</w:t>
            </w:r>
          </w:p>
          <w:p w14:paraId="4A7080AE" w14:textId="77777777" w:rsidR="009A4437" w:rsidRPr="009A4437" w:rsidRDefault="009A4437" w:rsidP="00B85496">
            <w:pPr>
              <w:pStyle w:val="TableBullet1"/>
              <w:cnfStyle w:val="000000000000" w:firstRow="0" w:lastRow="0" w:firstColumn="0" w:lastColumn="0" w:oddVBand="0" w:evenVBand="0" w:oddHBand="0" w:evenHBand="0" w:firstRowFirstColumn="0" w:firstRowLastColumn="0" w:lastRowFirstColumn="0" w:lastRowLastColumn="0"/>
            </w:pPr>
            <w:r w:rsidRPr="009A4437">
              <w:t>Configure automated anomaly detection alerts that flag statistical deviations in dispute resolution outcomes within 24 hours of a rule change going live</w:t>
            </w:r>
          </w:p>
          <w:p w14:paraId="590576B7" w14:textId="77777777" w:rsidR="009A4437" w:rsidRPr="009A4437" w:rsidRDefault="009A4437" w:rsidP="00B85496">
            <w:pPr>
              <w:pStyle w:val="TableBullet1"/>
              <w:cnfStyle w:val="000000000000" w:firstRow="0" w:lastRow="0" w:firstColumn="0" w:lastColumn="0" w:oddVBand="0" w:evenVBand="0" w:oddHBand="0" w:evenHBand="0" w:firstRowFirstColumn="0" w:firstRowLastColumn="0" w:lastRowFirstColumn="0" w:lastRowLastColumn="0"/>
            </w:pPr>
            <w:r w:rsidRPr="009A4437">
              <w:t>Maintain a rule rollback procedure that can revert any change within one business day</w:t>
            </w:r>
          </w:p>
          <w:p w14:paraId="72B8F111" w14:textId="41A82CB6" w:rsidR="001936A5" w:rsidRPr="00277A49" w:rsidRDefault="009A4437" w:rsidP="00B85496">
            <w:pPr>
              <w:pStyle w:val="TableBullet1"/>
              <w:cnfStyle w:val="000000000000" w:firstRow="0" w:lastRow="0" w:firstColumn="0" w:lastColumn="0" w:oddVBand="0" w:evenVBand="0" w:oddHBand="0" w:evenHBand="0" w:firstRowFirstColumn="0" w:firstRowLastColumn="0" w:lastRowFirstColumn="0" w:lastRowLastColumn="0"/>
            </w:pPr>
            <w:r w:rsidRPr="009A4437">
              <w:t>Conduct quarterly rule audits to identify outdated logic as regulatory and issuer practices evolve</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w:t>
      </w:r>
      <w:r w:rsidRPr="00374D6C">
        <w:t xml:space="preserve"> </w:t>
      </w:r>
      <w:r>
        <w:t>X.X-X</w:t>
      </w:r>
      <w:r w:rsidRPr="00374D6C">
        <w:t>.</w:t>
      </w:r>
      <w:r>
        <w:t xml:space="preserve"> Provide Title.</w:t>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 xml:space="preserve">Our management approach is designed to provide CMS with a disciplined, integrated operating model for the full Enrollment Reconciliation and Resolution (ER&amp;R) scope. </w:t>
      </w:r>
      <w:commentRangeEnd w:id="90"/>
      <w:r w:rsidR="004A3D30">
        <w:rPr>
          <w:rStyle w:val="CommentReference"/>
          <w:sz w:val="24"/>
          <w:szCs w:val="22"/>
        </w:rPr>
        <w:commentReference w:id="90"/>
      </w:r>
      <w:commentRangeEnd w:id="91"/>
      <w:r>
        <w:rPr>
          <w:rStyle w:val="CommentReference"/>
          <w:sz w:val="24"/>
          <w:szCs w:val="22"/>
        </w:rPr>
        <w:commentReference w:id="91"/>
      </w:r>
      <w:r>
        <w:t xml:space="preserve">We will manage the program as one coordinated environment that brings together issuer dispute resolution, Form 1095-A consumer dispute support, complex case handling, contact center operations, reporting, technology support, program integrity activities, and ad hoc/special project work under a unified governance structure. This approach ensures that work is not performed in silos; instead, business operations, analytics, technology, quality oversight, and leadership decision-making function together through common management routines, shared priorities, and clearly defined accountability. </w:t>
      </w:r>
      <w:r w:rsidRPr="00DD7489">
        <w:rPr>
          <w:rStyle w:val="CharacterBold"/>
        </w:rPr>
        <w:t>While ER&amp;R depends on analytics, technology, reporting, and support functions, the core mission of the program is case resolution</w:t>
      </w:r>
      <w:r w:rsidRPr="006909BC">
        <w:rPr>
          <w:b/>
        </w:rPr>
        <w:t>.</w:t>
      </w:r>
      <w:r>
        <w:t xml:space="preserve"> Our management approach therefore organizes all enabling functions around the timely, accurate, and controlled execution of casework.</w:t>
      </w:r>
      <w:commentRangeEnd w:id="92"/>
      <w:r w:rsidR="00887F22">
        <w:rPr>
          <w:rStyle w:val="CommentReference"/>
          <w:sz w:val="24"/>
          <w:szCs w:val="22"/>
        </w:rPr>
        <w:commentReference w:id="92"/>
      </w:r>
      <w:commentRangeEnd w:id="93"/>
      <w:r w:rsidR="00241FD6">
        <w:rPr>
          <w:rStyle w:val="CommentReference"/>
          <w:sz w:val="24"/>
          <w:szCs w:val="22"/>
        </w:rPr>
        <w:commentReference w:id="93"/>
      </w:r>
    </w:p>
    <w:p w14:paraId="7D08016B" w14:textId="6524BF74" w:rsidR="009F2DA5" w:rsidRDefault="009F2DA5" w:rsidP="009F2DA5">
      <w:pPr>
        <w:pStyle w:val="BodyText"/>
      </w:pPr>
      <w:r>
        <w:t xml:space="preserve">At </w:t>
      </w:r>
      <w:commentRangeStart w:id="94"/>
      <w:r>
        <w:t xml:space="preserve">the </w:t>
      </w:r>
      <w:commentRangeEnd w:id="94"/>
      <w:r w:rsidR="00241FD6">
        <w:rPr>
          <w:rStyle w:val="CommentReference"/>
          <w:sz w:val="24"/>
          <w:szCs w:val="22"/>
        </w:rPr>
        <w:commentReference w:id="94"/>
      </w:r>
      <w:r>
        <w:t xml:space="preserve">core of our approach is an integrated management structure that provides CMS with clear ownership, defined escalation paths, and transparent decision-making across all aspects of contract performance. We will align operational leadership, technical leadership, quality leadership, and program management so that interdependencies are actively managed across casework, call center support, reporting, systems operations, and special requests. This structure enables rapid issue resolution, better workload coordination, and stronger visibility into performance across the entire ER&amp;R environment. </w:t>
      </w:r>
      <w:r w:rsidRPr="00DD7489">
        <w:rPr>
          <w:rStyle w:val="CharacterBold"/>
        </w:rPr>
        <w:t>Because ER&amp;R requires simultaneous support for casework, contact center operations, reporting, systems support, quality activities, surge response, and special projects, our management model is designed to coordinate parallel workstreams through one integrated baseline and one escalation structure rather than through separate functional silos.</w:t>
      </w:r>
      <w:r>
        <w:t xml:space="preserve"> This is especially important in ER&amp;R because the environment is multi-system, multi-vendor, and multi-stakeholder, with dependencies that extend beyond any one team’s direct control.</w:t>
      </w:r>
    </w:p>
    <w:p w14:paraId="58836A32" w14:textId="15D84596" w:rsidR="009F2DA5" w:rsidRPr="00B23D8B" w:rsidRDefault="009F2DA5" w:rsidP="009F2DA5">
      <w:pPr>
        <w:pStyle w:val="BodyText"/>
      </w:pPr>
      <w:r>
        <w:t xml:space="preserve">Our approach </w:t>
      </w:r>
      <w:r w:rsidRPr="00DD7489">
        <w:rPr>
          <w:rStyle w:val="CharacterBold"/>
        </w:rPr>
        <w:t>balances current-state operational continuity with future-state improvement</w:t>
      </w:r>
      <w:r>
        <w:t>. We understand that CMS requires uninterrupted performance from day one, and we will therefore operate and stabilize the existing environment while establishing the governance, readiness processes, and delivery controls needed to introduce targeted enhancements over time. We will use a phased approach that begins with transition and operational stabilization, advances into controlled process and technology improvements, and supports broader modernization opportunities only as directed and approved by CMS. In this way, modernization is managed as a business-led and risk-aware activity—not as a stand-alone technology exercise. This reflects a year-one operating posture centered on stability, continuity, and low-risk execution first, with broader improvement opportunities pursued only after the program is operating under control.</w:t>
      </w:r>
    </w:p>
    <w:p w14:paraId="0DB67D10" w14:textId="198C0180" w:rsidR="00074BEF" w:rsidRPr="00B23D8B" w:rsidRDefault="0054721F" w:rsidP="009F2DA5">
      <w:pPr>
        <w:pStyle w:val="BodyText"/>
      </w:pPr>
      <w:r w:rsidRPr="0054721F">
        <w:t xml:space="preserve">We will use the Project Implementation and Oversight Plan (PIOP) as the primary management instrument for ER&amp;R mobilization, execution, and ongoing contract oversight. The PIOP will establish the operational baseline for implementation and performance management, giving CMS clear line of sight into workstream structure, milestone sequencing, management controls, and the mechanisms we will use to sustain continuity while standing up the program. It will also serve as the primary management vehicle for scope </w:t>
      </w:r>
      <w:r w:rsidRPr="0054721F">
        <w:lastRenderedPageBreak/>
        <w:t>alignment, schedule and milestone control, cost visibility, communication management, and cross-workstream coordination throughout startup and ongoing performance</w:t>
      </w:r>
      <w:r w:rsidR="005F08C6">
        <w:t xml:space="preserve"> </w:t>
      </w:r>
      <w:r w:rsidR="00B469A1">
        <w:t>(</w:t>
      </w:r>
      <w:r w:rsidR="00B469A1" w:rsidRPr="00B469A1">
        <w:rPr>
          <w:highlight w:val="yellow"/>
        </w:rPr>
        <w:t>Table 2.1-1)</w:t>
      </w:r>
      <w:r w:rsidR="00074BEF" w:rsidRPr="00B469A1">
        <w:rPr>
          <w:highlight w:val="yellow"/>
        </w:rPr>
        <w:t>.</w:t>
      </w:r>
      <w:r w:rsidR="00074BEF" w:rsidRPr="00074BEF">
        <w:t xml:space="preserve"> We will manage scope through defined intake, review, approval, and change-control processes; manage schedule through milestone tracking, dependency management, and recovery planning; manage cost through labor and non-labor visibility, forecast-to-plan review, and variance monitoring; and manage communications through structured reporting, stakeholder forums, escalation paths, and COR-aligned decision channels. These controls will be applied consistently across prime and subcontractor-supported work so CMS has one integrated view of performance across the full ER&amp;R environment.</w:t>
      </w:r>
    </w:p>
    <w:p w14:paraId="6E78407A" w14:textId="5E12C0E7" w:rsidR="0081163E" w:rsidRDefault="0081163E" w:rsidP="0081163E">
      <w:pPr>
        <w:pStyle w:val="TableTitle"/>
      </w:pPr>
      <w:r>
        <w:t>Table</w:t>
      </w:r>
      <w:r w:rsidRPr="00374D6C">
        <w:t xml:space="preserve"> </w:t>
      </w:r>
      <w:r>
        <w:t>2.1-1</w:t>
      </w:r>
      <w:r w:rsidRPr="00374D6C">
        <w:t>.</w:t>
      </w:r>
      <w:r>
        <w:t>Provide Title.</w:t>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 xml:space="preserve">Figure </w:t>
      </w:r>
      <w:r>
        <w:rPr>
          <w:highlight w:val="yellow"/>
        </w:rPr>
        <w:t xml:space="preserve">X.X-X. </w:t>
      </w:r>
      <w:r w:rsidR="00BB1407" w:rsidRPr="00187EDF">
        <w:rPr>
          <w:highlight w:val="yellow"/>
        </w:rPr>
        <w:t xml:space="preserve">Example </w:t>
      </w:r>
      <w:r w:rsidR="00347CF1" w:rsidRPr="00187EDF">
        <w:rPr>
          <w:highlight w:val="yellow"/>
        </w:rPr>
        <w:t>Critical Path</w:t>
      </w:r>
      <w:r w:rsidR="00187EDF" w:rsidRPr="00187EDF">
        <w:rPr>
          <w:highlight w:val="yellow"/>
        </w:rPr>
        <w:t>/Milestone graphic</w:t>
      </w:r>
      <w:r w:rsidR="00DD7489">
        <w:t>.</w:t>
      </w:r>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lastRenderedPageBreak/>
        <w:t xml:space="preserve">Table X.X-X. </w:t>
      </w:r>
      <w:r w:rsidRPr="00A8308B">
        <w:t>Illustrative (not Comprehensive) Milestone Measures by Task.</w:t>
      </w:r>
      <w:r>
        <w:t>.</w:t>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X.X-X. Provide Title.</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 xml:space="preserve">Figure X.X-X. </w:t>
      </w:r>
      <w:r w:rsidRPr="0017680B">
        <w:rPr>
          <w:highlight w:val="yellow"/>
        </w:rPr>
        <w:t>Provide Title</w:t>
      </w:r>
      <w:r>
        <w:t>.</w:t>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lastRenderedPageBreak/>
        <w:t>Table X</w:t>
      </w:r>
      <w:r w:rsidR="0017680B">
        <w:t>.</w:t>
      </w:r>
      <w:r>
        <w:t>X</w:t>
      </w:r>
      <w:r w:rsidR="0017680B">
        <w:t>-X. Provide Title.</w:t>
      </w:r>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BulletIntro"/>
      </w:pPr>
      <w:r>
        <w:t xml:space="preserve">Our performance management and quality control approach is aligned with CMS program integrity, oversight, and quality expectations, ensuring consistent compliance with SOW requirements, SLAs, Acceptable Quality Levels (AQLs), and applicable CMS guidance. Through proactive monitoring, clearly defined accountability, and disciplined governance, we provide transparency, early risk identification, and </w:t>
      </w:r>
      <w:r>
        <w:lastRenderedPageBreak/>
        <w:t>corrective action to support high</w:t>
      </w:r>
      <w:r>
        <w:noBreakHyphen/>
        <w:t xml:space="preserve">quality, timely, and compliant service delivery. Our approach will be as follows: </w:t>
      </w:r>
    </w:p>
    <w:p w14:paraId="5E7C861C" w14:textId="77556D17" w:rsidR="00F2405B" w:rsidRPr="00F2405B" w:rsidRDefault="60749515" w:rsidP="001349CE">
      <w:pPr>
        <w:pStyle w:val="Bulletlevel1"/>
      </w:pPr>
      <w:r w:rsidRPr="001349CE">
        <w:rPr>
          <w:rStyle w:val="CharacterBold"/>
        </w:rPr>
        <w:t>Integrated Performance Framework:</w:t>
      </w:r>
      <w:r>
        <w:t xml:space="preserve"> Translate SOW, SLA, and AQL requirements into defined KPIs with established targets, thresholds, monitoring cadence, and early</w:t>
      </w:r>
      <w:r w:rsidR="00F2405B">
        <w:noBreakHyphen/>
      </w:r>
      <w:r>
        <w:t>warning indicators to proactively manage performance.</w:t>
      </w:r>
    </w:p>
    <w:p w14:paraId="45F0ACBF" w14:textId="538C6C23" w:rsidR="00F2405B" w:rsidRPr="00F2405B" w:rsidRDefault="60749515" w:rsidP="001349CE">
      <w:pPr>
        <w:pStyle w:val="Bulletlevel1"/>
      </w:pPr>
      <w:r w:rsidRPr="001349CE">
        <w:rPr>
          <w:rStyle w:val="CharacterBold"/>
        </w:rPr>
        <w:t>Monitoring, Reporting, and Governance:</w:t>
      </w:r>
      <w:r>
        <w:t xml:space="preserve"> Use standardized dashboards and regular operational, management, and client governance reviews to track performance, address risks, and enforce clear escalation and accountability.</w:t>
      </w:r>
    </w:p>
    <w:p w14:paraId="0DF85880" w14:textId="7179553F" w:rsidR="00F2405B" w:rsidRPr="00F2405B" w:rsidRDefault="60749515" w:rsidP="001349CE">
      <w:pPr>
        <w:pStyle w:val="Bulletlevel1"/>
      </w:pPr>
      <w:r w:rsidRPr="001349CE">
        <w:rPr>
          <w:rStyle w:val="CharacterBold"/>
        </w:rPr>
        <w:t>Quality Control Methodology:</w:t>
      </w:r>
      <w:r>
        <w:t xml:space="preserve"> Apply “quality built in” practices combined with independent QC reviews, standardized acceptance criteria, documented sign</w:t>
      </w:r>
      <w:r w:rsidR="00F2405B">
        <w:noBreakHyphen/>
      </w:r>
      <w:r>
        <w:t>offs, and traceability to ensure deliverables meet contractual and quality requirements.</w:t>
      </w:r>
    </w:p>
    <w:p w14:paraId="50C4E272" w14:textId="417AB342" w:rsidR="00F2405B" w:rsidRPr="00F2405B" w:rsidRDefault="60749515" w:rsidP="001349CE">
      <w:pPr>
        <w:pStyle w:val="Bulletlevel1"/>
      </w:pPr>
      <w:r w:rsidRPr="001349CE">
        <w:rPr>
          <w:rStyle w:val="CharacterBold"/>
        </w:rPr>
        <w:t>Defect Management and Continuous Improvement:</w:t>
      </w:r>
      <w:r>
        <w:t xml:space="preserve"> Utilize disciplined defect tracking, root cause analysis, and corrective/preventive action processes, leveraging trend analysis to drive efficiency, reduce rework, and improve outcomes.</w:t>
      </w:r>
    </w:p>
    <w:p w14:paraId="6AFAB69E" w14:textId="4F8069AA" w:rsidR="00F2405B" w:rsidRPr="00F2405B" w:rsidRDefault="60749515" w:rsidP="001349CE">
      <w:pPr>
        <w:pStyle w:val="Bulletlevel1"/>
      </w:pPr>
      <w:r w:rsidRPr="001349CE">
        <w:rPr>
          <w:rStyle w:val="CharacterBold"/>
        </w:rPr>
        <w:t>Risk Management and Transparency:</w:t>
      </w:r>
      <w:r w:rsidRPr="671ED0E9">
        <w:rPr>
          <w:b/>
          <w:bCs/>
        </w:rPr>
        <w:t xml:space="preserve"> </w:t>
      </w:r>
      <w:r>
        <w:t>Integrate performance and QC metrics with risk management, capacity planning, and audit</w:t>
      </w:r>
      <w:r w:rsidR="00F2405B">
        <w:noBreakHyphen/>
      </w:r>
      <w:r>
        <w:t>ready documentation, supported by transparent reporting and collaborative client engagement.</w:t>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We understand that our project performance is monitored by CMS through deliverable review, direct observation, stakeholder feedback, and other methods of quality assurance surveillance. Depending on CMS’ preference, evaluation of our work could be completed at pre-determined intervals (e.g., at a monthly or quarterly performance review), during the weekly meeting following delivery of the activity, or over email as deliverables are reviewed. To reduce CMS’ management burden, at CMS’ request, Deloitte could also perform a self-assessment at set intervals. We also understand that we are responsible for project quality control and will implement and adhere to a Quality Control Plan.</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 xml:space="preserve">We will implement a defined Quality Control structure with clear accountability, separation of duties, and documented approval pathways </w:t>
      </w:r>
      <w:r w:rsidR="5FB2FB71">
        <w:t>so</w:t>
      </w:r>
      <w:r>
        <w:t xml:space="preserve"> deliverables consistently meet SOW requirements and Acceptable Quality Levels (AQLs). QC accountability will be assigned to roles, supported by standardized checklists, peer reviews, and management sign-off prior to submission. This structure </w:t>
      </w:r>
      <w:r w:rsidR="3E03E27C">
        <w:t>confirms</w:t>
      </w:r>
      <w:r>
        <w:t xml:space="preserve"> quality is built into execution, issues are detected early, and corrective actions are implemented rapidly.</w:t>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 xml:space="preserve">We will </w:t>
      </w:r>
      <w:r w:rsidR="03D6186F">
        <w:t>confirm</w:t>
      </w:r>
      <w:r>
        <w:t xml:space="preserve"> all deliverables meet or exceed the Acceptable Quality Levels (AQLs) defined in the SOW through standardized quality controls, ongoing monitoring, and corrective action processes. Quality metrics will be clearly defined, measured, and reviewed regularly to </w:t>
      </w:r>
      <w:r w:rsidR="366DEA8E">
        <w:t>reinforce</w:t>
      </w:r>
      <w:r>
        <w:t xml:space="preserve"> consistent compliance and continuous improvement.</w:t>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develop and implement a performance management processes to assess and report its performance to the designated Government representative. Government representative(s) will monitor performance and review performance reports furnished by Deloitte to determine how Deloitte is performing against communicated performance objectives. Deloitte will be responsible for making required changes in processes and practices to confirm performance is managed effectively.</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review performance data and feedback regularly and incorporate it into the monthly progress report to CMS to help detect potential quality issues/risks and track them to resolution. If necessary, we will implement an optional remediation or CMS-approved corrective action plan. This plan may include re-alignment of resources, schedule adjustments, or updates to deliverables.</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Identifying and addressing issues in a timely manner is a fundamental project management best practice and critical to successful delivery. Once identified, issues will be prioritized for corrective action. Our corrective action approach drives early detection of problems, delays, and inefficiencies through execution of our quality processes. Issues are documented and tracked through closure. Corrective actions requiring CMS approval will be reported to the CMS COR for review. Our PM will maintain and share a register to track the status of corrective actions on a monthly basis with task leads and the CMS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Our team will consistently measure performance metrics and core drivers outlined in [INSERT PERFORMANCE METRICS DOC]. The Quality Oversight Lead and PM will work with CMS to finalize the draft QASP that will propose, capture, and report all task order performance metrics and calculation methods to manage PWS performance requirements. We will develop and implement a performance management system with processes to assess and report its performance to the Government for their review and comment. Deloitte will be responsible for addressing Government feedback.</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BulletIntro"/>
      </w:pPr>
      <w:r>
        <w:t>We will maintain all Service Level Agreements (SLAs) defined in the Statement of Work (SOW) are consistently met through a structured governance, monitoring, and accountability framework. Our approach emphasizes proactive performance management, transparency, and continuous improvement to maintain SLA compliance throughout the contract lifecycle.</w:t>
      </w:r>
      <w:r w:rsidR="3BCF5B88">
        <w:t xml:space="preserve"> </w:t>
      </w:r>
      <w:r>
        <w:t>Key elements of our approach include:</w:t>
      </w:r>
    </w:p>
    <w:p w14:paraId="4843EAE5" w14:textId="177FE0AF" w:rsidR="25A76845" w:rsidRDefault="25A76845" w:rsidP="001349CE">
      <w:pPr>
        <w:pStyle w:val="Bulletlevel1"/>
      </w:pPr>
      <w:r w:rsidRPr="001349CE">
        <w:rPr>
          <w:rStyle w:val="CharacterBold"/>
        </w:rPr>
        <w:t>Formal SLA Governance:</w:t>
      </w:r>
      <w:r>
        <w:t xml:space="preserve"> Establishment of clearly defined roles and escalation paths, including a designated SLA manager responsible for oversight, issue resolution, and coordination with stakeholders.</w:t>
      </w:r>
    </w:p>
    <w:p w14:paraId="2601545F" w14:textId="6B9F220B" w:rsidR="25A76845" w:rsidRDefault="25A76845" w:rsidP="001349CE">
      <w:pPr>
        <w:pStyle w:val="Bulletlevel1"/>
      </w:pPr>
      <w:r w:rsidRPr="001349CE">
        <w:rPr>
          <w:rStyle w:val="CharacterBold"/>
        </w:rPr>
        <w:t>Performance Monitoring and Reporting:</w:t>
      </w:r>
      <w:r w:rsidRPr="671ED0E9">
        <w:rPr>
          <w:b/>
          <w:bCs/>
        </w:rPr>
        <w:t xml:space="preserve"> </w:t>
      </w:r>
      <w:r>
        <w:t>Ongoing monitoring of SLA metrics using standardized dashboards and reporting tools, with regular performance reports provided to the client to ensure transparency and early identification of risks.</w:t>
      </w:r>
    </w:p>
    <w:p w14:paraId="05CDBF63" w14:textId="707E2B2A" w:rsidR="25A76845" w:rsidRDefault="25A76845" w:rsidP="001349CE">
      <w:pPr>
        <w:pStyle w:val="Bulletlevel1"/>
      </w:pPr>
      <w:r w:rsidRPr="001349CE">
        <w:rPr>
          <w:rStyle w:val="CharacterBold"/>
        </w:rPr>
        <w:t>Proactive Issue Management:</w:t>
      </w:r>
      <w:r w:rsidRPr="671ED0E9">
        <w:rPr>
          <w:b/>
          <w:bCs/>
        </w:rPr>
        <w:t xml:space="preserve"> </w:t>
      </w:r>
      <w:r>
        <w:t>Defined processes for identifying, documenting, and resolving SLA risks or variances before they impact service delivery, including root cause analysis and corrective action plans.</w:t>
      </w:r>
    </w:p>
    <w:p w14:paraId="6D4AE163" w14:textId="3786F99E" w:rsidR="25A76845" w:rsidRDefault="25A76845" w:rsidP="001349CE">
      <w:pPr>
        <w:pStyle w:val="Bulletlevel1"/>
      </w:pPr>
      <w:r w:rsidRPr="001349CE">
        <w:rPr>
          <w:rStyle w:val="CharacterBold"/>
        </w:rPr>
        <w:t>Regular Reviews and Continuous Improvement:</w:t>
      </w:r>
      <w:r w:rsidRPr="671ED0E9">
        <w:rPr>
          <w:b/>
          <w:bCs/>
        </w:rPr>
        <w:t xml:space="preserve"> </w:t>
      </w:r>
      <w:r>
        <w:t>Scheduled operational and monthly/quarterly performance reviews to assess SLA trends, address concerns, and implement process improvements as needed.</w:t>
      </w:r>
    </w:p>
    <w:p w14:paraId="56ECFB16" w14:textId="290DB91A" w:rsidR="25A76845" w:rsidRDefault="25A76845" w:rsidP="001349CE">
      <w:pPr>
        <w:pStyle w:val="Bulletlevel1"/>
      </w:pPr>
      <w:r w:rsidRPr="001349CE">
        <w:rPr>
          <w:rStyle w:val="CharacterBold"/>
        </w:rPr>
        <w:t>Change and Quality Management Controls:</w:t>
      </w:r>
      <w:r w:rsidRPr="671ED0E9">
        <w:rPr>
          <w:b/>
          <w:bCs/>
        </w:rPr>
        <w:t xml:space="preserve"> </w:t>
      </w:r>
      <w:r>
        <w:t>Integration of change management and quality assurance practices to ensure that updates to scope, processes, or staffing do not compromise SLA performance.</w:t>
      </w:r>
    </w:p>
    <w:p w14:paraId="1B547A66" w14:textId="0ACD2C0D" w:rsidR="671ED0E9" w:rsidRDefault="25A76845" w:rsidP="671ED0E9">
      <w:pPr>
        <w:pStyle w:val="BodyText"/>
      </w:pPr>
      <w:r>
        <w:t>This disciplined approach enables consistent SLA compliance, rapid response to issues, and alignment with client expectations throughout the duration of the SOW.</w:t>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The oversight provided for in the Contract and the QASP will validate that service levels reach and maintain the required levels throughout the Contract term. Further, the QASP provides the ERR COR with a proactive way to avoid unacceptable or deficient performance and provides verifiable input for the Contractor Performance Assessment Reporting System (CPARS). Following the contract award, the Deloitte and appropriate federal staff will review and finalize the performance measurement criteria along with methodology for periodic monitoring. We will also review and approve the draft QASP with CMS and any revisions to the draft QASP will be implemented within a timeframe determined in conjunction with CMS (e.g., within 30-days of the meeting). Additional updates may be made throughout the duration of the contract, if necessary (e.g., PWS changes or CMS feedback), and will be submitted to CMS for review and approval within a predetermined timeframe. Final and subsequent QASPs will be stored in a CMS-approved location.</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 xml:space="preserve">CMS is seeking a Staffing Plan that demonstrates the Contractor has the </w:t>
      </w:r>
      <w:r w:rsidRPr="001349CE">
        <w:rPr>
          <w:rStyle w:val="CharacterBold"/>
        </w:rPr>
        <w:t>appropriate staffing resources at all levels</w:t>
      </w:r>
      <w:r w:rsidRPr="00B22AFA">
        <w:t xml:space="preserve"> to perform the ER&amp;R scope, with the </w:t>
      </w:r>
      <w:r w:rsidRPr="001349CE">
        <w:rPr>
          <w:rStyle w:val="CharacterBold"/>
        </w:rPr>
        <w:t>knowledge, experience, labor mix, and subject matter expertise</w:t>
      </w:r>
      <w:r w:rsidRPr="00B22AFA">
        <w:t xml:space="preserve"> needed to execute work across Enrollment Resolution and Reconciliation (ER&amp;R), Form 1095-A Data Reconciliation and Reporting, Complex Case Help Center (CCHC), contact center support, system maintenance and operations, enhancements, service desk support, reporting and analytics, quality assurance, and related ad hoc activities. CMS is also requesting a description of the </w:t>
      </w:r>
      <w:r w:rsidRPr="001349CE">
        <w:rPr>
          <w:rStyle w:val="CharacterBold"/>
        </w:rPr>
        <w:t>resource management and staffing approach</w:t>
      </w:r>
      <w:r w:rsidRPr="00B22AFA">
        <w:t xml:space="preserve">, including recruitment, retention, roles and responsibilities, resource allocations, transitions across lifecycle phases, available resources, labor hours by task/subtask, and surge support during peak operational periods, while maintaining the required </w:t>
      </w:r>
      <w:r w:rsidRPr="001349CE">
        <w:rPr>
          <w:rStyle w:val="CharacterBold"/>
        </w:rPr>
        <w:t>technical, security, and SME support</w:t>
      </w:r>
      <w:r w:rsidRPr="00B22AFA">
        <w:t xml:space="preserve"> across the period of performance.</w:t>
      </w:r>
      <w:r>
        <w:t xml:space="preserve"> </w:t>
      </w:r>
      <w:r w:rsidR="00B17029" w:rsidRPr="001349CE">
        <w:rPr>
          <w:rStyle w:val="CharacterBold"/>
        </w:rPr>
        <w:t>Deloitte’s Staffing Plan responds directly to these requirements through a workload-driven, function-based workforce model aligned to the ER&amp;R operating environment. Deloitte will provide a staffing structure that reflects the scale and complexity of the ER&amp;R environment at contract start, supports continuity of operations across the in-scope systems and workstreams, and positions the program for measured efficiencies over time without introducing avoidable operational risk.</w:t>
      </w:r>
      <w:commentRangeEnd w:id="111"/>
      <w:r w:rsidR="00C33993">
        <w:rPr>
          <w:rStyle w:val="CommentReference"/>
          <w:rFonts w:ascii="Courier New" w:hAnsi="Courier New"/>
        </w:rPr>
        <w:commentReference w:id="111"/>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Understanding:</w:t>
      </w:r>
      <w:r w:rsidRPr="00367BA6">
        <w:t xml:space="preserve"> </w:t>
      </w:r>
      <w:r w:rsidR="00C91D75" w:rsidRPr="00C91D75">
        <w:t>CMS is requesting a resource management and staffing approach that shows how the Contractor will organize, assign, and manage staff across the ER&amp;R scope while sustaining continuity of service and maintaining the business, technical, operational, security, and SME support needed to perform the work across a multi-system operating environment.</w:t>
      </w:r>
      <w:commentRangeEnd w:id="114"/>
      <w:r w:rsidR="00956174">
        <w:rPr>
          <w:rStyle w:val="CommentReference"/>
          <w:rFonts w:ascii="Courier New" w:hAnsi="Courier New"/>
        </w:rPr>
        <w:commentReference w:id="114"/>
      </w:r>
    </w:p>
    <w:p w14:paraId="22D1C03C" w14:textId="77777777" w:rsidR="00BE2520" w:rsidRPr="00BE2520" w:rsidRDefault="00BE2520" w:rsidP="00FB51CD">
      <w:pPr>
        <w:pStyle w:val="Bulletlevel1"/>
      </w:pPr>
      <w:r w:rsidRPr="00FB51CD">
        <w:rPr>
          <w:rStyle w:val="CharacterBold"/>
        </w:rPr>
        <w:t>Organize</w:t>
      </w:r>
      <w:r w:rsidRPr="00BE2520">
        <w:t xml:space="preserve"> the workforce into the major delivery towers required to perform the ER&amp;R scope — Business Operations, Technology Management, Program Management / Program Controls, Quality Assurance / SOP / Knowledge Management, and SME / Program Integrity support — so staffing mirrors how work is performed across the ER&amp;R environment rather than grouping unlike functions into a single generalized team.</w:t>
      </w:r>
    </w:p>
    <w:p w14:paraId="63C88859" w14:textId="77777777" w:rsidR="00BE2520" w:rsidRPr="00BE2520" w:rsidRDefault="00BE2520" w:rsidP="00FB51CD">
      <w:pPr>
        <w:pStyle w:val="Bulletlevel1"/>
      </w:pPr>
      <w:r w:rsidRPr="00FB51CD">
        <w:rPr>
          <w:rStyle w:val="CharacterBold"/>
        </w:rPr>
        <w:t>Staff Business Operations</w:t>
      </w:r>
      <w:r w:rsidRPr="00BE2520">
        <w:rPr>
          <w:b/>
          <w:bCs/>
        </w:rPr>
        <w:t xml:space="preserve"> </w:t>
      </w:r>
      <w:r w:rsidRPr="00BE2520">
        <w:t>as the core delivery tower supporting issuer disputes, Form 1095-A disputes, complex case handling, telephone and correspondence support, and related operational analysis, with staffing differentiated by work type and case complexity: call center personnel support front-line telephone and correspondence interactions; caseworkers support dispute research, analysis, case progression, and resolution; senior resources and SMEs support escalated, high-complexity, or high-risk matters; and operational leadership supports workload balancing, quality oversight, and issue escalation.</w:t>
      </w:r>
    </w:p>
    <w:p w14:paraId="1F23B446" w14:textId="77777777" w:rsidR="00BE2520" w:rsidRPr="00BE2520" w:rsidRDefault="00BE2520" w:rsidP="00FB51CD">
      <w:pPr>
        <w:pStyle w:val="Bulletlevel1"/>
      </w:pPr>
      <w:r w:rsidRPr="00FB51CD">
        <w:rPr>
          <w:rStyle w:val="CharacterBold"/>
        </w:rPr>
        <w:t>Staff Technology Management</w:t>
      </w:r>
      <w:r w:rsidRPr="00BE2520">
        <w:t xml:space="preserve"> as a distinct delivery tower supporting </w:t>
      </w:r>
      <w:r w:rsidRPr="00FB51CD">
        <w:rPr>
          <w:rStyle w:val="CharacterBold"/>
        </w:rPr>
        <w:t>CERRS, HICS, SEED, EDA CORE, related interfaces, notice-generation support, telephony/contact-center technologies, and supporting operational tooling</w:t>
      </w:r>
      <w:r w:rsidRPr="00BE2520">
        <w:rPr>
          <w:b/>
          <w:bCs/>
        </w:rPr>
        <w:t>,</w:t>
      </w:r>
      <w:r w:rsidRPr="00BE2520">
        <w:t xml:space="preserve"> with resources aligned across maintenance and operations, infrastructure and monitoring, application support, service desk / internal user support, enhancements and SDLC support, testing and release support, data and reporting support, security, privacy, and compliance support, notice-related technical support, and coordination across systems, repositories, and interfaces.</w:t>
      </w:r>
    </w:p>
    <w:p w14:paraId="37C79129" w14:textId="77777777" w:rsidR="00BE2520" w:rsidRPr="00BE2520" w:rsidRDefault="00BE2520" w:rsidP="00FB51CD">
      <w:pPr>
        <w:pStyle w:val="Bulletlevel1"/>
      </w:pPr>
      <w:r w:rsidRPr="00FB51CD">
        <w:rPr>
          <w:rStyle w:val="CharacterBold"/>
        </w:rPr>
        <w:t>Staff Program Management / Program Controls, Quality Assurance / SOP / Knowledge Management, and SME / Program Integrity support</w:t>
      </w:r>
      <w:r w:rsidRPr="00BE2520">
        <w:t xml:space="preserve"> to provide governance, contract management, milestone tracking, issue and risk management, performance reporting, QASP execution, QA reviews, SOP maintenance, training support, validation support, operational consistency, and targeted expertise </w:t>
      </w:r>
      <w:r w:rsidRPr="00BE2520">
        <w:lastRenderedPageBreak/>
        <w:t>aligned to enrollment, Form 1095-A, reconciliation, complex case handling, policy/notice-sensitive workflows, and control-oriented support across the environment.</w:t>
      </w:r>
    </w:p>
    <w:p w14:paraId="7E18A06A" w14:textId="77777777" w:rsidR="00BE2520" w:rsidRPr="00BE2520" w:rsidRDefault="00BE2520" w:rsidP="00FB51CD">
      <w:pPr>
        <w:pStyle w:val="Bulletlevel1"/>
      </w:pPr>
      <w:r w:rsidRPr="00FB51CD">
        <w:rPr>
          <w:rStyle w:val="CharacterBold"/>
        </w:rPr>
        <w:t>Align</w:t>
      </w:r>
      <w:r w:rsidRPr="00BE2520">
        <w:t xml:space="preserve"> the largest concentrations of staffing to the primary workload drivers of the ER&amp;R scope — dispute resolution, Form 1095-A workstreams, Complex Case Help Center operations, IT systems maintenance and operations, and telephone/correspondence support — so the staffing model reflects where operational demand, technical dependency, and service risk are concentrated.</w:t>
      </w:r>
    </w:p>
    <w:p w14:paraId="11CF1080" w14:textId="77777777" w:rsidR="00BE2520" w:rsidRPr="00BE2520" w:rsidRDefault="00BE2520" w:rsidP="00FB51CD">
      <w:pPr>
        <w:pStyle w:val="Bulletlevel1"/>
      </w:pPr>
      <w:r w:rsidRPr="00FB51CD">
        <w:rPr>
          <w:rStyle w:val="CharacterBold"/>
        </w:rPr>
        <w:t>Structure</w:t>
      </w:r>
      <w:r w:rsidRPr="00BE2520">
        <w:t xml:space="preserve"> the workforce to reflect that ER&amp;R is a multi-system operating environment, not a single-system support model, and therefore requires coordinated staffing across case management, contact center, data/reporting, technical support, and control/support functions to sustain continuity of operations.</w:t>
      </w:r>
    </w:p>
    <w:p w14:paraId="4FB8BA11" w14:textId="77777777" w:rsidR="00BE2520" w:rsidRPr="00BE2520" w:rsidRDefault="00BE2520" w:rsidP="00FB51CD">
      <w:pPr>
        <w:pStyle w:val="Bulletlevel1"/>
      </w:pPr>
      <w:r w:rsidRPr="00FB51CD">
        <w:rPr>
          <w:rStyle w:val="CharacterBold"/>
        </w:rPr>
        <w:t>Assign</w:t>
      </w:r>
      <w:r w:rsidRPr="00BE2520">
        <w:t xml:space="preserve"> staff by </w:t>
      </w:r>
      <w:r w:rsidRPr="00FB51CD">
        <w:rPr>
          <w:rStyle w:val="CharacterBold"/>
        </w:rPr>
        <w:t>function, complexity, operational demand, and lifecycle phase</w:t>
      </w:r>
      <w:r w:rsidRPr="00BE2520">
        <w:t xml:space="preserve"> so personnel are matched to the actual requirements of the work rather than allocated through a flat staffing model; support this approach through recruitment of personnel with the appropriate skills and competencies, retention and continuity practices that sustain workforce stability, role-based assignment, clearly defined responsibilities and allocations, and resource estimation based on workload, complexity, service levels, seasonality, supervision needs, and technical support requirements.</w:t>
      </w:r>
    </w:p>
    <w:p w14:paraId="7CC70786" w14:textId="77777777" w:rsidR="00BE2520" w:rsidRPr="00BE2520" w:rsidRDefault="00BE2520" w:rsidP="00FB51CD">
      <w:pPr>
        <w:pStyle w:val="Bulletlevel1"/>
      </w:pPr>
      <w:r w:rsidRPr="00FB51CD">
        <w:rPr>
          <w:rStyle w:val="CharacterBold"/>
        </w:rPr>
        <w:t>Apply a phase-based staffing model</w:t>
      </w:r>
      <w:r w:rsidRPr="00BE2520">
        <w:t xml:space="preserve"> across transition-in, steady-state operations, peak periods, and transition-out, with transition-in focused on knowledge transfer, documentation review, access setup, incumbent coordination, technical discovery, readiness activities, interface and support validation, repository review, and stabilization support; steady-state focused on workload responsiveness, service continuity, quality, performance management, and controlled enhancement support; and transition-out focused on orderly turnover, documentation capture, continuity preservation, and knowledge transfer.</w:t>
      </w:r>
    </w:p>
    <w:p w14:paraId="7A78885A" w14:textId="77777777" w:rsidR="00BE2520" w:rsidRPr="00BE2520" w:rsidRDefault="00BE2520" w:rsidP="00FB51CD">
      <w:pPr>
        <w:pStyle w:val="Bulletlevel1"/>
      </w:pPr>
      <w:r w:rsidRPr="00FB51CD">
        <w:rPr>
          <w:rStyle w:val="CharacterBold"/>
        </w:rPr>
        <w:t>Use</w:t>
      </w:r>
      <w:r w:rsidRPr="00BE2520">
        <w:t xml:space="preserve"> a labor mix that includes senior staff, leads, SMEs, and operational personnel so complex cases, escalated issues, quality reviews, technical support needs, and high-risk or control-sensitive activities receive the appropriate level of oversight and human review.</w:t>
      </w:r>
    </w:p>
    <w:p w14:paraId="7D13DB74" w14:textId="77777777" w:rsidR="00BE2520" w:rsidRPr="00BE2520" w:rsidRDefault="00BE2520" w:rsidP="00FB51CD">
      <w:pPr>
        <w:pStyle w:val="Bulletlevel1"/>
      </w:pPr>
      <w:r w:rsidRPr="00FB51CD">
        <w:rPr>
          <w:rStyle w:val="CharacterBold"/>
        </w:rPr>
        <w:t>Operate</w:t>
      </w:r>
      <w:r w:rsidRPr="00BE2520">
        <w:t xml:space="preserve"> prime and subcontractor personnel as one integrated delivery workforce with defined workshare and responsibilities while maintaining Deloitte accountability for leadership, governance, integration, and performance.</w:t>
      </w:r>
    </w:p>
    <w:p w14:paraId="7DD6ED98" w14:textId="77777777" w:rsidR="00BE2520" w:rsidRPr="00BE2520" w:rsidRDefault="00BE2520" w:rsidP="00FB51CD">
      <w:pPr>
        <w:pStyle w:val="Bulletlevel1"/>
      </w:pPr>
      <w:r w:rsidRPr="00FB51CD">
        <w:rPr>
          <w:rStyle w:val="CharacterBold"/>
        </w:rPr>
        <w:t>Staff</w:t>
      </w:r>
      <w:r w:rsidRPr="00BE2520">
        <w:rPr>
          <w:b/>
          <w:bCs/>
        </w:rPr>
        <w:t xml:space="preserve"> </w:t>
      </w:r>
      <w:r w:rsidRPr="00BE2520">
        <w:t>Year 1 to support stability, service continuity, and full operational coverage across the in-scope systems and support functions rather than immediate staffing reductions, then deliver later-year efficiencies through process improvement, tooling, automation, and streamlined support practices after the operating baseline is established and performance is stabilized.</w:t>
      </w:r>
    </w:p>
    <w:p w14:paraId="3953BD36" w14:textId="75C7D238" w:rsidR="0071582C" w:rsidRDefault="00BE2520" w:rsidP="00FB51CD">
      <w:pPr>
        <w:pStyle w:val="Bulletlevel1"/>
      </w:pPr>
      <w:r w:rsidRPr="00FB51CD">
        <w:rPr>
          <w:rStyle w:val="CharacterBold"/>
        </w:rPr>
        <w:t>Maintain</w:t>
      </w:r>
      <w:r w:rsidRPr="00BE2520">
        <w:t xml:space="preserve"> a clear distinction between business-operations staffing and service-desk / technical-user support staffing so internal system-user support is not blended into front-line dispute-resolution staffing; service-desk resources will support internal users of the ER&amp;R applications and reporting environment — including caseworkers, agents, supervisors, and other operational users — and will operate with their own staffing model, skill mix, and escalation paths.</w:t>
      </w:r>
    </w:p>
    <w:p w14:paraId="63ABC5AC" w14:textId="63380A3E" w:rsidR="00760C47" w:rsidRPr="00760C47" w:rsidRDefault="00760C47" w:rsidP="0071582C">
      <w:pPr>
        <w:pStyle w:val="BodyText"/>
        <w:rPr>
          <w:b/>
          <w:color w:val="00B0F0"/>
        </w:rPr>
      </w:pPr>
      <w:r w:rsidRPr="00760C47">
        <w:rPr>
          <w:b/>
          <w:color w:val="00B0F0"/>
        </w:rPr>
        <w:t xml:space="preserve">Description of </w:t>
      </w:r>
      <w:r>
        <w:rPr>
          <w:b/>
          <w:color w:val="00B0F0"/>
        </w:rPr>
        <w:t xml:space="preserve">Available </w:t>
      </w:r>
      <w:r w:rsidRPr="00760C47">
        <w:rPr>
          <w:b/>
          <w:color w:val="00B0F0"/>
        </w:rPr>
        <w:t xml:space="preserve">Resources </w:t>
      </w:r>
      <w:r w:rsidR="00445B8E">
        <w:rPr>
          <w:b/>
          <w:color w:val="00B0F0"/>
        </w:rPr>
        <w:t xml:space="preserve">and Labor Hours </w:t>
      </w:r>
    </w:p>
    <w:p w14:paraId="4726D53E" w14:textId="4F30DE0F" w:rsidR="006404D2" w:rsidRPr="006A1D56" w:rsidRDefault="006A1D56" w:rsidP="00FB51CD">
      <w:pPr>
        <w:pStyle w:val="BodyTextBulletIntro"/>
      </w:pPr>
      <w:r w:rsidRPr="00FB51CD">
        <w:rPr>
          <w:rStyle w:val="CharacterBold"/>
        </w:rPr>
        <w:t>Understanding:</w:t>
      </w:r>
      <w:commentRangeStart w:id="115"/>
      <w:r w:rsidRPr="006A1D56">
        <w:t xml:space="preserve"> CMS is asking Offerors to describe the available resources and labor hours that will support performance of the ER&amp;R scope. The Staffing Plan must show the breadth of labor categories and resource groupings supporting the work, while the final staffing plan and labor mix provide the detailed allocation of labor categories, labor hours, and task/subtask support.</w:t>
      </w:r>
      <w:commentRangeEnd w:id="115"/>
      <w:r w:rsidRPr="006A1D56">
        <w:rPr>
          <w:rStyle w:val="CommentReference"/>
          <w:sz w:val="24"/>
          <w:szCs w:val="22"/>
        </w:rPr>
        <w:commentReference w:id="115"/>
      </w:r>
    </w:p>
    <w:p w14:paraId="70FF0735" w14:textId="77777777" w:rsidR="006A1D56" w:rsidRPr="006A1D56" w:rsidRDefault="006A1D56" w:rsidP="00FB51CD">
      <w:pPr>
        <w:pStyle w:val="Bulletlevel1"/>
      </w:pPr>
      <w:commentRangeStart w:id="116"/>
      <w:r w:rsidRPr="00FB51CD">
        <w:rPr>
          <w:rStyle w:val="CharacterBold"/>
        </w:rPr>
        <w:t>Provide</w:t>
      </w:r>
      <w:r w:rsidRPr="006A1D56">
        <w:t xml:space="preserve"> resources across the labor categories needed to perform the ER&amp;R scope, including project leadership and program-control personnel, case analysts and caseworkers, call center personnel, </w:t>
      </w:r>
      <w:r w:rsidRPr="006A1D56">
        <w:lastRenderedPageBreak/>
        <w:t>technical staff, service desk / user support personnel, reporting and analytics personnel, quality assurance resources, training and knowledge-management support, and subject matter experts aligned to enrollment, Form 1095-A, reconciliation, complex case handling, policy/notice-sensitive workflows, and program integrity.</w:t>
      </w:r>
    </w:p>
    <w:p w14:paraId="02C4654F" w14:textId="6F259BFE" w:rsidR="006A1D56" w:rsidRPr="006A1D56" w:rsidRDefault="006A1D56" w:rsidP="00FB51CD">
      <w:pPr>
        <w:pStyle w:val="Bulletlevel1"/>
      </w:pPr>
      <w:r w:rsidRPr="00FB51CD">
        <w:rPr>
          <w:rStyle w:val="CharacterBold"/>
        </w:rPr>
        <w:t>Use</w:t>
      </w:r>
      <w:r w:rsidRPr="006A1D56">
        <w:t xml:space="preserve"> the narrative staffing model to show how resources are aligned across the major delivery towers and task </w:t>
      </w:r>
      <w:r w:rsidR="00771B54" w:rsidRPr="006A1D56">
        <w:t>areas and</w:t>
      </w:r>
      <w:r w:rsidRPr="006A1D56">
        <w:t xml:space="preserve"> </w:t>
      </w:r>
      <w:r w:rsidRPr="00FB51CD">
        <w:rPr>
          <w:rStyle w:val="CharacterBold"/>
        </w:rPr>
        <w:t>reflect</w:t>
      </w:r>
      <w:r w:rsidRPr="006A1D56">
        <w:t xml:space="preserve"> the detailed level-of-effort allocations in the final Staffing Plan and labor mix.</w:t>
      </w:r>
    </w:p>
    <w:p w14:paraId="436F2E4A" w14:textId="77777777" w:rsidR="006A1D56" w:rsidRPr="006A1D56" w:rsidRDefault="006A1D56" w:rsidP="00FB51CD">
      <w:pPr>
        <w:pStyle w:val="Bulletlevel1"/>
      </w:pPr>
      <w:r w:rsidRPr="00FB51CD">
        <w:rPr>
          <w:rStyle w:val="CharacterBold"/>
        </w:rPr>
        <w:t>Identify</w:t>
      </w:r>
      <w:r w:rsidRPr="006A1D56">
        <w:t xml:space="preserve"> in the final Staffing Plan whether proposed resources are </w:t>
      </w:r>
      <w:r w:rsidRPr="00FB51CD">
        <w:rPr>
          <w:rStyle w:val="CharacterBold"/>
        </w:rPr>
        <w:t>currently on staff</w:t>
      </w:r>
      <w:r w:rsidRPr="006A1D56">
        <w:t xml:space="preserve">, proposed under the </w:t>
      </w:r>
      <w:r w:rsidRPr="00FB51CD">
        <w:rPr>
          <w:rStyle w:val="CharacterBold"/>
        </w:rPr>
        <w:t>prime</w:t>
      </w:r>
      <w:r w:rsidRPr="006A1D56">
        <w:t xml:space="preserve">, or proposed under </w:t>
      </w:r>
      <w:r w:rsidRPr="00FB51CD">
        <w:rPr>
          <w:rStyle w:val="CharacterBold"/>
        </w:rPr>
        <w:t>subcontractors</w:t>
      </w:r>
      <w:r w:rsidRPr="006A1D56">
        <w:t xml:space="preserve">, and </w:t>
      </w:r>
      <w:r w:rsidRPr="00FB51CD">
        <w:rPr>
          <w:rStyle w:val="CharacterBold"/>
        </w:rPr>
        <w:t>describe</w:t>
      </w:r>
      <w:r w:rsidRPr="006A1D56">
        <w:t xml:space="preserve"> how each resource grouping is utilized across business operations, contact center support, technical support, reporting and analytics, quality assurance, program controls, and SME support.</w:t>
      </w:r>
    </w:p>
    <w:p w14:paraId="1B4F9545" w14:textId="77777777" w:rsidR="006A1D56" w:rsidRPr="006A1D56" w:rsidRDefault="006A1D56" w:rsidP="00FB51CD">
      <w:pPr>
        <w:pStyle w:val="Bulletlevel1"/>
      </w:pPr>
      <w:r w:rsidRPr="00FB51CD">
        <w:rPr>
          <w:rStyle w:val="CharacterBold"/>
        </w:rPr>
        <w:t>Provide</w:t>
      </w:r>
      <w:r w:rsidRPr="006A1D56">
        <w:t xml:space="preserve"> a </w:t>
      </w:r>
      <w:r w:rsidRPr="00FB51CD">
        <w:rPr>
          <w:rStyle w:val="CharacterBold"/>
        </w:rPr>
        <w:t>final labor-hours matrix by labor category and task/subtask</w:t>
      </w:r>
      <w:r w:rsidRPr="006A1D56">
        <w:t xml:space="preserve"> showing labor mix by task/subtask, availability of senior, junior, and SME resources, and distribution of work between prime and subcontractor personnel.</w:t>
      </w:r>
    </w:p>
    <w:p w14:paraId="2AAED0E2" w14:textId="77777777" w:rsidR="007D1972" w:rsidRDefault="006A1D56" w:rsidP="00FB51CD">
      <w:pPr>
        <w:pStyle w:val="Bulletlevel1"/>
      </w:pPr>
      <w:r w:rsidRPr="00FB51CD">
        <w:rPr>
          <w:rStyle w:val="CharacterBold"/>
        </w:rPr>
        <w:t>Integrate</w:t>
      </w:r>
      <w:r w:rsidRPr="006A1D56">
        <w:t xml:space="preserve"> subcontractor capabilities in targeted areas that strengthen delivery across specialized functions</w:t>
      </w:r>
      <w:r w:rsidR="00253D58">
        <w:t>, including technology support</w:t>
      </w:r>
      <w:r w:rsidR="007D5703">
        <w:t>, FORM 1095-A and reconciliation workflows, data architecture and systems integration, and special projects/architecture advisory support, while maintaining Deloitte</w:t>
      </w:r>
      <w:r w:rsidR="007D1972">
        <w:t xml:space="preserve"> accountability for leadership, governance, integration, and performance.</w:t>
      </w:r>
    </w:p>
    <w:p w14:paraId="3BD820E7" w14:textId="77777777" w:rsidR="006A1D56" w:rsidRPr="006A1D56" w:rsidRDefault="006A1D56" w:rsidP="00FB51CD">
      <w:pPr>
        <w:pStyle w:val="Bulletlevel1"/>
      </w:pPr>
      <w:r w:rsidRPr="00FB51CD">
        <w:rPr>
          <w:rStyle w:val="CharacterBold"/>
        </w:rPr>
        <w:t>Align</w:t>
      </w:r>
      <w:r w:rsidRPr="006A1D56">
        <w:t xml:space="preserve"> the technical labor mix to the actual ER&amp;R systems landscape and support footprint, including </w:t>
      </w:r>
      <w:r w:rsidRPr="00FB51CD">
        <w:rPr>
          <w:rStyle w:val="CharacterBold"/>
        </w:rPr>
        <w:t>Microsoft Dynamics /.NET support, infrastructure and monitoring support, application support, service desk / user support, release and enhancement support, security/compliance support, and data/reporting support</w:t>
      </w:r>
      <w:r w:rsidRPr="006A1D56">
        <w:t>, so the proposed workforce is aligned not only to the business scope of ER&amp;R, but also to the technical stack, tools, interfaces, repositories, and multi-system support environment required to sustain service.</w:t>
      </w:r>
    </w:p>
    <w:p w14:paraId="4379347F" w14:textId="07014F12" w:rsidR="00760C47" w:rsidRDefault="006A1D56" w:rsidP="00FB51CD">
      <w:pPr>
        <w:pStyle w:val="Bulletlevel1"/>
      </w:pPr>
      <w:r w:rsidRPr="00FB51CD">
        <w:rPr>
          <w:rStyle w:val="CharacterBold"/>
        </w:rPr>
        <w:t>Present</w:t>
      </w:r>
      <w:r w:rsidRPr="006A1D56">
        <w:t xml:space="preserve"> enhancement-related support as a </w:t>
      </w:r>
      <w:r w:rsidRPr="00FB51CD">
        <w:rPr>
          <w:rStyle w:val="CharacterBold"/>
        </w:rPr>
        <w:t>managed delivery capacity</w:t>
      </w:r>
      <w:r w:rsidRPr="006A1D56">
        <w:t xml:space="preserve"> aligned to backlog management, prioritization, and sprint-based execution needs so CMS has a flexible and credible model for enhancement delivery while stable operations are preserved across the core environment.</w:t>
      </w:r>
      <w:commentRangeEnd w:id="116"/>
      <w:r>
        <w:rPr>
          <w:rStyle w:val="CommentReference"/>
          <w:sz w:val="24"/>
          <w:szCs w:val="22"/>
        </w:rPr>
        <w:commentReference w:id="116"/>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BulletIntro"/>
      </w:pPr>
      <w:r w:rsidRPr="00FB51CD">
        <w:rPr>
          <w:rStyle w:val="CharacterBold"/>
        </w:rPr>
        <w:t>Understanding:</w:t>
      </w:r>
      <w:r w:rsidRPr="007840F7">
        <w:t xml:space="preserve"> ER&amp;R workload is not static. CMS requires a staffing model that can respond to seasonal peaks, surges in operational demand, escalations, and other events without compromising continuity, quality, or compliance</w:t>
      </w:r>
      <w:commentRangeStart w:id="119"/>
      <w:r w:rsidRPr="007840F7">
        <w:t>.</w:t>
      </w:r>
      <w:commentRangeEnd w:id="119"/>
      <w:r w:rsidRPr="007840F7">
        <w:rPr>
          <w:rStyle w:val="CommentReference"/>
          <w:sz w:val="24"/>
          <w:szCs w:val="22"/>
        </w:rPr>
        <w:commentReference w:id="119"/>
      </w:r>
    </w:p>
    <w:p w14:paraId="5BB1134A" w14:textId="77777777" w:rsidR="007840F7" w:rsidRPr="007840F7" w:rsidRDefault="007840F7" w:rsidP="00FB51CD">
      <w:pPr>
        <w:pStyle w:val="Bulletlevel1"/>
      </w:pPr>
      <w:r w:rsidRPr="00FB51CD">
        <w:rPr>
          <w:rStyle w:val="CharacterBold"/>
        </w:rPr>
        <w:t>Maintain</w:t>
      </w:r>
      <w:r w:rsidRPr="007840F7">
        <w:t xml:space="preserve"> visible </w:t>
      </w:r>
      <w:r w:rsidRPr="00FB51CD">
        <w:rPr>
          <w:rStyle w:val="CharacterBold"/>
        </w:rPr>
        <w:t>surge and flex capacity</w:t>
      </w:r>
      <w:r w:rsidRPr="007840F7">
        <w:t xml:space="preserve"> to support peak operational periods, including heightened demand associated with </w:t>
      </w:r>
      <w:r w:rsidRPr="00FB51CD">
        <w:rPr>
          <w:rStyle w:val="CharacterBold"/>
        </w:rPr>
        <w:t>Form 1095-A support during January through May</w:t>
      </w:r>
      <w:r w:rsidRPr="007840F7">
        <w:t xml:space="preserve"> and other workload spikes driven by seasonal activity, escalations, operational events, incident response, or release activity.</w:t>
      </w:r>
    </w:p>
    <w:p w14:paraId="333DF3F9" w14:textId="77777777" w:rsidR="007840F7" w:rsidRPr="007840F7" w:rsidRDefault="007840F7" w:rsidP="00FB51CD">
      <w:pPr>
        <w:pStyle w:val="Bulletlevel1"/>
      </w:pPr>
      <w:r w:rsidRPr="00FB51CD">
        <w:rPr>
          <w:rStyle w:val="CharacterBold"/>
        </w:rPr>
        <w:t>Recognize</w:t>
      </w:r>
      <w:r w:rsidRPr="007840F7">
        <w:t xml:space="preserve"> that several ER&amp;R workstreams are inherently seasonal or volume-sensitive — including Form 1095-A disputes, Complex Case Help Center support, and telephone/correspondence support — and </w:t>
      </w:r>
      <w:r w:rsidRPr="00FB51CD">
        <w:rPr>
          <w:rStyle w:val="CharacterBold"/>
        </w:rPr>
        <w:t>apply</w:t>
      </w:r>
      <w:r w:rsidRPr="007840F7">
        <w:t xml:space="preserve"> a controlled surge approach that flexes staffing in response while maintaining quality, technical compliance, and continuity of service.</w:t>
      </w:r>
    </w:p>
    <w:p w14:paraId="6AC5551F" w14:textId="77777777" w:rsidR="007840F7" w:rsidRPr="007840F7" w:rsidRDefault="007840F7" w:rsidP="00FB51CD">
      <w:pPr>
        <w:pStyle w:val="Bulletlevel1"/>
      </w:pPr>
      <w:r w:rsidRPr="00FB51CD">
        <w:rPr>
          <w:rStyle w:val="CharacterBold"/>
        </w:rPr>
        <w:t>Differentiate</w:t>
      </w:r>
      <w:r w:rsidRPr="007840F7">
        <w:t xml:space="preserve"> surge support between </w:t>
      </w:r>
      <w:r w:rsidRPr="00FB51CD">
        <w:rPr>
          <w:rStyle w:val="CharacterBold"/>
        </w:rPr>
        <w:t>casework surge</w:t>
      </w:r>
      <w:r w:rsidRPr="007840F7">
        <w:t xml:space="preserve">, focused on queue balancing, backlog management, triage support, escalation coverage, and higher-complexity workload absorption, and </w:t>
      </w:r>
      <w:r w:rsidRPr="00FB51CD">
        <w:rPr>
          <w:rStyle w:val="CharacterBold"/>
        </w:rPr>
        <w:t>contact center surge</w:t>
      </w:r>
      <w:r w:rsidRPr="007840F7">
        <w:t>, focused on staffing coverage, supervisor support, workforce planning, and operational monitoring.</w:t>
      </w:r>
    </w:p>
    <w:p w14:paraId="2F5F72E9" w14:textId="77777777" w:rsidR="007840F7" w:rsidRPr="007840F7" w:rsidRDefault="007840F7" w:rsidP="00FB51CD">
      <w:pPr>
        <w:pStyle w:val="Bulletlevel1"/>
      </w:pPr>
      <w:r w:rsidRPr="00FB51CD">
        <w:rPr>
          <w:rStyle w:val="CharacterBold"/>
        </w:rPr>
        <w:t>Support</w:t>
      </w:r>
      <w:r w:rsidRPr="007840F7">
        <w:t xml:space="preserve"> surge personnel with appropriate subject matter expertise, training and SOP guidance, supervision and quality oversight, role-based access controls, and compliance with applicable technical </w:t>
      </w:r>
      <w:r w:rsidRPr="007840F7">
        <w:lastRenderedPageBreak/>
        <w:t xml:space="preserve">procedures and security requirements, and </w:t>
      </w:r>
      <w:r w:rsidRPr="00FB51CD">
        <w:rPr>
          <w:rStyle w:val="CharacterBold"/>
        </w:rPr>
        <w:t>reflect</w:t>
      </w:r>
      <w:r w:rsidRPr="007840F7">
        <w:t xml:space="preserve"> final surge staffing levels and labor allocations in the final Staffing Plan and labor mix.</w:t>
      </w:r>
    </w:p>
    <w:p w14:paraId="526F6C28" w14:textId="5CB0C3A3" w:rsidR="0071582C" w:rsidRPr="0071582C" w:rsidRDefault="007840F7" w:rsidP="00FB51CD">
      <w:pPr>
        <w:pStyle w:val="Bulletlevel1"/>
      </w:pPr>
      <w:r w:rsidRPr="00FB51CD">
        <w:rPr>
          <w:rStyle w:val="CharacterBold"/>
        </w:rPr>
        <w:t>Maintain</w:t>
      </w:r>
      <w:r w:rsidRPr="007840F7">
        <w:t xml:space="preserve"> the ability to flex </w:t>
      </w:r>
      <w:r w:rsidRPr="00FB51CD">
        <w:rPr>
          <w:rStyle w:val="CharacterBold"/>
        </w:rPr>
        <w:t>technical support</w:t>
      </w:r>
      <w:r w:rsidRPr="007840F7">
        <w:t xml:space="preserve"> where needed to preserve continuity of operations during periods of elevated demand, release activity, incident response, or other operational events affecting the in-scope systems, including scalable support across service desk, application support, monitoring, and security-related functions so higher technical demand does not compromise business operations, casework throughput, or contact center performance.</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w:t>
      </w:r>
      <w:r>
        <w:t xml:space="preserve"> Deloitte maintains a pipeline of CMS-experienced professionals for each key position. At least one qualified backup candidate has been identified in advance for each key role [ADD DETAIL ON BENCH DEPTH].</w:t>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w:t>
      </w:r>
      <w:r>
        <w:t xml:space="preserve"> Where advance notice is available, Deloitte ensures a minimum [X]-day co-performance period so outgoing and incoming personnel work in parallel, preserving operational continuity and institutional knowledge.</w:t>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571812AC" w14:textId="77777777" w:rsidR="006557D6" w:rsidRPr="00245804" w:rsidRDefault="006557D6" w:rsidP="006557D6">
      <w:pPr>
        <w:pStyle w:val="BodyText"/>
        <w:ind w:left="80"/>
      </w:pPr>
      <w:r>
        <w:t>[Placeholder for LCAT/OY/Task table]</w:t>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 xml:space="preserve">We understand why change feels risky. </w:t>
      </w:r>
      <w:commentRangeStart w:id="128"/>
      <w:r w:rsidRPr="00802C4A">
        <w:t>Transition issues, delayed eligibility determinations, or call center disruptions can mean consumers can't get answers about their health coverage, benefits, or enrollment status.</w:t>
      </w:r>
      <w:commentRangeEnd w:id="128"/>
      <w:r w:rsidR="00C52560" w:rsidRPr="00802C4A">
        <w:rPr>
          <w:rStyle w:val="CommentReference"/>
          <w:sz w:val="24"/>
          <w:szCs w:val="22"/>
        </w:rPr>
        <w:commentReference w:id="128"/>
      </w:r>
      <w:r w:rsidRPr="00802C4A">
        <w:t xml:space="preserve"> Legislative and public scrutiny leaves no margin for disruption. But continuity and change are not mutually exclusive. Team Deloitte has the experience, methodology, and proven track record to make change invisible to the consumer, protecting consume</w:t>
      </w:r>
      <w:r w:rsidR="00225D53">
        <w:t>r</w:t>
      </w:r>
      <w:r w:rsidRPr="00802C4A">
        <w:t xml:space="preserve"> experience while modernizing the systems underneath it.</w:t>
      </w:r>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w:t>
      </w:r>
      <w:commentRangeStart w:id="130"/>
      <w:r w:rsidRPr="00802C4A">
        <w:t xml:space="preserve">Team Deloitte has successfully transitioned 40+ large, </w:t>
      </w:r>
      <w:commentRangeEnd w:id="130"/>
      <w:r w:rsidR="001F05BC" w:rsidRPr="00802C4A">
        <w:rPr>
          <w:rStyle w:val="CommentReference"/>
          <w:sz w:val="24"/>
          <w:szCs w:val="22"/>
        </w:rPr>
        <w:commentReference w:id="130"/>
      </w:r>
      <w:r w:rsidRPr="00802C4A">
        <w:t xml:space="preserve">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p w14:paraId="4F055347" w14:textId="77777777" w:rsidR="002648AB" w:rsidRDefault="004F57A3" w:rsidP="004F57A3">
      <w:pPr>
        <w:pStyle w:val="Heading1"/>
      </w:pPr>
      <w:bookmarkStart w:id="147" w:name="_Toc227883205"/>
      <w:r>
        <w:t>1.0</w:t>
      </w:r>
      <w:r>
        <w:tab/>
        <w:t>Heading 1 Style example</w:t>
      </w:r>
      <w:bookmarkEnd w:id="147"/>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5C3D4863" w14:textId="77777777" w:rsidR="002648AB" w:rsidRDefault="004F57A3" w:rsidP="00775B30">
      <w:pPr>
        <w:pStyle w:val="Heading2"/>
      </w:pPr>
      <w:bookmarkStart w:id="148" w:name="_Toc227883206"/>
      <w:r>
        <w:t>1.1</w:t>
      </w:r>
      <w:r>
        <w:tab/>
        <w:t>Heading 2</w:t>
      </w:r>
      <w:bookmarkEnd w:id="148"/>
    </w:p>
    <w:p w14:paraId="360EEE5C" w14:textId="77777777" w:rsidR="002648AB" w:rsidRDefault="004F57A3" w:rsidP="004F57A3">
      <w:pPr>
        <w:pStyle w:val="Heading3"/>
      </w:pPr>
      <w:bookmarkStart w:id="149" w:name="_Toc227883207"/>
      <w:r>
        <w:t>1.1.1</w:t>
      </w:r>
      <w:r>
        <w:tab/>
        <w:t>Heading 3</w:t>
      </w:r>
      <w:bookmarkEnd w:id="149"/>
    </w:p>
    <w:p w14:paraId="75DB0494" w14:textId="77777777" w:rsidR="004F57A3" w:rsidRDefault="004F57A3" w:rsidP="004F57A3">
      <w:pPr>
        <w:pStyle w:val="Heading4"/>
      </w:pPr>
      <w:r>
        <w:t>1.1.1.1</w:t>
      </w:r>
      <w:r>
        <w:tab/>
        <w:t>Heading 4</w:t>
      </w:r>
    </w:p>
    <w:p w14:paraId="6E4B94B4" w14:textId="77777777" w:rsidR="004B4FB0" w:rsidRDefault="004B4FB0" w:rsidP="004B4FB0">
      <w:pPr>
        <w:pStyle w:val="Heading5"/>
      </w:pPr>
      <w:r>
        <w:t>1.1.1.1.1</w:t>
      </w:r>
      <w:r>
        <w:tab/>
        <w:t>Heading 5</w:t>
      </w:r>
    </w:p>
    <w:p w14:paraId="6494AFCE" w14:textId="77777777" w:rsidR="004B4FB0" w:rsidRDefault="004B4FB0" w:rsidP="00001E2A">
      <w:pPr>
        <w:pStyle w:val="Heading6"/>
      </w:pPr>
      <w:r>
        <w:t>1.1.1.1.1.1</w:t>
      </w:r>
      <w:r>
        <w:tab/>
        <w:t>Heading 6</w:t>
      </w:r>
    </w:p>
    <w:p w14:paraId="28BBDB4F" w14:textId="77777777" w:rsidR="004B4FB0" w:rsidRDefault="004B4FB0" w:rsidP="00001E2A">
      <w:pPr>
        <w:pStyle w:val="Heading7"/>
      </w:pPr>
      <w:r>
        <w:t>1.1.1.1.1.1.1</w:t>
      </w:r>
      <w:r>
        <w:tab/>
        <w:t>Heading 7</w:t>
      </w:r>
    </w:p>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w:t>
      </w:r>
      <w:r w:rsidRPr="00374D6C">
        <w:t xml:space="preserve"> </w:t>
      </w:r>
      <w:r>
        <w:t>X.X-X</w:t>
      </w:r>
      <w:r w:rsidRPr="00374D6C">
        <w:t xml:space="preserve">. Provide Title. </w:t>
      </w:r>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