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51B0E" w14:paraId="2B01EF70" w14:textId="77777777" w:rsidTr="000C5214">
        <w:tc>
          <w:tcPr>
            <w:tcW w:w="5000" w:type="pct"/>
          </w:tcPr>
          <w:p w14:paraId="2D803870" w14:textId="77777777" w:rsidR="00C51B0E" w:rsidRDefault="00C4149E" w:rsidP="007C1C7D">
            <w:pPr>
              <w:pStyle w:val="BodyText"/>
              <w:jc w:val="center"/>
            </w:pPr>
            <w:r>
              <w:rPr>
                <w:noProof/>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044B71DC" w14:textId="6CCC49F9" w:rsidR="002A3437" w:rsidRPr="006733C8" w:rsidRDefault="0023659D" w:rsidP="002A3437">
      <w:pPr>
        <w:pStyle w:val="CoverTitle"/>
      </w:pPr>
      <w:fldSimple w:instr="FILLIN  &quot;Agency of the Federal Government Title&quot;  \* MERGEFORMAT">
        <w:r>
          <w:t>Centers for Medicare &amp; Medicaid Services (CMS)</w:t>
        </w:r>
      </w:fldSimple>
    </w:p>
    <w:p w14:paraId="5D5BB40D" w14:textId="7B451301"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22173A3B"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7021A54C" w14:textId="549E278F" w:rsidR="002A3437" w:rsidRPr="00C7269A" w:rsidRDefault="002A3437" w:rsidP="002A3437">
      <w:pPr>
        <w:pStyle w:val="CoverRFPNumber"/>
      </w:pPr>
      <w:r>
        <w:rPr>
          <w:noProof/>
        </w:rPr>
        <w:t>Request for Quote (RFQ): 75FCMC26Q0068</w:t>
      </w:r>
      <w:r w:rsidRPr="00C7269A"/>
      <w:r w:rsidR="00C32A3C"/>
      <w:r w:rsidRPr="00C7269A"/>
      <w:r w:rsidR="00C32A3C"/>
      <w:r w:rsidRPr="00C7269A"/>
      <w:fldSimple w:instr="FILLIN  &quot;RFP/RFQ/RFI #&quot;  \* MERGEFORMAT">
        <w:r w:rsidR="0023659D">
          <w:t>75FCMC26Q0068</w:t>
        </w:r>
      </w:fldSimple>
    </w:p>
    <w:p w14:paraId="55CF59D5" w14:textId="72FD15EB" w:rsidR="002A3437" w:rsidRDefault="0023659D" w:rsidP="002A3437">
      <w:pPr>
        <w:pStyle w:val="CoverDate"/>
      </w:pPr>
      <w:fldSimple w:instr="FILLIN  &quot;Submission due date&quot;  \* MERGEFORMAT">
        <w:r>
          <w:t>May 07, 2026</w:t>
        </w:r>
      </w:fldSimple>
    </w:p>
    <w:p w14:paraId="0EB618B9" w14:textId="77777777" w:rsidR="002A3437" w:rsidRPr="00744B4B" w:rsidRDefault="002A3437" w:rsidP="002A3437">
      <w:pPr>
        <w:pStyle w:val="CoverText"/>
        <w:rPr>
          <w:b/>
        </w:rPr>
      </w:pPr>
      <w:r w:rsidRPr="00744B4B">
        <w:rPr>
          <w:b/>
        </w:rPr>
        <w:t>Submitted By:</w:t>
      </w:r>
    </w:p>
    <w:p w14:paraId="7ADF2A99" w14:textId="77A828A6" w:rsidR="002A3437" w:rsidRPr="007D635A" w:rsidRDefault="002A3437" w:rsidP="002A3437">
      <w:pPr>
        <w:pStyle w:val="CoverText"/>
      </w:pPr>
      <w:r w:rsidRPr="00390AB5">
        <w:rPr>
          <w:rStyle w:val="CoverFSSEntityName"/>
          <w:szCs w:val="24"/>
        </w:rPr>
        <w:fldChar w:fldCharType="begin"/>
      </w:r>
      <w:r w:rsidRPr="00390AB5">
        <w:rPr>
          <w:rStyle w:val="CoverFSSEntityName"/>
          <w:szCs w:val="24"/>
        </w:rPr>
        <w:instrText xml:space="preserve"> FILLIN  "FSS Entity Name"  \* MERGEFORMAT </w:instrText>
      </w:r>
      <w:r w:rsidRPr="00390AB5">
        <w:rPr>
          <w:rStyle w:val="CoverFSSEntityName"/>
          <w:szCs w:val="24"/>
        </w:rPr>
        <w:fldChar w:fldCharType="separate"/>
      </w:r>
      <w:r w:rsidR="0023659D">
        <w:rPr>
          <w:rStyle w:val="CoverFSSEntityName"/>
          <w:szCs w:val="24"/>
        </w:rPr>
        <w:t>Deloitte Consulting LLP</w:t>
      </w:r>
      <w:r w:rsidRPr="00390AB5">
        <w:rPr>
          <w:rStyle w:val="CoverFSSEntityName"/>
          <w:szCs w:val="24"/>
        </w:rPr>
        <w:fldChar w:fldCharType="end"/>
      </w:r>
      <w:r>
        <w:t xml:space="preserve"> | </w:t>
      </w:r>
      <w:r w:rsidRPr="008A42F6">
        <w:t>1919 North Lynn Street | Arlington, VA 22209</w:t>
      </w:r>
    </w:p>
    <w:p w14:paraId="5E723507" w14:textId="77777777" w:rsidR="00DB3627" w:rsidRDefault="00DB3627" w:rsidP="00DB3627">
      <w:pPr>
        <w:pStyle w:val="Cover2DeloitteAddress"/>
        <w:sectPr w:rsidR="00DB3627" w:rsidSect="000B1BCE">
          <w:headerReference w:type="default" r:id="rId13"/>
          <w:footerReference w:type="default" r:id="rId14"/>
          <w:footerReference w:type="first" r:id="rId15"/>
          <w:pgSz w:w="12240" w:h="15840" w:code="1"/>
          <w:pgMar w:top="1440" w:right="1440" w:bottom="1440" w:left="1440" w:header="720" w:footer="720" w:gutter="0"/>
          <w:cols w:space="720"/>
          <w:vAlign w:val="bottom"/>
          <w:docGrid w:linePitch="360"/>
        </w:sectPr>
      </w:pPr>
    </w:p>
    <w:p w14:paraId="5E693AB6" w14:textId="77777777" w:rsidR="00B90E6C" w:rsidRDefault="00B90E6C" w:rsidP="00E42ECE">
      <w:pPr>
        <w:pStyle w:val="Cover2Agency"/>
      </w:pPr>
    </w:p>
    <w:p w14:paraId="05FE4AE9" w14:textId="37D64BCE" w:rsidR="00744B4B" w:rsidRPr="00F022D5" w:rsidRDefault="0023659D" w:rsidP="00744B4B">
      <w:pPr>
        <w:pStyle w:val="Cover2Agency"/>
      </w:pPr>
      <w:fldSimple w:instr="STYLEREF  &quot;Cover title&quot;  \* MERGEFORMAT">
        <w:r>
          <w:rPr>
            <w:noProof/>
          </w:rPr>
          <w:t>Centers for Medicare &amp; Medicaid Services (CMS)</w:t>
        </w:r>
      </w:fldSimple>
    </w:p>
    <w:p w14:paraId="078C8A9D" w14:textId="56E76FF9"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35AE64D4" w14:textId="064F69BE" w:rsidR="00744B4B" w:rsidRPr="00F022D5" w:rsidRDefault="00C32A3C" w:rsidP="00C76534">
      <w:pPr>
        <w:pStyle w:val="Cover2RFQNumber"/>
      </w:pPr>
      <w:fldSimple w:instr="STYLEREF  &quot;Cover RFP Number&quot;  \* MERGEFORMAT">
        <w:r>
          <w:t>Request for Quote (RFQ): 75FCMC26Q0068</w:t>
        </w:r>
      </w:fldSimple>
    </w:p>
    <w:p w14:paraId="7E5EF0E7"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1B4CD098" w14:textId="7141FD4E" w:rsidR="00744B4B" w:rsidRPr="00F022D5" w:rsidRDefault="0023659D" w:rsidP="00744B4B">
      <w:pPr>
        <w:pStyle w:val="Cover2Date"/>
      </w:pPr>
      <w:fldSimple w:instr="STYLEREF  &quot;Cover date&quot;  \* MERGEFORMAT">
        <w:r>
          <w:rPr>
            <w:noProof/>
          </w:rPr>
          <w:t>May 07, 2026</w:t>
        </w:r>
      </w:fldSimple>
    </w:p>
    <w:p w14:paraId="4821781A" w14:textId="77777777" w:rsidR="00AB4D65" w:rsidRPr="00E371CA" w:rsidRDefault="00AB4D65" w:rsidP="00AB4D65">
      <w:pPr>
        <w:pStyle w:val="Cover2Presentedby"/>
        <w:rPr>
          <w:sz w:val="24"/>
        </w:rPr>
      </w:pPr>
      <w:r w:rsidRPr="00E371CA">
        <w:rPr>
          <w:sz w:val="24"/>
        </w:rPr>
        <w:t>Submitted by:</w:t>
      </w:r>
    </w:p>
    <w:p w14:paraId="733C428A" w14:textId="77777777" w:rsidR="00AB4D65" w:rsidRPr="00E371CA" w:rsidRDefault="00AB4D65" w:rsidP="00AB4D65">
      <w:pPr>
        <w:pStyle w:val="Cover2Presentedby"/>
        <w:rPr>
          <w:sz w:val="24"/>
        </w:rPr>
      </w:pPr>
    </w:p>
    <w:p w14:paraId="47094A3F" w14:textId="042BB81D" w:rsidR="00AB4D65" w:rsidRPr="00174AA8" w:rsidRDefault="00AB4D65" w:rsidP="00AB4D65">
      <w:pPr>
        <w:pStyle w:val="Cover2DeloitteAddress"/>
        <w:rPr>
          <w:szCs w:val="24"/>
        </w:rPr>
      </w:pPr>
      <w:r w:rsidRPr="00174AA8">
        <w:rPr>
          <w:rStyle w:val="CoverFSSEntityName"/>
          <w:szCs w:val="24"/>
        </w:rPr>
        <w:fldChar w:fldCharType="begin"/>
      </w:r>
      <w:r w:rsidRPr="00174AA8">
        <w:rPr>
          <w:rStyle w:val="CoverFSSEntityName"/>
          <w:szCs w:val="24"/>
        </w:rPr>
        <w:instrText xml:space="preserve"> FILLIN  "FSS Entity Name"  \* MERGEFORMAT </w:instrText>
      </w:r>
      <w:r w:rsidRPr="00174AA8">
        <w:rPr>
          <w:rStyle w:val="CoverFSSEntityName"/>
          <w:szCs w:val="24"/>
        </w:rPr>
        <w:fldChar w:fldCharType="separate"/>
      </w:r>
      <w:r w:rsidR="0023659D">
        <w:rPr>
          <w:rStyle w:val="CoverFSSEntityName"/>
          <w:szCs w:val="24"/>
        </w:rPr>
        <w:t xml:space="preserve">Deloitte Consulting LLP </w:t>
      </w:r>
      <w:r w:rsidRPr="00174AA8">
        <w:rPr>
          <w:rStyle w:val="CoverFSSEntityName"/>
          <w:szCs w:val="24"/>
        </w:rPr>
        <w:fldChar w:fldCharType="end"/>
      </w:r>
      <w:r w:rsidRPr="00174AA8">
        <w:rPr>
          <w:szCs w:val="24"/>
        </w:rPr>
        <w:t>, 1919 North Lynn Street, Arlington, VA 22209</w:t>
      </w:r>
    </w:p>
    <w:p w14:paraId="4B50C027" w14:textId="77777777" w:rsidR="00AB4D65" w:rsidRPr="00F022D5" w:rsidRDefault="00AB4D65" w:rsidP="00744B4B">
      <w:pPr>
        <w:pStyle w:val="Cover2Date"/>
      </w:pPr>
    </w:p>
    <w:p w14:paraId="6CEB28AA" w14:textId="77777777" w:rsidR="00E42ECE" w:rsidRPr="00E371CA" w:rsidRDefault="00E42ECE" w:rsidP="00E42ECE">
      <w:pPr>
        <w:pStyle w:val="Cover2Presentedby"/>
        <w:rPr>
          <w:sz w:val="24"/>
        </w:rPr>
      </w:pPr>
      <w:r w:rsidRPr="00E371CA">
        <w:rPr>
          <w:sz w:val="24"/>
        </w:rPr>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42ECE" w14:paraId="671891EC" w14:textId="77777777" w:rsidTr="0073033A">
        <w:trPr>
          <w:trHeight w:val="1809"/>
        </w:trPr>
        <w:tc>
          <w:tcPr>
            <w:tcW w:w="9350" w:type="dxa"/>
            <w:shd w:val="clear" w:color="auto" w:fill="F2F2F2" w:themeFill="background1" w:themeFillShade="F2"/>
          </w:tcPr>
          <w:p w14:paraId="1483EC9C" w14:textId="5C079CA2" w:rsidR="00E42ECE" w:rsidRDefault="00281226" w:rsidP="00037792">
            <w:pPr>
              <w:pStyle w:val="Cover2DeloitteAddress"/>
              <w:ind w:left="-105"/>
              <w:rPr>
                <w:szCs w:val="24"/>
              </w:rPr>
            </w:pPr>
            <w:r w:rsidRPr="00281226">
              <w:rPr>
                <w:szCs w:val="24"/>
              </w:rPr>
              <w:t>Amberly Kovalick</w:t>
            </w:r>
            <w:r w:rsidR="00E779D3">
              <w:rPr>
                <w:szCs w:val="24"/>
              </w:rPr>
              <w:t xml:space="preserve">, </w:t>
            </w:r>
            <w:r w:rsidR="00E779D3" w:rsidRPr="00E779D3">
              <w:rPr>
                <w:szCs w:val="24"/>
              </w:rPr>
              <w:t>Contracting Officer</w:t>
            </w:r>
          </w:p>
          <w:p w14:paraId="7FBA341C" w14:textId="38C6BF45" w:rsidR="00E779D3" w:rsidRDefault="00E779D3" w:rsidP="00037792">
            <w:pPr>
              <w:pStyle w:val="Cover2DeloitteAddress"/>
              <w:ind w:left="-105"/>
              <w:rPr>
                <w:szCs w:val="24"/>
              </w:rPr>
            </w:pPr>
            <w:r w:rsidRPr="00E65057">
              <w:rPr>
                <w:rStyle w:val="CharacterBold"/>
              </w:rPr>
              <w:t>Email:</w:t>
            </w:r>
            <w:r w:rsidRPr="00E779D3">
              <w:rPr>
                <w:szCs w:val="24"/>
              </w:rPr>
              <w:t xml:space="preserve"> Amberly.Kovalick@cms.hhs.gov.</w:t>
            </w:r>
          </w:p>
          <w:p w14:paraId="7A550B1F" w14:textId="6C73CA53" w:rsidR="00E779D3" w:rsidRDefault="00BF7FB9" w:rsidP="00037792">
            <w:pPr>
              <w:pStyle w:val="Cover2DeloitteAddress"/>
              <w:ind w:left="-105"/>
              <w:rPr>
                <w:szCs w:val="24"/>
              </w:rPr>
            </w:pPr>
            <w:r w:rsidRPr="00BF7FB9">
              <w:rPr>
                <w:szCs w:val="24"/>
              </w:rPr>
              <w:t>Megan Famodu</w:t>
            </w:r>
            <w:r>
              <w:rPr>
                <w:szCs w:val="24"/>
              </w:rPr>
              <w:t xml:space="preserve">, </w:t>
            </w:r>
            <w:r w:rsidR="00670C67" w:rsidRPr="00670C67">
              <w:rPr>
                <w:szCs w:val="24"/>
              </w:rPr>
              <w:t>Contract Specialist</w:t>
            </w:r>
          </w:p>
          <w:p w14:paraId="03247FCC" w14:textId="61378698" w:rsidR="005C6CA6" w:rsidRDefault="009E4AA8" w:rsidP="00037792">
            <w:pPr>
              <w:pStyle w:val="Cover2DeloitteAddress"/>
              <w:ind w:left="-105"/>
              <w:rPr>
                <w:szCs w:val="24"/>
              </w:rPr>
            </w:pPr>
            <w:r w:rsidRPr="00E65057">
              <w:rPr>
                <w:rStyle w:val="CharacterBold"/>
              </w:rPr>
              <w:t>Email:</w:t>
            </w:r>
            <w:r>
              <w:rPr>
                <w:szCs w:val="24"/>
              </w:rPr>
              <w:t xml:space="preserve"> </w:t>
            </w:r>
            <w:r w:rsidRPr="009E4AA8">
              <w:rPr>
                <w:szCs w:val="24"/>
              </w:rPr>
              <w:t>Megan.Famodu @cms.hhs.gov</w:t>
            </w:r>
          </w:p>
          <w:p w14:paraId="01F51C04" w14:textId="77777777" w:rsidR="009260D8" w:rsidRPr="009260D8" w:rsidRDefault="009260D8" w:rsidP="009260D8">
            <w:pPr>
              <w:pStyle w:val="Cover2DeloitteAddress"/>
              <w:ind w:left="-105"/>
              <w:rPr>
                <w:szCs w:val="24"/>
              </w:rPr>
            </w:pPr>
            <w:r w:rsidRPr="009260D8">
              <w:rPr>
                <w:szCs w:val="24"/>
              </w:rPr>
              <w:t>DIV OF MEDICARE &amp; MARKETPLACE CONTRACTS,</w:t>
            </w:r>
          </w:p>
          <w:p w14:paraId="334085AB" w14:textId="77777777" w:rsidR="009260D8" w:rsidRPr="009260D8" w:rsidRDefault="009260D8" w:rsidP="009260D8">
            <w:pPr>
              <w:pStyle w:val="Cover2DeloitteAddress"/>
              <w:ind w:left="-105"/>
              <w:rPr>
                <w:szCs w:val="24"/>
              </w:rPr>
            </w:pPr>
            <w:r w:rsidRPr="009260D8">
              <w:rPr>
                <w:szCs w:val="24"/>
              </w:rPr>
              <w:t>CMS - OAGM</w:t>
            </w:r>
          </w:p>
          <w:p w14:paraId="4D54BE26" w14:textId="77777777" w:rsidR="009260D8" w:rsidRPr="009260D8" w:rsidRDefault="009260D8" w:rsidP="009260D8">
            <w:pPr>
              <w:pStyle w:val="Cover2DeloitteAddress"/>
              <w:ind w:left="-105"/>
              <w:rPr>
                <w:szCs w:val="24"/>
              </w:rPr>
            </w:pPr>
            <w:r w:rsidRPr="009260D8">
              <w:rPr>
                <w:szCs w:val="24"/>
              </w:rPr>
              <w:t>7500 SECURITY BOULEVARD, MS: B3-30-03</w:t>
            </w:r>
          </w:p>
          <w:p w14:paraId="2418D10C" w14:textId="7379D6D8" w:rsidR="00E42ECE" w:rsidRPr="00E371CA" w:rsidRDefault="009260D8" w:rsidP="006104BE">
            <w:pPr>
              <w:pStyle w:val="Cover2DeloitteAddress"/>
              <w:ind w:left="-105"/>
              <w:rPr>
                <w:szCs w:val="24"/>
              </w:rPr>
            </w:pPr>
            <w:r w:rsidRPr="009260D8">
              <w:rPr>
                <w:szCs w:val="24"/>
              </w:rPr>
              <w:t>BALTIMORE, MD 21244-1850</w:t>
            </w:r>
          </w:p>
        </w:tc>
      </w:tr>
    </w:tbl>
    <w:p w14:paraId="34A2FF66" w14:textId="77777777" w:rsidR="00E42ECE" w:rsidRPr="00E371CA" w:rsidRDefault="00E42ECE" w:rsidP="00E371CA">
      <w:pPr>
        <w:pStyle w:val="ParagraphSpacer"/>
        <w:rPr>
          <w:szCs w:val="24"/>
        </w:rPr>
      </w:pPr>
    </w:p>
    <w:p w14:paraId="6C2CBEC6" w14:textId="77777777" w:rsidR="00E42ECE" w:rsidRPr="00E371CA" w:rsidRDefault="00E42ECE" w:rsidP="00E42ECE">
      <w:pPr>
        <w:pStyle w:val="Cover2Presentedby"/>
        <w:rPr>
          <w:sz w:val="24"/>
        </w:rPr>
      </w:pPr>
      <w:r w:rsidRPr="00E371CA">
        <w:rPr>
          <w:sz w:val="24"/>
        </w:rPr>
        <w:t>Submitted by:</w:t>
      </w:r>
    </w:p>
    <w:tbl>
      <w:tblPr>
        <w:tblW w:w="0" w:type="auto"/>
        <w:tblBorders>
          <w:top w:val="single" w:sz="4" w:space="0" w:color="007CB0" w:themeColor="accent6"/>
        </w:tblBorders>
        <w:tblCellMar>
          <w:top w:w="216" w:type="dxa"/>
          <w:left w:w="115" w:type="dxa"/>
          <w:bottom w:w="216" w:type="dxa"/>
          <w:right w:w="115" w:type="dxa"/>
        </w:tblCellMar>
        <w:tblLook w:val="01E0" w:firstRow="1" w:lastRow="1" w:firstColumn="1" w:lastColumn="1" w:noHBand="0" w:noVBand="0"/>
      </w:tblPr>
      <w:tblGrid>
        <w:gridCol w:w="4713"/>
        <w:gridCol w:w="4647"/>
      </w:tblGrid>
      <w:tr w:rsidR="00E42ECE" w:rsidRPr="00F022D5" w14:paraId="6C019609" w14:textId="77777777" w:rsidTr="0DA8A253">
        <w:tc>
          <w:tcPr>
            <w:tcW w:w="4713" w:type="dxa"/>
            <w:shd w:val="clear" w:color="auto" w:fill="F2F2F2" w:themeFill="background1" w:themeFillShade="F2"/>
          </w:tcPr>
          <w:p w14:paraId="0C181DAF" w14:textId="77777777" w:rsidR="00E42ECE" w:rsidRPr="00E371CA" w:rsidRDefault="00E42ECE" w:rsidP="00B90E6C">
            <w:pPr>
              <w:pStyle w:val="Cover2Presentedby"/>
              <w:rPr>
                <w:sz w:val="24"/>
              </w:rPr>
            </w:pPr>
            <w:r w:rsidRPr="00E371CA">
              <w:rPr>
                <w:sz w:val="24"/>
              </w:rPr>
              <w:t xml:space="preserve">Technical POC and </w:t>
            </w:r>
            <w:r w:rsidRPr="00E371CA">
              <w:rPr>
                <w:sz w:val="24"/>
              </w:rPr>
              <w:br/>
              <w:t>Authorized Negotiator:</w:t>
            </w:r>
          </w:p>
          <w:p w14:paraId="14377F7E" w14:textId="2BFB0448" w:rsidR="00E42ECE" w:rsidRPr="00E371CA" w:rsidRDefault="0023659D" w:rsidP="00B90E6C">
            <w:pPr>
              <w:pStyle w:val="Cover2DeloitteAddress"/>
              <w:rPr>
                <w:szCs w:val="24"/>
              </w:rPr>
            </w:pPr>
            <w:r w:rsidRPr="0023659D">
              <w:rPr>
                <w:szCs w:val="24"/>
              </w:rPr>
              <w:t>Matt Siegel</w:t>
            </w:r>
            <w:r w:rsidR="00E42ECE" w:rsidRPr="00E371CA">
              <w:rPr>
                <w:szCs w:val="24"/>
              </w:rPr>
              <w:t>, Managing Director</w:t>
            </w:r>
          </w:p>
          <w:p w14:paraId="3022D21A" w14:textId="027329DB" w:rsidR="00E42ECE" w:rsidRPr="00E371CA" w:rsidRDefault="00E42ECE" w:rsidP="00B90E6C">
            <w:pPr>
              <w:pStyle w:val="Cover2DeloitteAddress"/>
              <w:rPr>
                <w:szCs w:val="24"/>
              </w:rPr>
            </w:pPr>
            <w:r>
              <w:t>Tel. +1 (</w:t>
            </w:r>
            <w:r w:rsidR="0023659D">
              <w:t>617</w:t>
            </w:r>
            <w:r>
              <w:t xml:space="preserve">) </w:t>
            </w:r>
            <w:r w:rsidR="0023659D">
              <w:t>437-2646</w:t>
            </w:r>
          </w:p>
          <w:p w14:paraId="17C32B68" w14:textId="62055B21" w:rsidR="00E42ECE" w:rsidRPr="00E371CA" w:rsidRDefault="00E42ECE" w:rsidP="00B90E6C">
            <w:pPr>
              <w:pStyle w:val="Cover2DeloitteAddress"/>
              <w:rPr>
                <w:szCs w:val="24"/>
              </w:rPr>
            </w:pPr>
            <w:r w:rsidRPr="00E371CA">
              <w:rPr>
                <w:szCs w:val="24"/>
              </w:rPr>
              <w:t xml:space="preserve">Email: </w:t>
            </w:r>
            <w:r w:rsidR="0023659D" w:rsidRPr="0023659D">
              <w:rPr>
                <w:szCs w:val="24"/>
              </w:rPr>
              <w:t>masiegel@deloitte.com</w:t>
            </w:r>
          </w:p>
        </w:tc>
        <w:tc>
          <w:tcPr>
            <w:tcW w:w="4647" w:type="dxa"/>
            <w:shd w:val="clear" w:color="auto" w:fill="F2F2F2" w:themeFill="background1" w:themeFillShade="F2"/>
          </w:tcPr>
          <w:p w14:paraId="3564EACE" w14:textId="77777777" w:rsidR="00E42ECE" w:rsidRPr="00E371CA" w:rsidRDefault="00E42ECE" w:rsidP="00B90E6C">
            <w:pPr>
              <w:pStyle w:val="Cover2Presentedby"/>
              <w:rPr>
                <w:sz w:val="24"/>
              </w:rPr>
            </w:pPr>
            <w:r w:rsidRPr="00E371CA">
              <w:rPr>
                <w:sz w:val="24"/>
              </w:rPr>
              <w:t>Contracts POC:</w:t>
            </w:r>
          </w:p>
          <w:p w14:paraId="7B90B93F" w14:textId="5D8021B0" w:rsidR="00E42ECE" w:rsidRPr="00E371CA" w:rsidRDefault="0023659D" w:rsidP="00B90E6C">
            <w:pPr>
              <w:pStyle w:val="Cover2DeloitteAddress"/>
              <w:rPr>
                <w:szCs w:val="24"/>
              </w:rPr>
            </w:pPr>
            <w:r w:rsidRPr="009C1BFC">
              <w:rPr>
                <w:noProof/>
                <w:szCs w:val="14"/>
              </w:rPr>
              <w:t>Teresa Sage</w:t>
            </w:r>
            <w:r w:rsidR="00E42ECE" w:rsidRPr="00E371CA">
              <w:rPr>
                <w:szCs w:val="24"/>
              </w:rPr>
              <w:t>, Contracts Administrator</w:t>
            </w:r>
          </w:p>
          <w:p w14:paraId="2D21FBDC" w14:textId="095EA66B" w:rsidR="00E42ECE" w:rsidRPr="00E371CA" w:rsidRDefault="00E42ECE" w:rsidP="00B90E6C">
            <w:pPr>
              <w:pStyle w:val="Cover2DeloitteAddress"/>
            </w:pPr>
            <w:r>
              <w:t>Tel. +1 (</w:t>
            </w:r>
            <w:r w:rsidR="0023659D">
              <w:t>571</w:t>
            </w:r>
            <w:r>
              <w:t xml:space="preserve">) </w:t>
            </w:r>
            <w:r w:rsidR="0023659D">
              <w:t>814-7707</w:t>
            </w:r>
          </w:p>
          <w:p w14:paraId="0BC7F513" w14:textId="32555462" w:rsidR="00E42ECE" w:rsidRPr="00E371CA" w:rsidRDefault="00E42ECE" w:rsidP="00B90E6C">
            <w:pPr>
              <w:pStyle w:val="Cover2DeloitteAddress"/>
              <w:rPr>
                <w:szCs w:val="24"/>
              </w:rPr>
            </w:pPr>
            <w:r w:rsidRPr="00E371CA">
              <w:rPr>
                <w:szCs w:val="24"/>
              </w:rPr>
              <w:t xml:space="preserve">Email: </w:t>
            </w:r>
            <w:r w:rsidR="00CA68EF" w:rsidRPr="00CA68EF">
              <w:rPr>
                <w:szCs w:val="24"/>
              </w:rPr>
              <w:t>tsage@deloitte.com</w:t>
            </w:r>
          </w:p>
          <w:p w14:paraId="11119EB1" w14:textId="76ECAD8E" w:rsidR="00E42ECE" w:rsidRPr="00E371CA" w:rsidRDefault="00E42ECE" w:rsidP="00B90E6C">
            <w:pPr>
              <w:pStyle w:val="Cover2DeloitteAddress"/>
              <w:rPr>
                <w:szCs w:val="24"/>
              </w:rPr>
            </w:pPr>
            <w:r w:rsidRPr="00E371CA">
              <w:rPr>
                <w:szCs w:val="24"/>
              </w:rPr>
              <w:t xml:space="preserve">Reference Number: </w:t>
            </w:r>
            <w:r w:rsidR="00CA68EF">
              <w:rPr>
                <w:szCs w:val="24"/>
              </w:rPr>
              <w:t>JO-</w:t>
            </w:r>
            <w:r w:rsidR="00CA68EF" w:rsidRPr="00AE073A">
              <w:t>069714</w:t>
            </w:r>
          </w:p>
        </w:tc>
      </w:tr>
    </w:tbl>
    <w:p w14:paraId="13E5B7C8"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0" w:type="dxa"/>
          <w:right w:w="0" w:type="dxa"/>
        </w:tblCellMar>
        <w:tblLook w:val="04A0" w:firstRow="1" w:lastRow="0" w:firstColumn="1" w:lastColumn="0" w:noHBand="0" w:noVBand="1"/>
      </w:tblPr>
      <w:tblGrid>
        <w:gridCol w:w="9360"/>
      </w:tblGrid>
      <w:tr w:rsidR="003F4CAF" w:rsidRPr="00BD61C0" w14:paraId="0F4D1821" w14:textId="77777777" w:rsidTr="003F4CAF">
        <w:tc>
          <w:tcPr>
            <w:tcW w:w="9360" w:type="dxa"/>
          </w:tcPr>
          <w:p w14:paraId="6EC82555" w14:textId="77777777" w:rsidR="003F4CAF" w:rsidRPr="00BD61C0" w:rsidRDefault="003F4CAF" w:rsidP="003F4CAF">
            <w:pPr>
              <w:pStyle w:val="Cover2Disclosure"/>
            </w:pPr>
            <w:r w:rsidRPr="00BD61C0">
              <w:t>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as a result of or in connection with the submission of this data, the Government shall have the right to duplicate, use, or disclose the data to the extent provided in the resulting contract. This restriction does not limit the Government</w:t>
            </w:r>
            <w:r w:rsidR="003B17C2">
              <w:t>’</w:t>
            </w:r>
            <w:r w:rsidRPr="00BD61C0">
              <w:t>s right to use information contained in this data if it is obtained from other sources without restriction. The data subject to this restriction are contained in this entire proposal.</w:t>
            </w:r>
          </w:p>
        </w:tc>
      </w:tr>
    </w:tbl>
    <w:p w14:paraId="1BA37358" w14:textId="77777777" w:rsidR="007D635A" w:rsidRDefault="007D635A" w:rsidP="007D635A">
      <w:pPr>
        <w:pStyle w:val="BodyText"/>
      </w:pPr>
    </w:p>
    <w:p w14:paraId="688CCA23" w14:textId="77777777" w:rsidR="007D635A" w:rsidRDefault="007D635A" w:rsidP="00D347C0">
      <w:pPr>
        <w:pStyle w:val="Letterdate"/>
        <w:sectPr w:rsidR="007D635A" w:rsidSect="000B1BCE">
          <w:headerReference w:type="default" r:id="rId16"/>
          <w:footerReference w:type="default" r:id="rId17"/>
          <w:headerReference w:type="first" r:id="rId18"/>
          <w:pgSz w:w="12240" w:h="15840" w:code="1"/>
          <w:pgMar w:top="1440" w:right="1440" w:bottom="1440" w:left="1440" w:header="720" w:footer="720" w:gutter="0"/>
          <w:cols w:space="720"/>
          <w:titlePg/>
          <w:docGrid w:linePitch="360"/>
        </w:sectPr>
      </w:pPr>
    </w:p>
    <w:p w14:paraId="7C339261" w14:textId="433B6BC6"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0D24259A" w14:textId="1B36019B" w:rsidR="00D347C0" w:rsidRDefault="00A137CB" w:rsidP="00D347C0">
      <w:pPr>
        <w:pStyle w:val="LetterContractingOfficerAddress"/>
      </w:pPr>
      <w:r w:rsidRPr="00A137CB">
        <w:t>Amberly Kovalick</w:t>
      </w:r>
      <w:r w:rsidR="006247D0">
        <w:t xml:space="preserve">, </w:t>
      </w:r>
      <w:r w:rsidR="00FA5B47" w:rsidRPr="00FA5B47">
        <w:t>Contracting Officer</w:t>
      </w:r>
    </w:p>
    <w:p w14:paraId="4AA38246" w14:textId="1C5DF1AE" w:rsidR="00FA5B47" w:rsidRDefault="006247D0" w:rsidP="00D347C0">
      <w:pPr>
        <w:pStyle w:val="LetterContractingOfficerAddress"/>
      </w:pPr>
      <w:r w:rsidRPr="006247D0">
        <w:t>Megan Famodu, Contract Specialist</w:t>
      </w:r>
    </w:p>
    <w:p w14:paraId="71A18A09" w14:textId="77777777" w:rsidR="006247D0" w:rsidRDefault="006247D0" w:rsidP="006247D0">
      <w:pPr>
        <w:pStyle w:val="LetterContractingOfficerAddress"/>
      </w:pPr>
      <w:r>
        <w:t>DIV OF MEDICARE &amp; MARKETPLACE CONTRACTS,</w:t>
      </w:r>
    </w:p>
    <w:p w14:paraId="5D3974BA" w14:textId="77777777" w:rsidR="006247D0" w:rsidRDefault="006247D0" w:rsidP="006247D0">
      <w:pPr>
        <w:pStyle w:val="LetterContractingOfficerAddress"/>
      </w:pPr>
      <w:r>
        <w:t>CMS - OAGM</w:t>
      </w:r>
    </w:p>
    <w:p w14:paraId="003FEE59" w14:textId="77777777" w:rsidR="006247D0" w:rsidRDefault="006247D0" w:rsidP="006247D0">
      <w:pPr>
        <w:pStyle w:val="LetterContractingOfficerAddress"/>
      </w:pPr>
      <w:r>
        <w:t>7500 SECURITY BOULEVARD, MS: B3-30-03</w:t>
      </w:r>
    </w:p>
    <w:p w14:paraId="57FA113B" w14:textId="2FA77997" w:rsidR="00D347C0" w:rsidRDefault="006247D0" w:rsidP="006247D0">
      <w:pPr>
        <w:pStyle w:val="LetterContractingOfficerAddress"/>
      </w:pPr>
      <w:r>
        <w:t>BALTIMORE, MD 21244-1850</w:t>
      </w:r>
    </w:p>
    <w:tbl>
      <w:tblPr>
        <w:tblW w:w="0" w:type="auto"/>
        <w:tblCellMar>
          <w:top w:w="360" w:type="dxa"/>
          <w:left w:w="0" w:type="dxa"/>
          <w:right w:w="0" w:type="dxa"/>
        </w:tblCellMar>
        <w:tblLook w:val="04A0" w:firstRow="1" w:lastRow="0" w:firstColumn="1" w:lastColumn="0" w:noHBand="0" w:noVBand="1"/>
      </w:tblPr>
      <w:tblGrid>
        <w:gridCol w:w="540"/>
        <w:gridCol w:w="8820"/>
      </w:tblGrid>
      <w:tr w:rsidR="00396D80" w14:paraId="29EDE516" w14:textId="77777777" w:rsidTr="007E0D54">
        <w:tc>
          <w:tcPr>
            <w:tcW w:w="540" w:type="dxa"/>
          </w:tcPr>
          <w:p w14:paraId="2F73DAAD" w14:textId="77777777" w:rsidR="00396D80" w:rsidRDefault="00396D80" w:rsidP="00396D80">
            <w:pPr>
              <w:pStyle w:val="Lettertext"/>
            </w:pPr>
            <w:r w:rsidRPr="000421FB">
              <w:t>RE</w:t>
            </w:r>
            <w:r w:rsidRPr="00396D80">
              <w:t>:</w:t>
            </w:r>
          </w:p>
        </w:tc>
        <w:tc>
          <w:tcPr>
            <w:tcW w:w="8820" w:type="dxa"/>
          </w:tcPr>
          <w:p w14:paraId="0A98FB50" w14:textId="65EF4FB8" w:rsidR="00396D80" w:rsidRDefault="00281226" w:rsidP="00072882">
            <w:pPr>
              <w:pStyle w:val="Lettertext"/>
            </w:pPr>
            <w:fldSimple w:instr="STYLEREF  &quot;Cover RFP Number&quot;  \* MERGEFORMAT">
              <w:r>
                <w:rPr>
                  <w:noProof/>
                </w:rPr>
                <w:t>Request for Proposal (RFP): 75FCMC26Q0068</w:t>
              </w:r>
            </w:fldSimple>
            <w:r w:rsidR="00744B4B">
              <w:rPr>
                <w:noProof/>
              </w:rPr>
              <w:t>,</w:t>
            </w:r>
            <w:r w:rsidR="00744B4B">
              <w:t xml:space="preserve"> </w:t>
            </w:r>
            <w:fldSimple w:instr="STYLEREF  &quot;Cover2_Project Description&quot;  \* MERGEFORMAT">
              <w:r w:rsidR="005A3FD0">
                <w:rPr>
                  <w:noProof/>
                </w:rPr>
                <w:t>CCIIO Enrollment Resolution &amp; Reconciliation (ER&amp;R), Form 1095-A Data Reporting</w:t>
              </w:r>
            </w:fldSimple>
          </w:p>
        </w:tc>
      </w:tr>
    </w:tbl>
    <w:p w14:paraId="267A393D" w14:textId="0F392B06" w:rsidR="00396D80" w:rsidRDefault="00396D80" w:rsidP="00396D80">
      <w:pPr>
        <w:pStyle w:val="Lettertext"/>
      </w:pPr>
      <w:r>
        <w:t xml:space="preserve">Dear </w:t>
      </w:r>
      <w:r w:rsidR="002D111E">
        <w:t>Ms. Kovalick and</w:t>
      </w:r>
      <w:r w:rsidR="00F05698">
        <w:t xml:space="preserve"> Ms. </w:t>
      </w:r>
      <w:r w:rsidR="002D111E">
        <w:t>Famodu</w:t>
      </w:r>
      <w:r>
        <w:t>:</w:t>
      </w:r>
    </w:p>
    <w:p w14:paraId="39F28E23" w14:textId="021D6348" w:rsidR="00744B4B" w:rsidRDefault="00744B4B" w:rsidP="00744B4B">
      <w:pPr>
        <w:pStyle w:val="Lettertext"/>
      </w:pPr>
      <w:r>
        <w:t xml:space="preserve">Deloitte is pleased to submit our proposal to provide Enrollment Resolution &amp; Reconciliation (ER&amp;R), Form 1095-A Data Reporting to the Centers for Medicare &amp; Medicaid Services (CMS). We believe that our submission meets all of the requirements of the request, and demonstrates that Deloitte possesses the required level of skill and experience to perform the Statement of Work (SOW). </w:t>
      </w:r>
      <w:r>
        <w:rPr>
          <w:rStyle w:val="FootnoteReference"/>
        </w:rPr>
      </w:r>
      <w:r/>
      <w:r w:rsidR="00E67541" w:rsidRPr="00E67541"/>
      <w:r w:rsidRPr="00072882"/>
      <w:fldSimple w:instr="STYLEREF  &quot;Cover title&quot;  \* MERGEFORMAT">
        <w:r w:rsidR="00C73A0E">
          <w:rPr>
            <w:noProof/>
          </w:rPr>
          <w:t>Centers for Medicare &amp; Medicaid Services (CMS)</w:t>
        </w:r>
      </w:fldSimple>
      <w:r w:rsidRPr="00072882"/>
      <w:r/>
      <w:r w:rsidRPr="000421FB"/>
      <w:r/>
    </w:p>
    <w:p w14:paraId="2943984D" w14:textId="1AA7F928" w:rsidR="00744B4B" w:rsidRDefault="00744B4B" w:rsidP="00744B4B">
      <w:pPr>
        <w:pStyle w:val="Lettertext"/>
      </w:pPr>
      <w:commentRangeStart w:id="0"/>
      <w:r>
        <w:t>We</w:t>
      </w:r>
      <w:commentRangeEnd w:id="0"/>
      <w:r>
        <w:rPr>
          <w:rStyle w:val="CommentReference"/>
          <w:sz w:val="24"/>
          <w:szCs w:val="22"/>
        </w:rPr>
        <w:commentReference w:id="0"/>
      </w:r>
      <w:r>
        <w:t xml:space="preserve"> are excited by the prospect of working with you, and we hope our proposal conveys our enthusiastic commitment to provide distinctive client service and highly specialized talent to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213695AB" w14:textId="5E24462D" w:rsidR="00D347C0" w:rsidRDefault="00744B4B" w:rsidP="00396D80">
      <w:pPr>
        <w:pStyle w:val="Lettertext"/>
      </w:pPr>
      <w:r>
        <w:t>We look forward to working with you to achieve optimum value to the Centers for Medicare &amp; Medicaid Services (CMS). If you have any questions or require additional information, please contact me at +1 (617) 437-2646. Should you have any contractual questions, please contact Teresa Sage, Contracts Administrator, +1 (571) 814-7707.</w:t>
      </w:r>
      <w:r w:rsidRPr="00072882"/>
      <w:fldSimple w:instr="STYLEREF  &quot;Cover title&quot;  \* MERGEFORMAT">
        <w:r w:rsidR="00E67541">
          <w:rPr>
            <w:noProof/>
          </w:rPr>
          <w:t>Centers for Medicare &amp; Medicaid Services (CMS)</w:t>
        </w:r>
      </w:fldSimple>
      <w:r w:rsidRPr="00072882"/>
      <w:r/>
      <w:r w:rsidR="00E67541" w:rsidRPr="00E67541"/>
      <w:r/>
      <w:r w:rsidR="00E67541" w:rsidRPr="00E67541"/>
      <w:r/>
      <w:r w:rsidR="00E67541" w:rsidRPr="00E67541"/>
      <w:r/>
    </w:p>
    <w:p w14:paraId="385F8827" w14:textId="61A36588" w:rsidR="00A52F22" w:rsidRDefault="00396D80" w:rsidP="00396D80">
      <w:pPr>
        <w:pStyle w:val="Lettertext"/>
      </w:pPr>
      <w:r>
        <w:t>Sincerely,</w:t>
      </w:r>
    </w:p>
    <w:p w14:paraId="711BE6F8" w14:textId="77777777" w:rsidR="00D244D2" w:rsidRDefault="00D244D2" w:rsidP="00396D80">
      <w:pPr>
        <w:pStyle w:val="Lettertext"/>
      </w:pPr>
    </w:p>
    <w:p w14:paraId="26A93EA2" w14:textId="77777777" w:rsidR="00E67541" w:rsidRDefault="00E67541" w:rsidP="00396D80">
      <w:pPr>
        <w:pStyle w:val="Lettertext"/>
      </w:pPr>
    </w:p>
    <w:p w14:paraId="2206AEE3" w14:textId="69BAF205"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43F71609" w14:textId="3B2DE48E" w:rsidR="00396D80" w:rsidRDefault="00E67541" w:rsidP="00396D80">
      <w:pPr>
        <w:pStyle w:val="Lettertext"/>
      </w:pPr>
      <w:fldSimple w:instr="STYLEREF  &quot;Cover FSS Entity Name&quot;  \* MERGEFORMAT">
        <w:r>
          <w:rPr>
            <w:noProof/>
          </w:rPr>
          <w:t>Deloitte Consulting LLP</w:t>
        </w:r>
      </w:fldSimple>
    </w:p>
    <w:p w14:paraId="79153740" w14:textId="77777777" w:rsidR="002105BC" w:rsidRDefault="002105BC" w:rsidP="00396D80">
      <w:pPr>
        <w:pStyle w:val="Lettertext"/>
        <w:sectPr w:rsidR="002105BC" w:rsidSect="000B1BCE">
          <w:headerReference w:type="first" r:id="rId24"/>
          <w:footerReference w:type="first" r:id="rId25"/>
          <w:pgSz w:w="12240" w:h="15840" w:code="1"/>
          <w:pgMar w:top="1440" w:right="1440" w:bottom="1440" w:left="1440" w:header="720" w:footer="576" w:gutter="0"/>
          <w:pgNumType w:fmt="lowerLetter" w:start="1"/>
          <w:cols w:space="720"/>
          <w:titlePg/>
          <w:docGrid w:linePitch="360"/>
        </w:sectPr>
      </w:pPr>
    </w:p>
    <w:p w14:paraId="3DF5863D" w14:textId="77777777" w:rsidR="00C024BF" w:rsidRPr="003E53B9" w:rsidRDefault="00C024BF" w:rsidP="002105BC">
      <w:pPr>
        <w:pStyle w:val="HeadingNoTOC"/>
      </w:pPr>
      <w:r w:rsidRPr="003E53B9">
        <w:lastRenderedPageBreak/>
        <w:t>Table of Contents</w:t>
      </w:r>
    </w:p>
    <w:p w14:paraId="65A32691" w14:textId="43163E04" w:rsidR="00E80859" w:rsidRDefault="00381F1F">
      <w:pPr>
        <w:pStyle w:val="TOC1"/>
        <w:rPr>
          <w:rFonts w:asciiTheme="minorHAnsi" w:eastAsiaTheme="minorEastAsia" w:hAnsiTheme="minorHAnsi" w:cstheme="minorBidi"/>
          <w:kern w:val="2"/>
          <w14:ligatures w14:val="standardContextual"/>
        </w:rPr>
      </w:pPr>
      <w:r>
        <w:rPr>
          <w:b/>
          <w:color w:val="002776"/>
        </w:rPr>
        <w:fldChar w:fldCharType="begin"/>
      </w:r>
      <w:r w:rsidR="00C024BF">
        <w:instrText xml:space="preserve"> TOC \o "1-3" \h \z \u </w:instrText>
      </w:r>
      <w:r>
        <w:rPr>
          <w:b/>
          <w:color w:val="002776"/>
        </w:rPr>
        <w:fldChar w:fldCharType="separate"/>
      </w:r>
      <w:hyperlink w:anchor="_Toc227883174" w:history="1">
        <w:r w:rsidR="00E80859" w:rsidRPr="00CE6FA0">
          <w:rPr>
            <w:rStyle w:val="Hyperlink"/>
            <w:rFonts w:eastAsiaTheme="majorEastAsia"/>
          </w:rPr>
          <w:t>1.0</w:t>
        </w:r>
        <w:r w:rsidR="00E80859">
          <w:rPr>
            <w:rFonts w:asciiTheme="minorHAnsi" w:eastAsiaTheme="minorEastAsia" w:hAnsiTheme="minorHAnsi" w:cstheme="minorBidi"/>
            <w:kern w:val="2"/>
            <w14:ligatures w14:val="standardContextual"/>
          </w:rPr>
          <w:tab/>
        </w:r>
        <w:r w:rsidR="00E80859" w:rsidRPr="00CE6FA0">
          <w:rPr>
            <w:rStyle w:val="Hyperlink"/>
            <w:rFonts w:eastAsiaTheme="majorEastAsia"/>
          </w:rPr>
          <w:t>Section 1: Technical Understanding and Approach (Total 40 Pages)</w:t>
        </w:r>
        <w:r w:rsidR="00E80859">
          <w:rPr>
            <w:webHidden/>
          </w:rPr>
          <w:tab/>
        </w:r>
        <w:r w:rsidR="00E80859">
          <w:rPr>
            <w:webHidden/>
          </w:rPr>
          <w:fldChar w:fldCharType="begin"/>
        </w:r>
        <w:r w:rsidR="00E80859">
          <w:rPr>
            <w:webHidden/>
          </w:rPr>
          <w:instrText xml:space="preserve"> PAGEREF _Toc227883174 \h </w:instrText>
        </w:r>
        <w:r w:rsidR="00E80859">
          <w:rPr>
            <w:webHidden/>
          </w:rPr>
        </w:r>
        <w:r w:rsidR="00E80859">
          <w:rPr>
            <w:webHidden/>
          </w:rPr>
          <w:fldChar w:fldCharType="separate"/>
        </w:r>
        <w:r w:rsidR="00E80859">
          <w:rPr>
            <w:webHidden/>
          </w:rPr>
          <w:t>1</w:t>
        </w:r>
        <w:r w:rsidR="00E80859">
          <w:rPr>
            <w:webHidden/>
          </w:rPr>
          <w:fldChar w:fldCharType="end"/>
        </w:r>
      </w:hyperlink>
    </w:p>
    <w:p w14:paraId="3F0B6B0F" w14:textId="487A61B8"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5" w:history="1">
        <w:r w:rsidRPr="00CE6FA0">
          <w:rPr>
            <w:rStyle w:val="Hyperlink"/>
            <w:rFonts w:eastAsiaTheme="majorEastAsia"/>
          </w:rPr>
          <w:t>1.1</w:t>
        </w:r>
        <w:r>
          <w:rPr>
            <w:rFonts w:asciiTheme="minorHAnsi" w:eastAsiaTheme="minorEastAsia" w:hAnsiTheme="minorHAnsi" w:cstheme="minorBidi"/>
            <w:kern w:val="2"/>
            <w14:ligatures w14:val="standardContextual"/>
          </w:rPr>
          <w:tab/>
        </w:r>
        <w:r w:rsidRPr="00CE6FA0">
          <w:rPr>
            <w:rStyle w:val="Hyperlink"/>
            <w:rFonts w:eastAsiaTheme="majorEastAsia"/>
          </w:rPr>
          <w:t>Sub-Section 1A: Understanding of CMS’ Program and Acquisition Objectives</w:t>
        </w:r>
        <w:r>
          <w:rPr>
            <w:webHidden/>
          </w:rPr>
          <w:tab/>
        </w:r>
        <w:r>
          <w:rPr>
            <w:webHidden/>
          </w:rPr>
          <w:fldChar w:fldCharType="begin"/>
        </w:r>
        <w:r>
          <w:rPr>
            <w:webHidden/>
          </w:rPr>
          <w:instrText xml:space="preserve"> PAGEREF _Toc227883175 \h </w:instrText>
        </w:r>
        <w:r>
          <w:rPr>
            <w:webHidden/>
          </w:rPr>
        </w:r>
        <w:r>
          <w:rPr>
            <w:webHidden/>
          </w:rPr>
          <w:fldChar w:fldCharType="separate"/>
        </w:r>
        <w:r>
          <w:rPr>
            <w:webHidden/>
          </w:rPr>
          <w:t>1</w:t>
        </w:r>
        <w:r>
          <w:rPr>
            <w:webHidden/>
          </w:rPr>
          <w:fldChar w:fldCharType="end"/>
        </w:r>
      </w:hyperlink>
    </w:p>
    <w:p w14:paraId="3416F059" w14:textId="1A800584"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6" w:history="1">
        <w:r w:rsidRPr="00CE6FA0">
          <w:rPr>
            <w:rStyle w:val="Hyperlink"/>
            <w:rFonts w:eastAsiaTheme="majorEastAsia"/>
          </w:rPr>
          <w:t>1.2</w:t>
        </w:r>
        <w:r>
          <w:rPr>
            <w:rFonts w:asciiTheme="minorHAnsi" w:eastAsiaTheme="minorEastAsia" w:hAnsiTheme="minorHAnsi" w:cstheme="minorBidi"/>
            <w:kern w:val="2"/>
            <w14:ligatures w14:val="standardContextual"/>
          </w:rPr>
          <w:tab/>
        </w:r>
        <w:r w:rsidRPr="00CE6FA0">
          <w:rPr>
            <w:rStyle w:val="Hyperlink"/>
            <w:rFonts w:eastAsiaTheme="majorEastAsia"/>
          </w:rPr>
          <w:t>Sub-Section 1B: Approach to Performing the Requirements in the SOW</w:t>
        </w:r>
        <w:r>
          <w:rPr>
            <w:webHidden/>
          </w:rPr>
          <w:tab/>
        </w:r>
        <w:r>
          <w:rPr>
            <w:webHidden/>
          </w:rPr>
          <w:fldChar w:fldCharType="begin"/>
        </w:r>
        <w:r>
          <w:rPr>
            <w:webHidden/>
          </w:rPr>
          <w:instrText xml:space="preserve"> PAGEREF _Toc227883176 \h </w:instrText>
        </w:r>
        <w:r>
          <w:rPr>
            <w:webHidden/>
          </w:rPr>
        </w:r>
        <w:r>
          <w:rPr>
            <w:webHidden/>
          </w:rPr>
          <w:fldChar w:fldCharType="separate"/>
        </w:r>
        <w:r>
          <w:rPr>
            <w:webHidden/>
          </w:rPr>
          <w:t>1</w:t>
        </w:r>
        <w:r>
          <w:rPr>
            <w:webHidden/>
          </w:rPr>
          <w:fldChar w:fldCharType="end"/>
        </w:r>
      </w:hyperlink>
    </w:p>
    <w:p w14:paraId="6F0F4E43" w14:textId="55CB44D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7" w:history="1">
        <w:r w:rsidRPr="00CE6FA0">
          <w:rPr>
            <w:rStyle w:val="Hyperlink"/>
            <w:rFonts w:eastAsiaTheme="majorEastAsia"/>
          </w:rPr>
          <w:t>1.2.1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2: ER&amp;R Issuer Disputes </w:t>
        </w:r>
        <w:r w:rsidRPr="00CE6FA0">
          <w:rPr>
            <w:rStyle w:val="Hyperlink"/>
            <w:rFonts w:eastAsiaTheme="majorEastAsia"/>
            <w:vertAlign w:val="superscript"/>
          </w:rPr>
          <w:t>(SOW 3.2)</w:t>
        </w:r>
        <w:r>
          <w:rPr>
            <w:webHidden/>
          </w:rPr>
          <w:tab/>
        </w:r>
        <w:r>
          <w:rPr>
            <w:webHidden/>
          </w:rPr>
          <w:fldChar w:fldCharType="begin"/>
        </w:r>
        <w:r>
          <w:rPr>
            <w:webHidden/>
          </w:rPr>
          <w:instrText xml:space="preserve"> PAGEREF _Toc227883177 \h </w:instrText>
        </w:r>
        <w:r>
          <w:rPr>
            <w:webHidden/>
          </w:rPr>
        </w:r>
        <w:r>
          <w:rPr>
            <w:webHidden/>
          </w:rPr>
          <w:fldChar w:fldCharType="separate"/>
        </w:r>
        <w:r>
          <w:rPr>
            <w:webHidden/>
          </w:rPr>
          <w:t>1</w:t>
        </w:r>
        <w:r>
          <w:rPr>
            <w:webHidden/>
          </w:rPr>
          <w:fldChar w:fldCharType="end"/>
        </w:r>
      </w:hyperlink>
    </w:p>
    <w:p w14:paraId="393A4891" w14:textId="607641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8" w:history="1">
        <w:r w:rsidRPr="00CE6FA0">
          <w:rPr>
            <w:rStyle w:val="Hyperlink"/>
            <w:rFonts w:eastAsiaTheme="majorEastAsia"/>
          </w:rPr>
          <w:t>1.2.2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3: Form 1095-A Consumer Disputes </w:t>
        </w:r>
        <w:r w:rsidRPr="00CE6FA0">
          <w:rPr>
            <w:rStyle w:val="Hyperlink"/>
            <w:rFonts w:eastAsiaTheme="majorEastAsia"/>
            <w:vertAlign w:val="superscript"/>
          </w:rPr>
          <w:t>(SOW 3.3)</w:t>
        </w:r>
        <w:r>
          <w:rPr>
            <w:webHidden/>
          </w:rPr>
          <w:tab/>
        </w:r>
        <w:r>
          <w:rPr>
            <w:webHidden/>
          </w:rPr>
          <w:fldChar w:fldCharType="begin"/>
        </w:r>
        <w:r>
          <w:rPr>
            <w:webHidden/>
          </w:rPr>
          <w:instrText xml:space="preserve"> PAGEREF _Toc227883178 \h </w:instrText>
        </w:r>
        <w:r>
          <w:rPr>
            <w:webHidden/>
          </w:rPr>
        </w:r>
        <w:r>
          <w:rPr>
            <w:webHidden/>
          </w:rPr>
          <w:fldChar w:fldCharType="separate"/>
        </w:r>
        <w:r>
          <w:rPr>
            <w:webHidden/>
          </w:rPr>
          <w:t>1</w:t>
        </w:r>
        <w:r>
          <w:rPr>
            <w:webHidden/>
          </w:rPr>
          <w:fldChar w:fldCharType="end"/>
        </w:r>
      </w:hyperlink>
    </w:p>
    <w:p w14:paraId="0BFEAFA1" w14:textId="52320A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9" w:history="1">
        <w:r w:rsidRPr="00CE6FA0">
          <w:rPr>
            <w:rStyle w:val="Hyperlink"/>
            <w:rFonts w:eastAsiaTheme="majorEastAsia"/>
          </w:rPr>
          <w:t>1.2.3</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4: Complex Case Help Center (CCHC) </w:t>
        </w:r>
        <w:r w:rsidRPr="00CE6FA0">
          <w:rPr>
            <w:rStyle w:val="Hyperlink"/>
            <w:rFonts w:eastAsiaTheme="majorEastAsia"/>
            <w:vertAlign w:val="superscript"/>
          </w:rPr>
          <w:t>(SOW 3.4)</w:t>
        </w:r>
        <w:r>
          <w:rPr>
            <w:webHidden/>
          </w:rPr>
          <w:tab/>
        </w:r>
        <w:r>
          <w:rPr>
            <w:webHidden/>
          </w:rPr>
          <w:fldChar w:fldCharType="begin"/>
        </w:r>
        <w:r>
          <w:rPr>
            <w:webHidden/>
          </w:rPr>
          <w:instrText xml:space="preserve"> PAGEREF _Toc227883179 \h </w:instrText>
        </w:r>
        <w:r>
          <w:rPr>
            <w:webHidden/>
          </w:rPr>
        </w:r>
        <w:r>
          <w:rPr>
            <w:webHidden/>
          </w:rPr>
          <w:fldChar w:fldCharType="separate"/>
        </w:r>
        <w:r>
          <w:rPr>
            <w:webHidden/>
          </w:rPr>
          <w:t>1</w:t>
        </w:r>
        <w:r>
          <w:rPr>
            <w:webHidden/>
          </w:rPr>
          <w:fldChar w:fldCharType="end"/>
        </w:r>
      </w:hyperlink>
    </w:p>
    <w:p w14:paraId="44A47BDE" w14:textId="36FCB2C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0" w:history="1">
        <w:r w:rsidRPr="00CE6FA0">
          <w:rPr>
            <w:rStyle w:val="Hyperlink"/>
            <w:rFonts w:eastAsiaTheme="majorEastAsia"/>
          </w:rPr>
          <w:t>1.2.4</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5: Updating the FFE </w:t>
        </w:r>
        <w:r w:rsidRPr="00CE6FA0">
          <w:rPr>
            <w:rStyle w:val="Hyperlink"/>
            <w:rFonts w:eastAsiaTheme="majorEastAsia"/>
            <w:vertAlign w:val="superscript"/>
          </w:rPr>
          <w:t>(SOW 3.5)</w:t>
        </w:r>
        <w:r>
          <w:rPr>
            <w:webHidden/>
          </w:rPr>
          <w:tab/>
        </w:r>
        <w:r>
          <w:rPr>
            <w:webHidden/>
          </w:rPr>
          <w:fldChar w:fldCharType="begin"/>
        </w:r>
        <w:r>
          <w:rPr>
            <w:webHidden/>
          </w:rPr>
          <w:instrText xml:space="preserve"> PAGEREF _Toc227883180 \h </w:instrText>
        </w:r>
        <w:r>
          <w:rPr>
            <w:webHidden/>
          </w:rPr>
        </w:r>
        <w:r>
          <w:rPr>
            <w:webHidden/>
          </w:rPr>
          <w:fldChar w:fldCharType="separate"/>
        </w:r>
        <w:r>
          <w:rPr>
            <w:webHidden/>
          </w:rPr>
          <w:t>1</w:t>
        </w:r>
        <w:r>
          <w:rPr>
            <w:webHidden/>
          </w:rPr>
          <w:fldChar w:fldCharType="end"/>
        </w:r>
      </w:hyperlink>
    </w:p>
    <w:p w14:paraId="7530DF51" w14:textId="66E9C6E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1" w:history="1">
        <w:r w:rsidRPr="00CE6FA0">
          <w:rPr>
            <w:rStyle w:val="Hyperlink"/>
            <w:rFonts w:eastAsiaTheme="majorEastAsia"/>
          </w:rPr>
          <w:t>1.2.5</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6: Notice Generation </w:t>
        </w:r>
        <w:r w:rsidRPr="00CE6FA0">
          <w:rPr>
            <w:rStyle w:val="Hyperlink"/>
            <w:rFonts w:eastAsiaTheme="majorEastAsia"/>
            <w:vertAlign w:val="superscript"/>
          </w:rPr>
          <w:t>(SOW 3.6)</w:t>
        </w:r>
        <w:r>
          <w:rPr>
            <w:webHidden/>
          </w:rPr>
          <w:tab/>
        </w:r>
        <w:r>
          <w:rPr>
            <w:webHidden/>
          </w:rPr>
          <w:fldChar w:fldCharType="begin"/>
        </w:r>
        <w:r>
          <w:rPr>
            <w:webHidden/>
          </w:rPr>
          <w:instrText xml:space="preserve"> PAGEREF _Toc227883181 \h </w:instrText>
        </w:r>
        <w:r>
          <w:rPr>
            <w:webHidden/>
          </w:rPr>
        </w:r>
        <w:r>
          <w:rPr>
            <w:webHidden/>
          </w:rPr>
          <w:fldChar w:fldCharType="separate"/>
        </w:r>
        <w:r>
          <w:rPr>
            <w:webHidden/>
          </w:rPr>
          <w:t>1</w:t>
        </w:r>
        <w:r>
          <w:rPr>
            <w:webHidden/>
          </w:rPr>
          <w:fldChar w:fldCharType="end"/>
        </w:r>
      </w:hyperlink>
    </w:p>
    <w:p w14:paraId="6EF4274D" w14:textId="09DCD6E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2" w:history="1">
        <w:r w:rsidRPr="00CE6FA0">
          <w:rPr>
            <w:rStyle w:val="Hyperlink"/>
            <w:rFonts w:eastAsiaTheme="majorEastAsia"/>
          </w:rPr>
          <w:t>1.2.6</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7: Telephone and Correspondence Support </w:t>
        </w:r>
        <w:r w:rsidRPr="00CE6FA0">
          <w:rPr>
            <w:rStyle w:val="Hyperlink"/>
            <w:rFonts w:eastAsiaTheme="majorEastAsia"/>
            <w:vertAlign w:val="superscript"/>
          </w:rPr>
          <w:t>(SOW 3.7)</w:t>
        </w:r>
        <w:r>
          <w:rPr>
            <w:webHidden/>
          </w:rPr>
          <w:tab/>
        </w:r>
        <w:r>
          <w:rPr>
            <w:webHidden/>
          </w:rPr>
          <w:fldChar w:fldCharType="begin"/>
        </w:r>
        <w:r>
          <w:rPr>
            <w:webHidden/>
          </w:rPr>
          <w:instrText xml:space="preserve"> PAGEREF _Toc227883182 \h </w:instrText>
        </w:r>
        <w:r>
          <w:rPr>
            <w:webHidden/>
          </w:rPr>
        </w:r>
        <w:r>
          <w:rPr>
            <w:webHidden/>
          </w:rPr>
          <w:fldChar w:fldCharType="separate"/>
        </w:r>
        <w:r>
          <w:rPr>
            <w:webHidden/>
          </w:rPr>
          <w:t>1</w:t>
        </w:r>
        <w:r>
          <w:rPr>
            <w:webHidden/>
          </w:rPr>
          <w:fldChar w:fldCharType="end"/>
        </w:r>
      </w:hyperlink>
    </w:p>
    <w:p w14:paraId="27949EFF" w14:textId="06694FE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3" w:history="1">
        <w:r w:rsidRPr="00CE6FA0">
          <w:rPr>
            <w:rStyle w:val="Hyperlink"/>
            <w:rFonts w:eastAsiaTheme="majorEastAsia"/>
          </w:rPr>
          <w:t>1.2.7</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8: IT Systems </w:t>
        </w:r>
        <w:r w:rsidRPr="00CE6FA0">
          <w:rPr>
            <w:rStyle w:val="Hyperlink"/>
            <w:rFonts w:eastAsiaTheme="majorEastAsia"/>
            <w:vertAlign w:val="superscript"/>
          </w:rPr>
          <w:t>(SOW 3.8)</w:t>
        </w:r>
        <w:r>
          <w:rPr>
            <w:webHidden/>
          </w:rPr>
          <w:tab/>
        </w:r>
        <w:r>
          <w:rPr>
            <w:webHidden/>
          </w:rPr>
          <w:fldChar w:fldCharType="begin"/>
        </w:r>
        <w:r>
          <w:rPr>
            <w:webHidden/>
          </w:rPr>
          <w:instrText xml:space="preserve"> PAGEREF _Toc227883183 \h </w:instrText>
        </w:r>
        <w:r>
          <w:rPr>
            <w:webHidden/>
          </w:rPr>
        </w:r>
        <w:r>
          <w:rPr>
            <w:webHidden/>
          </w:rPr>
          <w:fldChar w:fldCharType="separate"/>
        </w:r>
        <w:r>
          <w:rPr>
            <w:webHidden/>
          </w:rPr>
          <w:t>1</w:t>
        </w:r>
        <w:r>
          <w:rPr>
            <w:webHidden/>
          </w:rPr>
          <w:fldChar w:fldCharType="end"/>
        </w:r>
      </w:hyperlink>
    </w:p>
    <w:p w14:paraId="0BA47761" w14:textId="45F6626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4" w:history="1">
        <w:r w:rsidRPr="00CE6FA0">
          <w:rPr>
            <w:rStyle w:val="Hyperlink"/>
            <w:rFonts w:eastAsiaTheme="majorEastAsia"/>
          </w:rPr>
          <w:t>1.2.8</w:t>
        </w:r>
        <w:r>
          <w:rPr>
            <w:rFonts w:asciiTheme="minorHAnsi" w:eastAsiaTheme="minorEastAsia" w:hAnsiTheme="minorHAnsi" w:cstheme="minorBidi"/>
            <w:kern w:val="2"/>
            <w14:ligatures w14:val="standardContextual"/>
          </w:rPr>
          <w:tab/>
        </w:r>
        <w:r w:rsidRPr="00CE6FA0">
          <w:rPr>
            <w:rStyle w:val="Hyperlink"/>
            <w:rFonts w:eastAsiaTheme="majorEastAsia"/>
          </w:rPr>
          <w:t>Task 9: Standard Operating Procedures (SOPs) Business Requirements and Quality Assurance</w:t>
        </w:r>
        <w:r w:rsidRPr="00CE6FA0">
          <w:rPr>
            <w:rStyle w:val="Hyperlink"/>
            <w:rFonts w:eastAsiaTheme="majorEastAsia"/>
            <w:vertAlign w:val="superscript"/>
          </w:rPr>
          <w:t>(SOW 3.9)</w:t>
        </w:r>
        <w:r>
          <w:rPr>
            <w:webHidden/>
          </w:rPr>
          <w:tab/>
        </w:r>
        <w:r>
          <w:rPr>
            <w:webHidden/>
          </w:rPr>
          <w:fldChar w:fldCharType="begin"/>
        </w:r>
        <w:r>
          <w:rPr>
            <w:webHidden/>
          </w:rPr>
          <w:instrText xml:space="preserve"> PAGEREF _Toc227883184 \h </w:instrText>
        </w:r>
        <w:r>
          <w:rPr>
            <w:webHidden/>
          </w:rPr>
        </w:r>
        <w:r>
          <w:rPr>
            <w:webHidden/>
          </w:rPr>
          <w:fldChar w:fldCharType="separate"/>
        </w:r>
        <w:r>
          <w:rPr>
            <w:webHidden/>
          </w:rPr>
          <w:t>2</w:t>
        </w:r>
        <w:r>
          <w:rPr>
            <w:webHidden/>
          </w:rPr>
          <w:fldChar w:fldCharType="end"/>
        </w:r>
      </w:hyperlink>
    </w:p>
    <w:p w14:paraId="3F847671" w14:textId="7B86CBA3"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5" w:history="1">
        <w:r w:rsidRPr="00CE6FA0">
          <w:rPr>
            <w:rStyle w:val="Hyperlink"/>
            <w:rFonts w:eastAsiaTheme="majorEastAsia"/>
          </w:rPr>
          <w:t>1.2.9</w:t>
        </w:r>
        <w:r>
          <w:rPr>
            <w:rFonts w:asciiTheme="minorHAnsi" w:eastAsiaTheme="minorEastAsia" w:hAnsiTheme="minorHAnsi" w:cstheme="minorBidi"/>
            <w:kern w:val="2"/>
            <w14:ligatures w14:val="standardContextual"/>
          </w:rPr>
          <w:tab/>
        </w:r>
        <w:r w:rsidRPr="00CE6FA0">
          <w:rPr>
            <w:rStyle w:val="Hyperlink"/>
            <w:rFonts w:eastAsiaTheme="majorEastAsia"/>
          </w:rPr>
          <w:t>Task 10: Ad Hoc Work and Special Projects</w:t>
        </w:r>
        <w:r w:rsidRPr="00CE6FA0">
          <w:rPr>
            <w:rStyle w:val="Hyperlink"/>
            <w:rFonts w:eastAsiaTheme="majorEastAsia"/>
            <w:vertAlign w:val="superscript"/>
          </w:rPr>
          <w:t>(SOW 3.10)</w:t>
        </w:r>
        <w:r>
          <w:rPr>
            <w:webHidden/>
          </w:rPr>
          <w:tab/>
        </w:r>
        <w:r>
          <w:rPr>
            <w:webHidden/>
          </w:rPr>
          <w:fldChar w:fldCharType="begin"/>
        </w:r>
        <w:r>
          <w:rPr>
            <w:webHidden/>
          </w:rPr>
          <w:instrText xml:space="preserve"> PAGEREF _Toc227883185 \h </w:instrText>
        </w:r>
        <w:r>
          <w:rPr>
            <w:webHidden/>
          </w:rPr>
        </w:r>
        <w:r>
          <w:rPr>
            <w:webHidden/>
          </w:rPr>
          <w:fldChar w:fldCharType="separate"/>
        </w:r>
        <w:r>
          <w:rPr>
            <w:webHidden/>
          </w:rPr>
          <w:t>2</w:t>
        </w:r>
        <w:r>
          <w:rPr>
            <w:webHidden/>
          </w:rPr>
          <w:fldChar w:fldCharType="end"/>
        </w:r>
      </w:hyperlink>
    </w:p>
    <w:p w14:paraId="57C09B5A" w14:textId="78E5F5A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6" w:history="1">
        <w:r w:rsidRPr="00CE6FA0">
          <w:rPr>
            <w:rStyle w:val="Hyperlink"/>
            <w:rFonts w:eastAsiaTheme="majorEastAsia"/>
          </w:rPr>
          <w:t>1.3</w:t>
        </w:r>
        <w:r>
          <w:rPr>
            <w:rFonts w:asciiTheme="minorHAnsi" w:eastAsiaTheme="minorEastAsia" w:hAnsiTheme="minorHAnsi" w:cstheme="minorBidi"/>
            <w:kern w:val="2"/>
            <w14:ligatures w14:val="standardContextual"/>
          </w:rPr>
          <w:tab/>
        </w:r>
        <w:r w:rsidRPr="00CE6FA0">
          <w:rPr>
            <w:rStyle w:val="Hyperlink"/>
            <w:rFonts w:eastAsiaTheme="majorEastAsia"/>
          </w:rPr>
          <w:t>Sub-Section 1C: Understanding and Mitigation of Risks</w:t>
        </w:r>
        <w:r>
          <w:rPr>
            <w:webHidden/>
          </w:rPr>
          <w:tab/>
        </w:r>
        <w:r>
          <w:rPr>
            <w:webHidden/>
          </w:rPr>
          <w:fldChar w:fldCharType="begin"/>
        </w:r>
        <w:r>
          <w:rPr>
            <w:webHidden/>
          </w:rPr>
          <w:instrText xml:space="preserve"> PAGEREF _Toc227883186 \h </w:instrText>
        </w:r>
        <w:r>
          <w:rPr>
            <w:webHidden/>
          </w:rPr>
        </w:r>
        <w:r>
          <w:rPr>
            <w:webHidden/>
          </w:rPr>
          <w:fldChar w:fldCharType="separate"/>
        </w:r>
        <w:r>
          <w:rPr>
            <w:webHidden/>
          </w:rPr>
          <w:t>2</w:t>
        </w:r>
        <w:r>
          <w:rPr>
            <w:webHidden/>
          </w:rPr>
          <w:fldChar w:fldCharType="end"/>
        </w:r>
      </w:hyperlink>
    </w:p>
    <w:p w14:paraId="13149E6B" w14:textId="1A0BCADD" w:rsidR="00E80859" w:rsidRDefault="00E80859">
      <w:pPr>
        <w:pStyle w:val="TOC1"/>
        <w:rPr>
          <w:rFonts w:asciiTheme="minorHAnsi" w:eastAsiaTheme="minorEastAsia" w:hAnsiTheme="minorHAnsi" w:cstheme="minorBidi"/>
          <w:kern w:val="2"/>
          <w14:ligatures w14:val="standardContextual"/>
        </w:rPr>
      </w:pPr>
      <w:hyperlink w:anchor="_Toc227883187" w:history="1">
        <w:r w:rsidRPr="00CE6FA0">
          <w:rPr>
            <w:rStyle w:val="Hyperlink"/>
            <w:rFonts w:eastAsiaTheme="majorEastAsia"/>
          </w:rPr>
          <w:t>2.0</w:t>
        </w:r>
        <w:r>
          <w:rPr>
            <w:rFonts w:asciiTheme="minorHAnsi" w:eastAsiaTheme="minorEastAsia" w:hAnsiTheme="minorHAnsi" w:cstheme="minorBidi"/>
            <w:kern w:val="2"/>
            <w14:ligatures w14:val="standardContextual"/>
          </w:rPr>
          <w:tab/>
        </w:r>
        <w:r w:rsidRPr="00CE6FA0">
          <w:rPr>
            <w:rStyle w:val="Hyperlink"/>
            <w:rFonts w:eastAsiaTheme="majorEastAsia"/>
          </w:rPr>
          <w:t>Section 2: Management Approach, Quality Assurance and Surveillance Plan, and Staffing Plan</w:t>
        </w:r>
        <w:r>
          <w:rPr>
            <w:webHidden/>
          </w:rPr>
          <w:tab/>
        </w:r>
        <w:r>
          <w:rPr>
            <w:webHidden/>
          </w:rPr>
          <w:fldChar w:fldCharType="begin"/>
        </w:r>
        <w:r>
          <w:rPr>
            <w:webHidden/>
          </w:rPr>
          <w:instrText xml:space="preserve"> PAGEREF _Toc227883187 \h </w:instrText>
        </w:r>
        <w:r>
          <w:rPr>
            <w:webHidden/>
          </w:rPr>
        </w:r>
        <w:r>
          <w:rPr>
            <w:webHidden/>
          </w:rPr>
          <w:fldChar w:fldCharType="separate"/>
        </w:r>
        <w:r>
          <w:rPr>
            <w:webHidden/>
          </w:rPr>
          <w:t>3</w:t>
        </w:r>
        <w:r>
          <w:rPr>
            <w:webHidden/>
          </w:rPr>
          <w:fldChar w:fldCharType="end"/>
        </w:r>
      </w:hyperlink>
    </w:p>
    <w:p w14:paraId="190E36BB" w14:textId="29857FFB"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8" w:history="1">
        <w:r w:rsidRPr="00CE6FA0">
          <w:rPr>
            <w:rStyle w:val="Hyperlink"/>
            <w:rFonts w:eastAsiaTheme="majorEastAsia"/>
          </w:rPr>
          <w:t>2.1</w:t>
        </w:r>
        <w:r>
          <w:rPr>
            <w:rFonts w:asciiTheme="minorHAnsi" w:eastAsiaTheme="minorEastAsia" w:hAnsiTheme="minorHAnsi" w:cstheme="minorBidi"/>
            <w:kern w:val="2"/>
            <w14:ligatures w14:val="standardContextual"/>
          </w:rPr>
          <w:tab/>
        </w:r>
        <w:r w:rsidRPr="00CE6FA0">
          <w:rPr>
            <w:rStyle w:val="Hyperlink"/>
            <w:rFonts w:eastAsiaTheme="majorEastAsia"/>
          </w:rPr>
          <w:t>Sub-Section 2A: Management Approach</w:t>
        </w:r>
        <w:r>
          <w:rPr>
            <w:webHidden/>
          </w:rPr>
          <w:tab/>
        </w:r>
        <w:r>
          <w:rPr>
            <w:webHidden/>
          </w:rPr>
          <w:fldChar w:fldCharType="begin"/>
        </w:r>
        <w:r>
          <w:rPr>
            <w:webHidden/>
          </w:rPr>
          <w:instrText xml:space="preserve"> PAGEREF _Toc227883188 \h </w:instrText>
        </w:r>
        <w:r>
          <w:rPr>
            <w:webHidden/>
          </w:rPr>
        </w:r>
        <w:r>
          <w:rPr>
            <w:webHidden/>
          </w:rPr>
          <w:fldChar w:fldCharType="separate"/>
        </w:r>
        <w:r>
          <w:rPr>
            <w:webHidden/>
          </w:rPr>
          <w:t>3</w:t>
        </w:r>
        <w:r>
          <w:rPr>
            <w:webHidden/>
          </w:rPr>
          <w:fldChar w:fldCharType="end"/>
        </w:r>
      </w:hyperlink>
    </w:p>
    <w:p w14:paraId="51565ED4" w14:textId="62BD9411"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9" w:history="1">
        <w:r w:rsidRPr="00CE6FA0">
          <w:rPr>
            <w:rStyle w:val="Hyperlink"/>
            <w:rFonts w:eastAsiaTheme="majorEastAsia"/>
          </w:rPr>
          <w:t>2.1.1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 Program Implementation and Oversight (PI&amp;O) </w:t>
        </w:r>
        <w:r w:rsidRPr="00CE6FA0">
          <w:rPr>
            <w:rStyle w:val="Hyperlink"/>
            <w:rFonts w:eastAsiaTheme="majorEastAsia"/>
            <w:vertAlign w:val="superscript"/>
          </w:rPr>
          <w:t>(SOW 3.1)</w:t>
        </w:r>
        <w:r>
          <w:rPr>
            <w:webHidden/>
          </w:rPr>
          <w:tab/>
        </w:r>
        <w:r>
          <w:rPr>
            <w:webHidden/>
          </w:rPr>
          <w:fldChar w:fldCharType="begin"/>
        </w:r>
        <w:r>
          <w:rPr>
            <w:webHidden/>
          </w:rPr>
          <w:instrText xml:space="preserve"> PAGEREF _Toc227883189 \h </w:instrText>
        </w:r>
        <w:r>
          <w:rPr>
            <w:webHidden/>
          </w:rPr>
        </w:r>
        <w:r>
          <w:rPr>
            <w:webHidden/>
          </w:rPr>
          <w:fldChar w:fldCharType="separate"/>
        </w:r>
        <w:r>
          <w:rPr>
            <w:webHidden/>
          </w:rPr>
          <w:t>3</w:t>
        </w:r>
        <w:r>
          <w:rPr>
            <w:webHidden/>
          </w:rPr>
          <w:fldChar w:fldCharType="end"/>
        </w:r>
      </w:hyperlink>
    </w:p>
    <w:p w14:paraId="7980BC03" w14:textId="24A1392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0" w:history="1">
        <w:r w:rsidRPr="00CE6FA0">
          <w:rPr>
            <w:rStyle w:val="Hyperlink"/>
            <w:rFonts w:eastAsiaTheme="majorEastAsia"/>
          </w:rPr>
          <w:t>2.1.2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11: Transition-Out (Optional) </w:t>
        </w:r>
        <w:r w:rsidRPr="00CE6FA0">
          <w:rPr>
            <w:rStyle w:val="Hyperlink"/>
            <w:rFonts w:eastAsiaTheme="majorEastAsia"/>
            <w:vertAlign w:val="superscript"/>
          </w:rPr>
          <w:t>(SOW 3.11)</w:t>
        </w:r>
        <w:r>
          <w:rPr>
            <w:webHidden/>
          </w:rPr>
          <w:tab/>
        </w:r>
        <w:r>
          <w:rPr>
            <w:webHidden/>
          </w:rPr>
          <w:fldChar w:fldCharType="begin"/>
        </w:r>
        <w:r>
          <w:rPr>
            <w:webHidden/>
          </w:rPr>
          <w:instrText xml:space="preserve"> PAGEREF _Toc227883190 \h </w:instrText>
        </w:r>
        <w:r>
          <w:rPr>
            <w:webHidden/>
          </w:rPr>
        </w:r>
        <w:r>
          <w:rPr>
            <w:webHidden/>
          </w:rPr>
          <w:fldChar w:fldCharType="separate"/>
        </w:r>
        <w:r>
          <w:rPr>
            <w:webHidden/>
          </w:rPr>
          <w:t>3</w:t>
        </w:r>
        <w:r>
          <w:rPr>
            <w:webHidden/>
          </w:rPr>
          <w:fldChar w:fldCharType="end"/>
        </w:r>
      </w:hyperlink>
    </w:p>
    <w:p w14:paraId="5AB9A67D" w14:textId="1750983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1" w:history="1">
        <w:r w:rsidRPr="00CE6FA0">
          <w:rPr>
            <w:rStyle w:val="Hyperlink"/>
            <w:rFonts w:eastAsiaTheme="majorEastAsia"/>
          </w:rPr>
          <w:t>2.1.3</w:t>
        </w:r>
        <w:r>
          <w:rPr>
            <w:rFonts w:asciiTheme="minorHAnsi" w:eastAsiaTheme="minorEastAsia" w:hAnsiTheme="minorHAnsi" w:cstheme="minorBidi"/>
            <w:kern w:val="2"/>
            <w14:ligatures w14:val="standardContextual"/>
          </w:rPr>
          <w:tab/>
        </w:r>
        <w:r w:rsidRPr="00CE6FA0">
          <w:rPr>
            <w:rStyle w:val="Hyperlink"/>
            <w:rFonts w:eastAsiaTheme="majorEastAsia"/>
          </w:rPr>
          <w:t>Task 12: Transition-In (Optional)</w:t>
        </w:r>
        <w:r w:rsidRPr="00CE6FA0">
          <w:rPr>
            <w:rStyle w:val="Hyperlink"/>
            <w:rFonts w:eastAsiaTheme="majorEastAsia"/>
            <w:vertAlign w:val="superscript"/>
          </w:rPr>
          <w:t xml:space="preserve"> (SOW 3.12)</w:t>
        </w:r>
        <w:r>
          <w:rPr>
            <w:webHidden/>
          </w:rPr>
          <w:tab/>
        </w:r>
        <w:r>
          <w:rPr>
            <w:webHidden/>
          </w:rPr>
          <w:fldChar w:fldCharType="begin"/>
        </w:r>
        <w:r>
          <w:rPr>
            <w:webHidden/>
          </w:rPr>
          <w:instrText xml:space="preserve"> PAGEREF _Toc227883191 \h </w:instrText>
        </w:r>
        <w:r>
          <w:rPr>
            <w:webHidden/>
          </w:rPr>
        </w:r>
        <w:r>
          <w:rPr>
            <w:webHidden/>
          </w:rPr>
          <w:fldChar w:fldCharType="separate"/>
        </w:r>
        <w:r>
          <w:rPr>
            <w:webHidden/>
          </w:rPr>
          <w:t>3</w:t>
        </w:r>
        <w:r>
          <w:rPr>
            <w:webHidden/>
          </w:rPr>
          <w:fldChar w:fldCharType="end"/>
        </w:r>
      </w:hyperlink>
    </w:p>
    <w:p w14:paraId="1F34FCBA" w14:textId="5436046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2" w:history="1">
        <w:r w:rsidRPr="00CE6FA0">
          <w:rPr>
            <w:rStyle w:val="Hyperlink"/>
            <w:rFonts w:eastAsiaTheme="majorEastAsia"/>
          </w:rPr>
          <w:t>2.2</w:t>
        </w:r>
        <w:r>
          <w:rPr>
            <w:rFonts w:asciiTheme="minorHAnsi" w:eastAsiaTheme="minorEastAsia" w:hAnsiTheme="minorHAnsi" w:cstheme="minorBidi"/>
            <w:kern w:val="2"/>
            <w14:ligatures w14:val="standardContextual"/>
          </w:rPr>
          <w:tab/>
        </w:r>
        <w:r w:rsidRPr="00CE6FA0">
          <w:rPr>
            <w:rStyle w:val="Hyperlink"/>
            <w:rFonts w:eastAsiaTheme="majorEastAsia"/>
          </w:rPr>
          <w:t>Sub-Section 2B: Quality Assurance Approach</w:t>
        </w:r>
        <w:r>
          <w:rPr>
            <w:webHidden/>
          </w:rPr>
          <w:tab/>
        </w:r>
        <w:r>
          <w:rPr>
            <w:webHidden/>
          </w:rPr>
          <w:fldChar w:fldCharType="begin"/>
        </w:r>
        <w:r>
          <w:rPr>
            <w:webHidden/>
          </w:rPr>
          <w:instrText xml:space="preserve"> PAGEREF _Toc227883192 \h </w:instrText>
        </w:r>
        <w:r>
          <w:rPr>
            <w:webHidden/>
          </w:rPr>
        </w:r>
        <w:r>
          <w:rPr>
            <w:webHidden/>
          </w:rPr>
          <w:fldChar w:fldCharType="separate"/>
        </w:r>
        <w:r>
          <w:rPr>
            <w:webHidden/>
          </w:rPr>
          <w:t>3</w:t>
        </w:r>
        <w:r>
          <w:rPr>
            <w:webHidden/>
          </w:rPr>
          <w:fldChar w:fldCharType="end"/>
        </w:r>
      </w:hyperlink>
    </w:p>
    <w:p w14:paraId="4ED033F3" w14:textId="4A10D7A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3" w:history="1">
        <w:r w:rsidRPr="00CE6FA0">
          <w:rPr>
            <w:rStyle w:val="Hyperlink"/>
            <w:rFonts w:eastAsiaTheme="majorEastAsia"/>
          </w:rPr>
          <w:t>2.3</w:t>
        </w:r>
        <w:r>
          <w:rPr>
            <w:rFonts w:asciiTheme="minorHAnsi" w:eastAsiaTheme="minorEastAsia" w:hAnsiTheme="minorHAnsi" w:cstheme="minorBidi"/>
            <w:kern w:val="2"/>
            <w14:ligatures w14:val="standardContextual"/>
          </w:rPr>
          <w:tab/>
        </w:r>
        <w:r w:rsidRPr="00CE6FA0">
          <w:rPr>
            <w:rStyle w:val="Hyperlink"/>
            <w:rFonts w:eastAsiaTheme="majorEastAsia"/>
          </w:rPr>
          <w:t>Sub-Section 2C: Staffing Plan</w:t>
        </w:r>
        <w:r>
          <w:rPr>
            <w:webHidden/>
          </w:rPr>
          <w:tab/>
        </w:r>
        <w:r>
          <w:rPr>
            <w:webHidden/>
          </w:rPr>
          <w:fldChar w:fldCharType="begin"/>
        </w:r>
        <w:r>
          <w:rPr>
            <w:webHidden/>
          </w:rPr>
          <w:instrText xml:space="preserve"> PAGEREF _Toc227883193 \h </w:instrText>
        </w:r>
        <w:r>
          <w:rPr>
            <w:webHidden/>
          </w:rPr>
        </w:r>
        <w:r>
          <w:rPr>
            <w:webHidden/>
          </w:rPr>
          <w:fldChar w:fldCharType="separate"/>
        </w:r>
        <w:r>
          <w:rPr>
            <w:webHidden/>
          </w:rPr>
          <w:t>4</w:t>
        </w:r>
        <w:r>
          <w:rPr>
            <w:webHidden/>
          </w:rPr>
          <w:fldChar w:fldCharType="end"/>
        </w:r>
      </w:hyperlink>
    </w:p>
    <w:p w14:paraId="2465DCF4" w14:textId="3EC7A739" w:rsidR="00E80859" w:rsidRDefault="00E80859">
      <w:pPr>
        <w:pStyle w:val="TOC1"/>
        <w:rPr>
          <w:rFonts w:asciiTheme="minorHAnsi" w:eastAsiaTheme="minorEastAsia" w:hAnsiTheme="minorHAnsi" w:cstheme="minorBidi"/>
          <w:kern w:val="2"/>
          <w14:ligatures w14:val="standardContextual"/>
        </w:rPr>
      </w:pPr>
      <w:hyperlink w:anchor="_Toc227883194" w:history="1">
        <w:r w:rsidRPr="00CE6FA0">
          <w:rPr>
            <w:rStyle w:val="Hyperlink"/>
            <w:rFonts w:eastAsiaTheme="majorEastAsia"/>
          </w:rPr>
          <w:t>3.0</w:t>
        </w:r>
        <w:r>
          <w:rPr>
            <w:rFonts w:asciiTheme="minorHAnsi" w:eastAsiaTheme="minorEastAsia" w:hAnsiTheme="minorHAnsi" w:cstheme="minorBidi"/>
            <w:kern w:val="2"/>
            <w14:ligatures w14:val="standardContextual"/>
          </w:rPr>
          <w:tab/>
        </w:r>
        <w:r w:rsidRPr="00CE6FA0">
          <w:rPr>
            <w:rStyle w:val="Hyperlink"/>
            <w:rFonts w:eastAsiaTheme="majorEastAsia"/>
          </w:rPr>
          <w:t>Section 3: Key Personnel Qualifications and Corporate Experience</w:t>
        </w:r>
        <w:r>
          <w:rPr>
            <w:webHidden/>
          </w:rPr>
          <w:tab/>
        </w:r>
        <w:r>
          <w:rPr>
            <w:webHidden/>
          </w:rPr>
          <w:fldChar w:fldCharType="begin"/>
        </w:r>
        <w:r>
          <w:rPr>
            <w:webHidden/>
          </w:rPr>
          <w:instrText xml:space="preserve"> PAGEREF _Toc227883194 \h </w:instrText>
        </w:r>
        <w:r>
          <w:rPr>
            <w:webHidden/>
          </w:rPr>
        </w:r>
        <w:r>
          <w:rPr>
            <w:webHidden/>
          </w:rPr>
          <w:fldChar w:fldCharType="separate"/>
        </w:r>
        <w:r>
          <w:rPr>
            <w:webHidden/>
          </w:rPr>
          <w:t>4</w:t>
        </w:r>
        <w:r>
          <w:rPr>
            <w:webHidden/>
          </w:rPr>
          <w:fldChar w:fldCharType="end"/>
        </w:r>
      </w:hyperlink>
    </w:p>
    <w:p w14:paraId="72DA30CA" w14:textId="67062AF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5" w:history="1">
        <w:r w:rsidRPr="00CE6FA0">
          <w:rPr>
            <w:rStyle w:val="Hyperlink"/>
            <w:rFonts w:eastAsiaTheme="majorEastAsia"/>
          </w:rPr>
          <w:t>3.1</w:t>
        </w:r>
        <w:r>
          <w:rPr>
            <w:rFonts w:asciiTheme="minorHAnsi" w:eastAsiaTheme="minorEastAsia" w:hAnsiTheme="minorHAnsi" w:cstheme="minorBidi"/>
            <w:kern w:val="2"/>
            <w14:ligatures w14:val="standardContextual"/>
          </w:rPr>
          <w:tab/>
        </w:r>
        <w:r w:rsidRPr="00CE6FA0">
          <w:rPr>
            <w:rStyle w:val="Hyperlink"/>
            <w:rFonts w:eastAsiaTheme="majorEastAsia"/>
          </w:rPr>
          <w:t>Sub-Section 3A: Key Personnel Qualifications</w:t>
        </w:r>
        <w:r>
          <w:rPr>
            <w:webHidden/>
          </w:rPr>
          <w:tab/>
        </w:r>
        <w:r>
          <w:rPr>
            <w:webHidden/>
          </w:rPr>
          <w:fldChar w:fldCharType="begin"/>
        </w:r>
        <w:r>
          <w:rPr>
            <w:webHidden/>
          </w:rPr>
          <w:instrText xml:space="preserve"> PAGEREF _Toc227883195 \h </w:instrText>
        </w:r>
        <w:r>
          <w:rPr>
            <w:webHidden/>
          </w:rPr>
        </w:r>
        <w:r>
          <w:rPr>
            <w:webHidden/>
          </w:rPr>
          <w:fldChar w:fldCharType="separate"/>
        </w:r>
        <w:r>
          <w:rPr>
            <w:webHidden/>
          </w:rPr>
          <w:t>4</w:t>
        </w:r>
        <w:r>
          <w:rPr>
            <w:webHidden/>
          </w:rPr>
          <w:fldChar w:fldCharType="end"/>
        </w:r>
      </w:hyperlink>
    </w:p>
    <w:p w14:paraId="378E9F68" w14:textId="2E1165B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6" w:history="1">
        <w:r w:rsidRPr="00CE6FA0">
          <w:rPr>
            <w:rStyle w:val="Hyperlink"/>
            <w:rFonts w:eastAsiaTheme="majorEastAsia"/>
          </w:rPr>
          <w:t>3.2</w:t>
        </w:r>
        <w:r>
          <w:rPr>
            <w:rFonts w:asciiTheme="minorHAnsi" w:eastAsiaTheme="minorEastAsia" w:hAnsiTheme="minorHAnsi" w:cstheme="minorBidi"/>
            <w:kern w:val="2"/>
            <w14:ligatures w14:val="standardContextual"/>
          </w:rPr>
          <w:tab/>
        </w:r>
        <w:r w:rsidRPr="00CE6FA0">
          <w:rPr>
            <w:rStyle w:val="Hyperlink"/>
            <w:rFonts w:eastAsiaTheme="majorEastAsia"/>
          </w:rPr>
          <w:t>Sub-Section 3B: Corporate Experience</w:t>
        </w:r>
        <w:r>
          <w:rPr>
            <w:webHidden/>
          </w:rPr>
          <w:tab/>
        </w:r>
        <w:r>
          <w:rPr>
            <w:webHidden/>
          </w:rPr>
          <w:fldChar w:fldCharType="begin"/>
        </w:r>
        <w:r>
          <w:rPr>
            <w:webHidden/>
          </w:rPr>
          <w:instrText xml:space="preserve"> PAGEREF _Toc227883196 \h </w:instrText>
        </w:r>
        <w:r>
          <w:rPr>
            <w:webHidden/>
          </w:rPr>
        </w:r>
        <w:r>
          <w:rPr>
            <w:webHidden/>
          </w:rPr>
          <w:fldChar w:fldCharType="separate"/>
        </w:r>
        <w:r>
          <w:rPr>
            <w:webHidden/>
          </w:rPr>
          <w:t>5</w:t>
        </w:r>
        <w:r>
          <w:rPr>
            <w:webHidden/>
          </w:rPr>
          <w:fldChar w:fldCharType="end"/>
        </w:r>
      </w:hyperlink>
    </w:p>
    <w:p w14:paraId="75863384" w14:textId="6920048C" w:rsidR="00E80859" w:rsidRDefault="00E80859">
      <w:pPr>
        <w:pStyle w:val="TOC1"/>
        <w:rPr>
          <w:rFonts w:asciiTheme="minorHAnsi" w:eastAsiaTheme="minorEastAsia" w:hAnsiTheme="minorHAnsi" w:cstheme="minorBidi"/>
          <w:kern w:val="2"/>
          <w14:ligatures w14:val="standardContextual"/>
        </w:rPr>
      </w:pPr>
      <w:hyperlink w:anchor="_Toc227883197" w:history="1">
        <w:r w:rsidRPr="00CE6FA0">
          <w:rPr>
            <w:rStyle w:val="Hyperlink"/>
            <w:rFonts w:eastAsiaTheme="majorEastAsia"/>
          </w:rPr>
          <w:t>4.0</w:t>
        </w:r>
        <w:r>
          <w:rPr>
            <w:rFonts w:asciiTheme="minorHAnsi" w:eastAsiaTheme="minorEastAsia" w:hAnsiTheme="minorHAnsi" w:cstheme="minorBidi"/>
            <w:kern w:val="2"/>
            <w14:ligatures w14:val="standardContextual"/>
          </w:rPr>
          <w:tab/>
        </w:r>
        <w:r w:rsidRPr="00CE6FA0">
          <w:rPr>
            <w:rStyle w:val="Hyperlink"/>
            <w:rFonts w:eastAsiaTheme="majorEastAsia"/>
          </w:rPr>
          <w:t>Section 4: Small Business Utilization (5 Pages)</w:t>
        </w:r>
        <w:r>
          <w:rPr>
            <w:webHidden/>
          </w:rPr>
          <w:tab/>
        </w:r>
        <w:r>
          <w:rPr>
            <w:webHidden/>
          </w:rPr>
          <w:fldChar w:fldCharType="begin"/>
        </w:r>
        <w:r>
          <w:rPr>
            <w:webHidden/>
          </w:rPr>
          <w:instrText xml:space="preserve"> PAGEREF _Toc227883197 \h </w:instrText>
        </w:r>
        <w:r>
          <w:rPr>
            <w:webHidden/>
          </w:rPr>
        </w:r>
        <w:r>
          <w:rPr>
            <w:webHidden/>
          </w:rPr>
          <w:fldChar w:fldCharType="separate"/>
        </w:r>
        <w:r>
          <w:rPr>
            <w:webHidden/>
          </w:rPr>
          <w:t>1</w:t>
        </w:r>
        <w:r>
          <w:rPr>
            <w:webHidden/>
          </w:rPr>
          <w:fldChar w:fldCharType="end"/>
        </w:r>
      </w:hyperlink>
    </w:p>
    <w:p w14:paraId="38734DE2" w14:textId="6FBE1189" w:rsidR="00E80859" w:rsidRDefault="00E80859">
      <w:pPr>
        <w:pStyle w:val="TOC1"/>
        <w:tabs>
          <w:tab w:val="left" w:pos="1800"/>
        </w:tabs>
        <w:rPr>
          <w:rFonts w:asciiTheme="minorHAnsi" w:eastAsiaTheme="minorEastAsia" w:hAnsiTheme="minorHAnsi" w:cstheme="minorBidi"/>
          <w:kern w:val="2"/>
          <w14:ligatures w14:val="standardContextual"/>
        </w:rPr>
      </w:pPr>
      <w:hyperlink w:anchor="_Toc227883198" w:history="1">
        <w:r w:rsidRPr="00CE6FA0">
          <w:rPr>
            <w:rStyle w:val="Hyperlink"/>
            <w:rFonts w:eastAsiaTheme="majorEastAsia"/>
          </w:rPr>
          <w:t>Appendix A</w:t>
        </w:r>
        <w:r>
          <w:rPr>
            <w:rFonts w:asciiTheme="minorHAnsi" w:eastAsiaTheme="minorEastAsia" w:hAnsiTheme="minorHAnsi" w:cstheme="minorBidi"/>
            <w:kern w:val="2"/>
            <w14:ligatures w14:val="standardContextual"/>
          </w:rPr>
          <w:tab/>
        </w:r>
        <w:r w:rsidRPr="00CE6FA0">
          <w:rPr>
            <w:rStyle w:val="Hyperlink"/>
            <w:rFonts w:eastAsiaTheme="majorEastAsia"/>
          </w:rPr>
          <w:t>Key Personnel Resumes (2 Pages Each)</w:t>
        </w:r>
        <w:r>
          <w:rPr>
            <w:webHidden/>
          </w:rPr>
          <w:tab/>
        </w:r>
        <w:r w:rsidR="00707972">
          <w:rPr>
            <w:webHidden/>
          </w:rPr>
          <w:t>A-</w:t>
        </w:r>
        <w:r>
          <w:rPr>
            <w:webHidden/>
          </w:rPr>
          <w:fldChar w:fldCharType="begin"/>
        </w:r>
        <w:r>
          <w:rPr>
            <w:webHidden/>
          </w:rPr>
          <w:instrText xml:space="preserve"> PAGEREF _Toc227883198 \h </w:instrText>
        </w:r>
        <w:r>
          <w:rPr>
            <w:webHidden/>
          </w:rPr>
        </w:r>
        <w:r>
          <w:rPr>
            <w:webHidden/>
          </w:rPr>
          <w:fldChar w:fldCharType="separate"/>
        </w:r>
        <w:r>
          <w:rPr>
            <w:webHidden/>
          </w:rPr>
          <w:t>1</w:t>
        </w:r>
        <w:r>
          <w:rPr>
            <w:webHidden/>
          </w:rPr>
          <w:fldChar w:fldCharType="end"/>
        </w:r>
      </w:hyperlink>
    </w:p>
    <w:p w14:paraId="3A7FA58D" w14:textId="51435CC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9" w:history="1">
        <w:r w:rsidRPr="00CE6FA0">
          <w:rPr>
            <w:rStyle w:val="Hyperlink"/>
            <w:rFonts w:eastAsiaTheme="majorEastAsia"/>
          </w:rPr>
          <w:t>A.1</w:t>
        </w:r>
        <w:r>
          <w:rPr>
            <w:rFonts w:asciiTheme="minorHAnsi" w:eastAsiaTheme="minorEastAsia" w:hAnsiTheme="minorHAnsi" w:cstheme="minorBidi"/>
            <w:kern w:val="2"/>
            <w14:ligatures w14:val="standardContextual"/>
          </w:rPr>
          <w:tab/>
        </w:r>
        <w:r w:rsidRPr="00CE6FA0">
          <w:rPr>
            <w:rStyle w:val="Hyperlink"/>
            <w:rFonts w:eastAsiaTheme="majorEastAsia"/>
          </w:rPr>
          <w:t>Project Director</w:t>
        </w:r>
        <w:r>
          <w:rPr>
            <w:webHidden/>
          </w:rPr>
          <w:tab/>
        </w:r>
        <w:r w:rsidR="00707972">
          <w:rPr>
            <w:webHidden/>
          </w:rPr>
          <w:t>A-</w:t>
        </w:r>
        <w:r>
          <w:rPr>
            <w:webHidden/>
          </w:rPr>
          <w:fldChar w:fldCharType="begin"/>
        </w:r>
        <w:r>
          <w:rPr>
            <w:webHidden/>
          </w:rPr>
          <w:instrText xml:space="preserve"> PAGEREF _Toc227883199 \h </w:instrText>
        </w:r>
        <w:r>
          <w:rPr>
            <w:webHidden/>
          </w:rPr>
        </w:r>
        <w:r>
          <w:rPr>
            <w:webHidden/>
          </w:rPr>
          <w:fldChar w:fldCharType="separate"/>
        </w:r>
        <w:r>
          <w:rPr>
            <w:webHidden/>
          </w:rPr>
          <w:t>1</w:t>
        </w:r>
        <w:r>
          <w:rPr>
            <w:webHidden/>
          </w:rPr>
          <w:fldChar w:fldCharType="end"/>
        </w:r>
      </w:hyperlink>
    </w:p>
    <w:p w14:paraId="4DFEF2E1" w14:textId="32743C4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0" w:history="1">
        <w:r w:rsidRPr="00CE6FA0">
          <w:rPr>
            <w:rStyle w:val="Hyperlink"/>
            <w:rFonts w:eastAsiaTheme="majorEastAsia"/>
          </w:rPr>
          <w:t>A.2</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(ER&amp;R)</w:t>
        </w:r>
        <w:r>
          <w:rPr>
            <w:webHidden/>
          </w:rPr>
          <w:tab/>
        </w:r>
        <w:r w:rsidR="00707972">
          <w:rPr>
            <w:webHidden/>
          </w:rPr>
          <w:t>A-</w:t>
        </w:r>
        <w:r>
          <w:rPr>
            <w:webHidden/>
          </w:rPr>
          <w:fldChar w:fldCharType="begin"/>
        </w:r>
        <w:r>
          <w:rPr>
            <w:webHidden/>
          </w:rPr>
          <w:instrText xml:space="preserve"> PAGEREF _Toc227883200 \h </w:instrText>
        </w:r>
        <w:r>
          <w:rPr>
            <w:webHidden/>
          </w:rPr>
        </w:r>
        <w:r>
          <w:rPr>
            <w:webHidden/>
          </w:rPr>
          <w:fldChar w:fldCharType="separate"/>
        </w:r>
        <w:r>
          <w:rPr>
            <w:webHidden/>
          </w:rPr>
          <w:t>2</w:t>
        </w:r>
        <w:r>
          <w:rPr>
            <w:webHidden/>
          </w:rPr>
          <w:fldChar w:fldCharType="end"/>
        </w:r>
      </w:hyperlink>
    </w:p>
    <w:p w14:paraId="48B887B7" w14:textId="4FAB8BEA"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1" w:history="1">
        <w:r w:rsidRPr="00CE6FA0">
          <w:rPr>
            <w:rStyle w:val="Hyperlink"/>
            <w:rFonts w:eastAsiaTheme="majorEastAsia"/>
          </w:rPr>
          <w:t>A.3</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(Form 1095-A &amp; CCHC)</w:t>
        </w:r>
        <w:r>
          <w:rPr>
            <w:webHidden/>
          </w:rPr>
          <w:tab/>
        </w:r>
        <w:r w:rsidR="00707972">
          <w:rPr>
            <w:webHidden/>
          </w:rPr>
          <w:t>A-</w:t>
        </w:r>
        <w:r>
          <w:rPr>
            <w:webHidden/>
          </w:rPr>
          <w:fldChar w:fldCharType="begin"/>
        </w:r>
        <w:r>
          <w:rPr>
            <w:webHidden/>
          </w:rPr>
          <w:instrText xml:space="preserve"> PAGEREF _Toc227883201 \h </w:instrText>
        </w:r>
        <w:r>
          <w:rPr>
            <w:webHidden/>
          </w:rPr>
        </w:r>
        <w:r>
          <w:rPr>
            <w:webHidden/>
          </w:rPr>
          <w:fldChar w:fldCharType="separate"/>
        </w:r>
        <w:r>
          <w:rPr>
            <w:webHidden/>
          </w:rPr>
          <w:t>3</w:t>
        </w:r>
        <w:r>
          <w:rPr>
            <w:webHidden/>
          </w:rPr>
          <w:fldChar w:fldCharType="end"/>
        </w:r>
      </w:hyperlink>
    </w:p>
    <w:p w14:paraId="6A3B597C" w14:textId="42A1812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2" w:history="1">
        <w:r w:rsidRPr="00CE6FA0">
          <w:rPr>
            <w:rStyle w:val="Hyperlink"/>
            <w:rFonts w:eastAsiaTheme="majorEastAsia"/>
          </w:rPr>
          <w:t>A.4</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(IT Data and Technical Support)</w:t>
        </w:r>
        <w:r>
          <w:rPr>
            <w:webHidden/>
          </w:rPr>
          <w:tab/>
        </w:r>
        <w:r w:rsidR="00707972">
          <w:rPr>
            <w:webHidden/>
          </w:rPr>
          <w:t>A-</w:t>
        </w:r>
        <w:r>
          <w:rPr>
            <w:webHidden/>
          </w:rPr>
          <w:fldChar w:fldCharType="begin"/>
        </w:r>
        <w:r>
          <w:rPr>
            <w:webHidden/>
          </w:rPr>
          <w:instrText xml:space="preserve"> PAGEREF _Toc227883202 \h </w:instrText>
        </w:r>
        <w:r>
          <w:rPr>
            <w:webHidden/>
          </w:rPr>
        </w:r>
        <w:r>
          <w:rPr>
            <w:webHidden/>
          </w:rPr>
          <w:fldChar w:fldCharType="separate"/>
        </w:r>
        <w:r>
          <w:rPr>
            <w:webHidden/>
          </w:rPr>
          <w:t>4</w:t>
        </w:r>
        <w:r>
          <w:rPr>
            <w:webHidden/>
          </w:rPr>
          <w:fldChar w:fldCharType="end"/>
        </w:r>
      </w:hyperlink>
    </w:p>
    <w:p w14:paraId="01E4DA5E" w14:textId="7E4307ED"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3" w:history="1">
        <w:r w:rsidRPr="00CE6FA0">
          <w:rPr>
            <w:rStyle w:val="Hyperlink"/>
            <w:rFonts w:eastAsiaTheme="majorEastAsia"/>
          </w:rPr>
          <w:t>A.5</w:t>
        </w:r>
        <w:r>
          <w:rPr>
            <w:rFonts w:asciiTheme="minorHAnsi" w:eastAsiaTheme="minorEastAsia" w:hAnsiTheme="minorHAnsi" w:cstheme="minorBidi"/>
            <w:kern w:val="2"/>
            <w14:ligatures w14:val="standardContextual"/>
          </w:rPr>
          <w:tab/>
        </w:r>
        <w:r w:rsidRPr="00CE6FA0">
          <w:rPr>
            <w:rStyle w:val="Hyperlink"/>
            <w:rFonts w:eastAsiaTheme="majorEastAsia"/>
          </w:rPr>
          <w:t>Technical Director</w:t>
        </w:r>
        <w:r>
          <w:rPr>
            <w:webHidden/>
          </w:rPr>
          <w:tab/>
        </w:r>
        <w:r w:rsidR="00707972">
          <w:rPr>
            <w:webHidden/>
          </w:rPr>
          <w:t>A-</w:t>
        </w:r>
        <w:r>
          <w:rPr>
            <w:webHidden/>
          </w:rPr>
          <w:fldChar w:fldCharType="begin"/>
        </w:r>
        <w:r>
          <w:rPr>
            <w:webHidden/>
          </w:rPr>
          <w:instrText xml:space="preserve"> PAGEREF _Toc227883203 \h </w:instrText>
        </w:r>
        <w:r>
          <w:rPr>
            <w:webHidden/>
          </w:rPr>
        </w:r>
        <w:r>
          <w:rPr>
            <w:webHidden/>
          </w:rPr>
          <w:fldChar w:fldCharType="separate"/>
        </w:r>
        <w:r>
          <w:rPr>
            <w:webHidden/>
          </w:rPr>
          <w:t>5</w:t>
        </w:r>
        <w:r>
          <w:rPr>
            <w:webHidden/>
          </w:rPr>
          <w:fldChar w:fldCharType="end"/>
        </w:r>
      </w:hyperlink>
    </w:p>
    <w:p w14:paraId="439A0657" w14:textId="313E1C7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4" w:history="1">
        <w:r w:rsidRPr="00CE6FA0">
          <w:rPr>
            <w:rStyle w:val="Hyperlink"/>
            <w:rFonts w:eastAsiaTheme="majorEastAsia"/>
          </w:rPr>
          <w:t>A.6</w:t>
        </w:r>
        <w:r>
          <w:rPr>
            <w:rFonts w:asciiTheme="minorHAnsi" w:eastAsiaTheme="minorEastAsia" w:hAnsiTheme="minorHAnsi" w:cstheme="minorBidi"/>
            <w:kern w:val="2"/>
            <w14:ligatures w14:val="standardContextual"/>
          </w:rPr>
          <w:tab/>
        </w:r>
        <w:r w:rsidRPr="00CE6FA0">
          <w:rPr>
            <w:rStyle w:val="Hyperlink"/>
            <w:rFonts w:eastAsiaTheme="majorEastAsia"/>
          </w:rPr>
          <w:t>Security and Privacy Officer</w:t>
        </w:r>
        <w:r>
          <w:rPr>
            <w:webHidden/>
          </w:rPr>
          <w:tab/>
        </w:r>
        <w:r w:rsidR="00707972">
          <w:rPr>
            <w:webHidden/>
          </w:rPr>
          <w:t>A-</w:t>
        </w:r>
        <w:r>
          <w:rPr>
            <w:webHidden/>
          </w:rPr>
          <w:fldChar w:fldCharType="begin"/>
        </w:r>
        <w:r>
          <w:rPr>
            <w:webHidden/>
          </w:rPr>
          <w:instrText xml:space="preserve"> PAGEREF _Toc227883204 \h </w:instrText>
        </w:r>
        <w:r>
          <w:rPr>
            <w:webHidden/>
          </w:rPr>
        </w:r>
        <w:r>
          <w:rPr>
            <w:webHidden/>
          </w:rPr>
          <w:fldChar w:fldCharType="separate"/>
        </w:r>
        <w:r>
          <w:rPr>
            <w:webHidden/>
          </w:rPr>
          <w:t>6</w:t>
        </w:r>
        <w:r>
          <w:rPr>
            <w:webHidden/>
          </w:rPr>
          <w:fldChar w:fldCharType="end"/>
        </w:r>
      </w:hyperlink>
    </w:p>
    <w:p w14:paraId="7B916685" w14:textId="79026071" w:rsidR="00E80859" w:rsidRDefault="00E80859">
      <w:pPr>
        <w:pStyle w:val="TOC1"/>
        <w:rPr>
          <w:rFonts w:asciiTheme="minorHAnsi" w:eastAsiaTheme="minorEastAsia" w:hAnsiTheme="minorHAnsi" w:cstheme="minorBidi"/>
          <w:kern w:val="2"/>
          <w14:ligatures w14:val="standardContextual"/>
        </w:rPr>
      </w:pPr>
      <w:hyperlink w:anchor="_Toc227883208" w:history="1">
        <w:r w:rsidRPr="00CE6FA0">
          <w:rPr>
            <w:rStyle w:val="Hyperlink"/>
            <w:rFonts w:eastAsiaTheme="majorEastAsia"/>
          </w:rPr>
          <w:t>List of Acronyms and Abbreviations</w:t>
        </w:r>
        <w:r>
          <w:rPr>
            <w:webHidden/>
          </w:rPr>
          <w:tab/>
        </w:r>
        <w:r>
          <w:rPr>
            <w:webHidden/>
          </w:rPr>
          <w:fldChar w:fldCharType="begin"/>
        </w:r>
        <w:r>
          <w:rPr>
            <w:webHidden/>
          </w:rPr>
          <w:instrText xml:space="preserve"> PAGEREF _Toc227883208 \h </w:instrText>
        </w:r>
        <w:r>
          <w:rPr>
            <w:webHidden/>
          </w:rPr>
        </w:r>
        <w:r>
          <w:rPr>
            <w:webHidden/>
          </w:rPr>
          <w:fldChar w:fldCharType="separate"/>
        </w:r>
        <w:r>
          <w:rPr>
            <w:webHidden/>
          </w:rPr>
          <w:t>8</w:t>
        </w:r>
        <w:r>
          <w:rPr>
            <w:webHidden/>
          </w:rPr>
          <w:fldChar w:fldCharType="end"/>
        </w:r>
      </w:hyperlink>
    </w:p>
    <w:p w14:paraId="1416F601" w14:textId="46343024" w:rsidR="00E80859" w:rsidRDefault="00E80859">
      <w:pPr>
        <w:pStyle w:val="TOC1"/>
        <w:rPr>
          <w:rFonts w:asciiTheme="minorHAnsi" w:eastAsiaTheme="minorEastAsia" w:hAnsiTheme="minorHAnsi" w:cstheme="minorBidi"/>
          <w:kern w:val="2"/>
          <w14:ligatures w14:val="standardContextual"/>
        </w:rPr>
      </w:pPr>
      <w:hyperlink w:anchor="_Toc227883209" w:history="1">
        <w:r w:rsidRPr="00CE6FA0">
          <w:rPr>
            <w:rStyle w:val="Hyperlink"/>
            <w:rFonts w:eastAsiaTheme="majorEastAsia"/>
          </w:rPr>
          <w:t>Compliance Matrix</w:t>
        </w:r>
        <w:r>
          <w:rPr>
            <w:webHidden/>
          </w:rPr>
          <w:tab/>
        </w:r>
        <w:r>
          <w:rPr>
            <w:webHidden/>
          </w:rPr>
          <w:fldChar w:fldCharType="begin"/>
        </w:r>
        <w:r>
          <w:rPr>
            <w:webHidden/>
          </w:rPr>
          <w:instrText xml:space="preserve"> PAGEREF _Toc227883209 \h </w:instrText>
        </w:r>
        <w:r>
          <w:rPr>
            <w:webHidden/>
          </w:rPr>
        </w:r>
        <w:r>
          <w:rPr>
            <w:webHidden/>
          </w:rPr>
          <w:fldChar w:fldCharType="separate"/>
        </w:r>
        <w:r>
          <w:rPr>
            <w:webHidden/>
          </w:rPr>
          <w:t>10</w:t>
        </w:r>
        <w:r>
          <w:rPr>
            <w:webHidden/>
          </w:rPr>
          <w:fldChar w:fldCharType="end"/>
        </w:r>
      </w:hyperlink>
    </w:p>
    <w:p w14:paraId="76FD20A4" w14:textId="515D1A62" w:rsidR="002105BC" w:rsidRDefault="00381F1F" w:rsidP="00312BB4">
      <w:pPr>
        <w:pStyle w:val="Lettertext"/>
      </w:pPr>
      <w:r>
        <w:fldChar w:fldCharType="end"/>
      </w:r>
      <w:r w:rsidR="002105BC">
        <w:t xml:space="preserve">List of </w:t>
      </w:r>
      <w:r w:rsidR="002105BC" w:rsidRPr="00B010E3">
        <w:t>Figures</w:t>
      </w:r>
    </w:p>
    <w:p w14:paraId="3A4BE29B" w14:textId="77777777" w:rsidR="00960CE9" w:rsidRDefault="00381F1F" w:rsidP="00BF70AA">
      <w:pPr>
        <w:pStyle w:val="BodyText"/>
        <w:rPr>
          <w:noProof/>
        </w:rPr>
      </w:pPr>
      <w:r>
        <w:rPr>
          <w:noProof/>
        </w:rPr>
        <w:fldChar w:fldCharType="end"/>
      </w:r>
    </w:p>
    <w:sdt>
      <w:sdtPr>
        <w:rPr>
          <w:rFonts w:eastAsiaTheme="minorEastAsia" w:cstheme="minorBidi"/>
          <w:b w:val="0"/>
          <w:color w:val="FF0000"/>
          <w:sz w:val="24"/>
          <w:szCs w:val="24"/>
        </w:rPr>
        <w:id w:val="84682678"/>
        <w:docPartObj>
          <w:docPartGallery w:val="Table of Contents"/>
          <w:docPartUnique/>
        </w:docPartObj>
      </w:sdtPr>
      <w:sdtEndPr/>
      <w:sdtContent>
        <w:p w14:paraId="0C412E13" w14:textId="77777777" w:rsidR="00344246" w:rsidRDefault="00344246" w:rsidP="00634944">
          <w:pPr>
            <w:pStyle w:val="HeadingNoTOC"/>
          </w:pPr>
          <w:r>
            <w:t>List of Tables</w:t>
          </w:r>
        </w:p>
        <w:p w14:paraId="3B91599B" w14:textId="77777777" w:rsidR="0019731D" w:rsidRDefault="00381F1F">
          <w:pPr>
            <w:pStyle w:val="TableofFigures"/>
            <w:tabs>
              <w:tab w:val="right" w:leader="dot" w:pos="9350"/>
            </w:tabs>
            <w:rPr>
              <w:rFonts w:asciiTheme="minorHAnsi" w:eastAsiaTheme="minorEastAsia" w:hAnsiTheme="minorHAnsi" w:cstheme="minorBidi"/>
              <w:sz w:val="22"/>
              <w:szCs w:val="22"/>
            </w:rPr>
          </w:pPr>
          <w:r>
            <w:rPr>
              <w:rFonts w:ascii="Times New Roman" w:eastAsiaTheme="minorHAnsi" w:hAnsi="Times New Roman" w:cstheme="minorBidi"/>
              <w:noProof w:val="0"/>
              <w:color w:val="000066"/>
              <w:sz w:val="20"/>
              <w:szCs w:val="22"/>
            </w:rPr>
            <w:fldChar w:fldCharType="begin"/>
          </w:r>
          <w:r w:rsidR="00344246">
            <w:rPr>
              <w:color w:val="000066"/>
              <w:sz w:val="20"/>
            </w:rPr>
            <w:instrText xml:space="preserve"> TOC \h \z \t "Table Title" \c </w:instrText>
          </w:r>
          <w:r>
            <w:rPr>
              <w:rFonts w:ascii="Times New Roman" w:eastAsiaTheme="minorHAnsi" w:hAnsi="Times New Roman" w:cstheme="minorBidi"/>
              <w:noProof w:val="0"/>
              <w:color w:val="000066"/>
              <w:sz w:val="20"/>
              <w:szCs w:val="22"/>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52276CD1" w14:textId="77777777" w:rsidR="00344246" w:rsidRDefault="00381F1F" w:rsidP="00634944">
          <w:pPr>
            <w:pStyle w:val="XCoverLetterBodyText"/>
          </w:pPr>
          <w:r>
            <w:rPr>
              <w:rFonts w:ascii="Arial" w:eastAsia="Times New Roman" w:hAnsi="Arial" w:cs="Times New Roman"/>
              <w:noProof/>
              <w:color w:val="000066"/>
              <w:sz w:val="20"/>
              <w:szCs w:val="24"/>
            </w:rPr>
            <w:fldChar w:fldCharType="end"/>
          </w:r>
        </w:p>
        <w:p w14:paraId="4D868224" w14:textId="77777777" w:rsidR="00DB7546" w:rsidRDefault="008C1628" w:rsidP="000218B2">
          <w:pPr>
            <w:pStyle w:val="ParagraphSpacer"/>
          </w:pPr>
        </w:p>
      </w:sdtContent>
    </w:sdt>
    <w:p w14:paraId="3C3B6E5A" w14:textId="77777777" w:rsidR="00694925" w:rsidRDefault="00694925" w:rsidP="00802D80">
      <w:pPr>
        <w:pStyle w:val="Heading1"/>
        <w:sectPr w:rsidR="00694925" w:rsidSect="000B1BCE">
          <w:headerReference w:type="default" r:id="rId26"/>
          <w:footerReference w:type="default" r:id="rId27"/>
          <w:pgSz w:w="12240" w:h="15840" w:code="1"/>
          <w:pgMar w:top="1440" w:right="1440" w:bottom="1440" w:left="1440" w:header="720" w:footer="576" w:gutter="0"/>
          <w:pgNumType w:fmt="lowerRoman" w:start="1"/>
          <w:cols w:space="720"/>
          <w:docGrid w:linePitch="360"/>
        </w:sectPr>
      </w:pPr>
    </w:p>
    <w:p w14:paraId="01D5BE38" w14:textId="4951219D" w:rsidR="009E3656" w:rsidRDefault="009E3656" w:rsidP="009E3656">
      <w:pPr>
        <w:pStyle w:val="Heading1"/>
      </w:pPr>
      <w:bookmarkStart w:id="1" w:name="_Toc227883174"/>
      <w:commentRangeStart w:id="2"/>
      <w:r>
        <w:t>1</w:t>
      </w:r>
      <w:commentRangeEnd w:id="2"/>
      <w:r>
        <w:rPr>
          <w:rStyle w:val="CommentReference"/>
          <w:sz w:val="28"/>
          <w:szCs w:val="28"/>
        </w:rPr>
        <w:commentReference w:id="2"/>
      </w:r>
      <w:r>
        <w:t>.0</w:t>
      </w:r>
      <w:r>
        <w:tab/>
      </w:r>
      <w:commentRangeStart w:id="3"/>
      <w:r w:rsidRPr="001F29D8">
        <w:t>Section 1</w:t>
      </w:r>
      <w:r w:rsidR="0001573B">
        <w:t xml:space="preserve">: </w:t>
      </w:r>
      <w:r w:rsidRPr="001F29D8">
        <w:t>Technical Understanding and Approach</w:t>
      </w:r>
      <w:commentRangeEnd w:id="3"/>
      <w:r w:rsidR="00486D0C">
        <w:rPr>
          <w:rStyle w:val="CommentReference"/>
          <w:sz w:val="28"/>
          <w:szCs w:val="28"/>
        </w:rPr>
        <w:commentReference w:id="3"/>
      </w:r>
      <w:r w:rsidR="00562A40">
        <w:t xml:space="preserve"> </w:t>
      </w:r>
      <w:r w:rsidR="00562A40" w:rsidRPr="00562A40">
        <w:rPr>
          <w:color w:val="FF0000"/>
        </w:rPr>
        <w:t>(</w:t>
      </w:r>
      <w:commentRangeStart w:id="4"/>
      <w:r w:rsidR="00562A40" w:rsidRPr="00562A40">
        <w:rPr>
          <w:color w:val="FF0000"/>
        </w:rPr>
        <w:t xml:space="preserve">Total </w:t>
      </w:r>
      <w:commentRangeEnd w:id="4"/>
      <w:r w:rsidR="00577FD6" w:rsidRPr="00562A40">
        <w:rPr>
          <w:rStyle w:val="CommentReference"/>
          <w:color w:val="FF0000"/>
          <w:sz w:val="28"/>
          <w:szCs w:val="28"/>
        </w:rPr>
        <w:commentReference w:id="4"/>
      </w:r>
      <w:r w:rsidR="00562A40" w:rsidRPr="00562A40">
        <w:rPr>
          <w:color w:val="FF0000"/>
        </w:rPr>
        <w:t xml:space="preserve">40 </w:t>
      </w:r>
      <w:commentRangeStart w:id="5"/>
      <w:r w:rsidR="00562A40" w:rsidRPr="00562A40">
        <w:rPr>
          <w:color w:val="FF0000"/>
        </w:rPr>
        <w:t>Pages</w:t>
      </w:r>
      <w:commentRangeEnd w:id="5"/>
      <w:r w:rsidR="00AC5460" w:rsidRPr="00562A40">
        <w:rPr>
          <w:rStyle w:val="CommentReference"/>
          <w:color w:val="FF0000"/>
          <w:sz w:val="28"/>
          <w:szCs w:val="28"/>
        </w:rPr>
        <w:commentReference w:id="5"/>
      </w:r>
      <w:r w:rsidR="00562A40" w:rsidRPr="00562A40">
        <w:rPr>
          <w:color w:val="FF0000"/>
        </w:rPr>
        <w:t>)</w:t>
      </w:r>
      <w:bookmarkEnd w:id="1"/>
    </w:p>
    <w:p w14:paraId="7FEF247C" w14:textId="03C5AEBF" w:rsidR="009E3656" w:rsidRDefault="009E3656" w:rsidP="009E3656">
      <w:pPr>
        <w:pStyle w:val="Heading2"/>
        <w:rPr>
          <w:color w:val="FF0000"/>
        </w:rPr>
      </w:pPr>
      <w:bookmarkStart w:id="6" w:name="_Toc227883175"/>
      <w:r>
        <w:t>1.1</w:t>
      </w:r>
      <w:r>
        <w:tab/>
      </w:r>
      <w:commentRangeStart w:id="7"/>
      <w:r w:rsidRPr="0069296D">
        <w:t>Sub-Section 1A: Understanding of CMS’ Program and Acquisition Objectives</w:t>
      </w:r>
      <w:bookmarkEnd w:id="6"/>
      <w:commentRangeEnd w:id="7"/>
      <w:r w:rsidR="005A229D">
        <w:rPr>
          <w:rStyle w:val="CommentReference"/>
          <w:sz w:val="26"/>
          <w:szCs w:val="26"/>
        </w:rPr>
        <w:commentReference w:id="7"/>
      </w:r>
      <w:r w:rsidR="00C36647">
        <w:t xml:space="preserve"> </w:t>
      </w:r>
      <w:r w:rsidR="00C36647" w:rsidRPr="002548B6">
        <w:rPr>
          <w:color w:val="FF0000"/>
        </w:rPr>
        <w:t>(</w:t>
      </w:r>
      <w:r w:rsidR="002548B6" w:rsidRPr="002548B6">
        <w:rPr>
          <w:color w:val="FF0000"/>
        </w:rPr>
        <w:t>1 Page)</w:t>
      </w:r>
    </w:p>
    <w:p w14:paraId="11407351" w14:textId="38498F6F" w:rsidR="00A757CF" w:rsidRPr="00A757CF" w:rsidRDefault="2A470EA5" w:rsidP="04281253">
      <w:pPr>
        <w:pStyle w:val="BodyText"/>
        <w:rPr>
          <w:b/>
          <w:bCs/>
        </w:rPr>
      </w:pPr>
      <w:commentRangeStart w:id="8"/>
      <w:r>
        <w:t>Our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CMS Data Services Hub (DSH), State-Based Marketplaces, and the issuer community is far more than an administrative IT task. It is the vital mechanism that keeps over 24 million Marketplace enrollees connected to their doctors, ensures Advance Premium Tax Credits (APTC) are perfectly calibrated, and prevents devastating tax liabilities. Deloitte is committed to bringing a refreshed methodology to sustain and modernize these mission-critical workstreams — treating program integrity not as a compliance obligation layered on top of operations, but as a design principle embedded in every platform control, business rule, workflow, and quality checkpoint — proactively identifying and neutralizing fraud, waste, and abuse before it propagates into casework, payments, or tax reporting, safeguarding federal taxpayer dollars and the health and financial security of consumers.</w:t>
      </w:r>
      <w:commentRangeEnd w:id="8"/>
      <w:r>
        <w:rPr>
          <w:rStyle w:val="CommentReference"/>
          <w:sz w:val="24"/>
          <w:szCs w:val="22"/>
        </w:rPr>
      </w:r>
      <w:r/>
      <w:commentRangeStart w:id="9"/>
      <w:r w:rsidR="0B4081CF" w:rsidRPr="04281253">
        <w:rPr>
          <w:i/>
          <w:iCs/>
          <w:color w:val="7030A0"/>
        </w:rPr>
      </w:r>
      <w:commentRangeEnd w:id="9"/>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commentRangeStart w:id="10"/>
      <w:r w:rsidRPr="04281253">
        <w:rPr>
          <w:i/>
          <w:iCs/>
          <w:color w:val="7030A0"/>
        </w:rPr>
      </w:r>
      <w:commentRangeEnd w:id="10"/>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p>
    <w:p w14:paraId="64F5BE0F" w14:textId="77777777" w:rsidR="00A757CF" w:rsidRDefault="00A757CF" w:rsidP="0025604C">
      <w:pPr>
        <w:pStyle w:val="BodyText"/>
        <w:rPr>
          <w:b/>
        </w:rPr>
      </w:pPr>
      <w:r w:rsidRPr="00A757CF">
        <w:t>We bring a 360-degree perspective to this challenge, built upon our successful delivery of resolution and reconciliation solutions for five State-Based Marketplaces (SBMs) and leading national issuers such as Anthem and Kaiser Permanente. To address the full scope of CCIIO’s Statement of Work, we scale this state and commercial agility to the federal level by deploying a frontline workforce of highly experienced caseworkers equipped with modernized telephony and omnichannel support systems. By combining this human-centric operational expertise with comprehensive systems integration, advanced data analytics to detect and prevent improper payments, and Agile delivery, we ensure complex consumer disputes and Form 1095-A inquiries are resolved swiftly and accurately. Today, CMS, HHS, and the IRS trust Deloitte to secure, stabilize, and innovate their most complex, large-scale operations.</w:t>
      </w:r>
    </w:p>
    <w:p w14:paraId="29BD9E3C" w14:textId="0CCEE33A" w:rsidR="00ED0F54" w:rsidRPr="00BC7429" w:rsidRDefault="00374692" w:rsidP="0025604C">
      <w:pPr>
        <w:pStyle w:val="BodyText"/>
        <w:rPr>
          <w:b/>
        </w:rPr>
      </w:pPr>
      <w:r w:rsidRPr="00374692">
        <w:t>Deloitte understands CMS' primary objective for this acquisition is to partner with a System Integrator capable of maintaining the operational stability of the ER&amp;R program while actively driving innovation, efficiency, and continuous improvement to achieve the following:</w:t>
      </w:r>
      <w:del w:id="11" w:author="Bowman, Kelly" w:date="2026-04-27T08:01:00Z" w16du:dateUtc="2026-04-27T12:01:00Z">
        <w:r w:rsidRPr="00374692">
          <w:delText>that CMS's</w:delText>
        </w:r>
      </w:del>
      <w:ins w:id="12" w:author="Bowman, Kelly" w:date="2026-04-27T08:01:00Z" w16du:dateUtc="2026-04-27T12:01:00Z">
        <w:r w:rsidR="00BC00D8">
          <w:t>a</w:t>
        </w:r>
      </w:ins>
      <w:r w:rsidRPr="00374692"/>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6930"/>
      </w:tblGrid>
      <w:tr w:rsidR="00167D15" w14:paraId="662492B7" w14:textId="596467BA"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05ED86E3" w14:textId="3A53F06A" w:rsidR="00020701" w:rsidRDefault="314693CC" w:rsidP="04281253">
            <w:pPr>
              <w:pStyle w:val="TableHeading"/>
              <w:rPr>
                <w:rFonts w:ascii="Arial" w:eastAsia="Arial" w:hAnsi="Arial" w:cs="Arial"/>
              </w:rPr>
            </w:pPr>
            <w:r>
              <w:t xml:space="preserve">Strategic </w:t>
            </w:r>
            <w:r w:rsidR="262E9214" w:rsidRPr="04281253">
              <w:rPr>
                <w:rFonts w:ascii="Arial" w:eastAsia="Arial" w:hAnsi="Arial" w:cs="Arial"/>
              </w:rPr>
              <w:t>Objective</w:t>
            </w:r>
            <w:commentRangeStart w:id="13"/>
            <w:commentRangeEnd w:id="13"/>
            <w:r w:rsidR="005C2E45">
              <w:rPr>
                <w:rStyle w:val="CommentReference"/>
                <w:rFonts w:ascii="Arial" w:eastAsia="Arial" w:hAnsi="Arial" w:cs="Arial"/>
                <w:sz w:val="20"/>
                <w:szCs w:val="22"/>
              </w:rPr>
              <w:commentReference w:id="13"/>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606DDF78" w14:textId="71015DAB" w:rsidR="00E214CC" w:rsidRDefault="00E214CC" w:rsidP="000C0AA7">
            <w:pPr>
              <w:pStyle w:val="TableHeading"/>
              <w:rPr>
                <w:rFonts w:ascii="Arial" w:eastAsia="Arial" w:hAnsi="Arial" w:cs="Arial"/>
                <w:b w:val="0"/>
                <w:bCs/>
                <w:szCs w:val="20"/>
              </w:rPr>
            </w:pPr>
            <w:r>
              <w:t>Strategic Outcome</w:t>
            </w:r>
          </w:p>
        </w:tc>
      </w:tr>
      <w:tr w:rsidR="00167D15" w14:paraId="778F31AF" w14:textId="75F6DCFA"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41D5DBC" w14:textId="2422DECD" w:rsidR="00020701" w:rsidRPr="006818B5" w:rsidRDefault="005C2E45" w:rsidP="009C2636">
            <w:pPr>
              <w:pStyle w:val="TableRowHeading"/>
            </w:pPr>
            <w:commentRangeStart w:id="14"/>
            <w:r w:rsidRPr="005C2E45">
              <w:t xml:space="preserve">Uncompromising </w:t>
            </w:r>
            <w:commentRangeEnd w:id="14"/>
            <w:r w:rsidR="00CA3896" w:rsidRPr="005C2E45">
              <w:rPr>
                <w:rStyle w:val="CommentReference"/>
                <w:sz w:val="20"/>
                <w:szCs w:val="22"/>
              </w:rPr>
              <w:commentReference w:id="14"/>
            </w:r>
            <w:r w:rsidRPr="005C2E45">
              <w:t>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61BE06" w14:textId="05601045" w:rsidR="007634B5" w:rsidRPr="006818B5" w:rsidRDefault="003855FB" w:rsidP="009C2636">
            <w:pPr>
              <w:pStyle w:val="TableBody"/>
            </w:pPr>
            <w:r w:rsidRPr="006818B5">
              <w:t>Deloitte will serve as the central steward of enrollment and financial data accuracy across the Federally</w:t>
            </w:r>
            <w:r w:rsidR="00B8101E" w:rsidRPr="00717ACD">
              <w:t xml:space="preserve"> </w:t>
            </w:r>
            <w:r w:rsidRPr="006818B5">
              <w:t xml:space="preserve">facilitated Exchange </w:t>
            </w:r>
            <w:r w:rsidR="00B75C22" w:rsidRPr="00B75C22">
              <w:t xml:space="preserve">(FFE) </w:t>
            </w:r>
            <w:r w:rsidRPr="006818B5">
              <w:t>and all State-Based Exchanges</w:t>
            </w:r>
            <w:r w:rsidR="00B75C22" w:rsidRPr="00B75C22">
              <w:t xml:space="preserve"> (SBEs).</w:t>
            </w:r>
            <w:r w:rsidRPr="006818B5">
              <w:t xml:space="preserve"> We will </w:t>
            </w:r>
            <w:r w:rsidR="00B75C22" w:rsidRPr="00B75C22">
              <w:t xml:space="preserve">systematically reconcile issuer </w:t>
            </w:r>
            <w:r w:rsidRPr="006818B5">
              <w:t>data</w:t>
            </w:r>
            <w:r w:rsidR="00B75C22" w:rsidRPr="00B75C22">
              <w:t>, accelerate</w:t>
            </w:r>
            <w:r w:rsidRPr="006818B5">
              <w:t xml:space="preserve"> discrepancy </w:t>
            </w:r>
            <w:r w:rsidR="00B75C22" w:rsidRPr="00B75C22">
              <w:t>resolution, and ensure all corrections are seamlessly synchronized with</w:t>
            </w:r>
            <w:r w:rsidRPr="006818B5">
              <w:t xml:space="preserve"> the FFE</w:t>
            </w:r>
            <w:r w:rsidR="00B75C22" w:rsidRPr="00B75C22">
              <w:t xml:space="preserve">. </w:t>
            </w:r>
            <w:r w:rsidR="00717ACD" w:rsidRPr="00717ACD">
              <w:t xml:space="preserve">By empowering issuers to resolve disputes efficiently, we facilitate timely, accurate payments and enable the rapid cancellation of </w:t>
            </w:r>
            <w:r w:rsidR="00717ACD" w:rsidRPr="00717ACD">
              <w:lastRenderedPageBreak/>
              <w:t>erroneous enrollments.</w:t>
            </w:r>
            <w:r w:rsidR="00717ACD">
              <w:t xml:space="preserve"> </w:t>
            </w:r>
            <w:r w:rsidR="00B75C22" w:rsidRPr="00B75C22">
              <w:t>Our ultimate outcome:</w:t>
            </w:r>
            <w:r w:rsidRPr="006818B5">
              <w:t xml:space="preserve"> the right enrollee is in the </w:t>
            </w:r>
            <w:r w:rsidR="00B75C22" w:rsidRPr="00B75C22">
              <w:t>correct</w:t>
            </w:r>
            <w:r w:rsidRPr="006818B5">
              <w:t xml:space="preserve"> plan, receiving the </w:t>
            </w:r>
            <w:r w:rsidR="00B75C22" w:rsidRPr="00B75C22">
              <w:t>precise</w:t>
            </w:r>
            <w:r w:rsidRPr="006818B5">
              <w:t xml:space="preserve"> amount of financial assistance, </w:t>
            </w:r>
            <w:r w:rsidR="00B75C22" w:rsidRPr="00B75C22">
              <w:t>month after</w:t>
            </w:r>
            <w:r w:rsidRPr="006818B5">
              <w:t xml:space="preserve"> month.</w:t>
            </w:r>
          </w:p>
        </w:tc>
      </w:tr>
      <w:tr w:rsidR="00E214CC" w14:paraId="7645B1FF" w14:textId="740CDFB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0B10D7A1" w14:textId="35F286D2" w:rsidR="00E214CC" w:rsidRPr="006818B5" w:rsidRDefault="0070783E" w:rsidP="009C2636">
            <w:pPr>
              <w:pStyle w:val="TableRowHeading"/>
              <w:rPr>
                <w:rFonts w:ascii="Arial" w:eastAsia="Arial" w:hAnsi="Arial" w:cs="Arial"/>
                <w:color w:val="2C2C2C"/>
              </w:rPr>
            </w:pPr>
            <w:r>
              <w:lastRenderedPageBreak/>
              <w:t>Seamless</w:t>
            </w:r>
            <w:r w:rsidR="00CC5BC7" w:rsidRPr="00CC5BC7">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2CEF5D1A" w14:textId="03E3A38D" w:rsidR="00E214CC" w:rsidRPr="006818B5" w:rsidRDefault="00F30E0F" w:rsidP="009C2636">
            <w:pPr>
              <w:pStyle w:val="TableBody"/>
            </w:pPr>
            <w:r w:rsidRPr="006818B5">
              <w:t xml:space="preserve">Deloitte will </w:t>
            </w:r>
            <w:r w:rsidR="00245A0F" w:rsidRPr="00245A0F">
              <w:t>safeguard</w:t>
            </w:r>
            <w:r w:rsidRPr="006818B5">
              <w:t xml:space="preserve"> Marketplace </w:t>
            </w:r>
            <w:r w:rsidR="00245A0F" w:rsidRPr="00245A0F">
              <w:t>enrollees'</w:t>
            </w:r>
            <w:r w:rsidRPr="006818B5">
              <w:t xml:space="preserve"> ability to file their </w:t>
            </w:r>
            <w:r w:rsidR="00245A0F" w:rsidRPr="00245A0F">
              <w:t xml:space="preserve">federal </w:t>
            </w:r>
            <w:r w:rsidRPr="006818B5">
              <w:t>taxes accurately and maintain their health coverage without disruption. We will resolve Form 1095-A disputes with urgency and precision</w:t>
            </w:r>
            <w:r w:rsidR="00245A0F" w:rsidRPr="00245A0F">
              <w:t>—dynamically</w:t>
            </w:r>
            <w:r w:rsidRPr="006818B5">
              <w:t xml:space="preserve"> scaling our workforce to meet peak tax</w:t>
            </w:r>
            <w:r w:rsidR="00245A0F" w:rsidRPr="00245A0F">
              <w:t>-</w:t>
            </w:r>
            <w:r w:rsidRPr="006818B5">
              <w:t xml:space="preserve">season </w:t>
            </w:r>
            <w:r w:rsidR="00245A0F" w:rsidRPr="00245A0F">
              <w:t>demands. Furthermore, we</w:t>
            </w:r>
            <w:r w:rsidRPr="006818B5">
              <w:t xml:space="preserve"> will ensure that consumers facing the most complex enrollment barriers receive dedicated, expert assistance </w:t>
            </w:r>
            <w:r w:rsidR="00245A0F" w:rsidRPr="00245A0F">
              <w:t>through the Complex Case Help Center (CCHC), delivering</w:t>
            </w:r>
            <w:r w:rsidRPr="006818B5">
              <w:t xml:space="preserve"> lasting </w:t>
            </w:r>
            <w:r w:rsidR="00245A0F" w:rsidRPr="00245A0F">
              <w:t>root-cause resolutions rather than mere</w:t>
            </w:r>
            <w:r w:rsidRPr="006818B5">
              <w:t xml:space="preserve"> case </w:t>
            </w:r>
            <w:r w:rsidR="00245A0F" w:rsidRPr="00245A0F">
              <w:t>closures.</w:t>
            </w:r>
          </w:p>
        </w:tc>
      </w:tr>
      <w:tr w:rsidR="00E214CC" w14:paraId="7DAC0801" w14:textId="43B0D99F"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A091057" w14:textId="5BFDE063" w:rsidR="00E214CC" w:rsidRPr="006818B5" w:rsidRDefault="007A362C" w:rsidP="009C2636">
            <w:pPr>
              <w:pStyle w:val="TableRowHeading"/>
              <w:rPr>
                <w:sz w:val="21"/>
                <w:szCs w:val="20"/>
              </w:rPr>
            </w:pPr>
            <w:r w:rsidRPr="006818B5">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999242" w14:textId="1D4E065F" w:rsidR="00E214CC" w:rsidRPr="006818B5" w:rsidRDefault="006818B5" w:rsidP="009C2636">
            <w:pPr>
              <w:pStyle w:val="TableBody"/>
            </w:pPr>
            <w:r w:rsidRPr="006818B5">
              <w:t xml:space="preserve">Deloitte </w:t>
            </w:r>
            <w:r w:rsidR="001927AA" w:rsidRPr="001927AA">
              <w:t>will</w:t>
            </w:r>
            <w:r w:rsidRPr="006818B5">
              <w:t xml:space="preserve"> continuously advance the technical capabilities that power the ER&amp;R mission</w:t>
            </w:r>
            <w:r w:rsidR="001927AA" w:rsidRPr="001927AA">
              <w:t>. We will modernize core systems—including</w:t>
            </w:r>
            <w:r w:rsidRPr="006818B5">
              <w:t xml:space="preserve"> CERRS, HICS, SEED, and EDA CORE</w:t>
            </w:r>
            <w:r w:rsidR="001927AA" w:rsidRPr="001927AA">
              <w:t>—on a secure,</w:t>
            </w:r>
            <w:r w:rsidRPr="006818B5">
              <w:t xml:space="preserve"> Azure cloud-native architecture</w:t>
            </w:r>
            <w:r w:rsidR="001927AA" w:rsidRPr="001927AA">
              <w:t>. To accelerate discrepancy resolution and system maintenance, we will integrate</w:t>
            </w:r>
            <w:r w:rsidRPr="006818B5">
              <w:t xml:space="preserve"> AI-</w:t>
            </w:r>
            <w:r w:rsidR="001927AA" w:rsidRPr="001927AA">
              <w:t xml:space="preserve">driven innovations to streamline complex operational activities, ensuring </w:t>
            </w:r>
            <w:r w:rsidRPr="006818B5">
              <w:t xml:space="preserve">full </w:t>
            </w:r>
            <w:r w:rsidR="001927AA" w:rsidRPr="001927AA">
              <w:t xml:space="preserve">algorithmic </w:t>
            </w:r>
            <w:r w:rsidRPr="006818B5">
              <w:t xml:space="preserve">transparency </w:t>
            </w:r>
            <w:r w:rsidR="001927AA" w:rsidRPr="001927AA">
              <w:t xml:space="preserve">is </w:t>
            </w:r>
            <w:r w:rsidRPr="006818B5">
              <w:t>documented in the PIOP</w:t>
            </w:r>
            <w:r w:rsidR="001927AA" w:rsidRPr="001927AA">
              <w:t>. Concurrently, we will build an advanced</w:t>
            </w:r>
            <w:r w:rsidRPr="006818B5">
              <w:t xml:space="preserve"> data analytics infrastructure that </w:t>
            </w:r>
            <w:r w:rsidR="001927AA" w:rsidRPr="001927AA">
              <w:t>empowers</w:t>
            </w:r>
            <w:r w:rsidRPr="006818B5">
              <w:t xml:space="preserve"> CMS and issuers </w:t>
            </w:r>
            <w:r w:rsidR="001927AA" w:rsidRPr="001927AA">
              <w:t xml:space="preserve">with </w:t>
            </w:r>
            <w:r w:rsidRPr="006818B5">
              <w:t xml:space="preserve">real-time visibility into enrollment alignment. We will treat every </w:t>
            </w:r>
            <w:r w:rsidR="001927AA" w:rsidRPr="001927AA">
              <w:t xml:space="preserve">Agile </w:t>
            </w:r>
            <w:r w:rsidRPr="006818B5">
              <w:t xml:space="preserve">release cycle as </w:t>
            </w:r>
            <w:r w:rsidR="001927AA" w:rsidRPr="001927AA">
              <w:t>a strategic</w:t>
            </w:r>
            <w:r w:rsidRPr="006818B5">
              <w:t xml:space="preserve"> opportunity to reduce manual burden, improve system reliability, and deliver measurable</w:t>
            </w:r>
            <w:r w:rsidR="001927AA" w:rsidRPr="001927AA">
              <w:t>, rapid-turnaround</w:t>
            </w:r>
            <w:r w:rsidRPr="006818B5">
              <w:t xml:space="preserve"> efficiency gains to the program.</w:t>
            </w:r>
          </w:p>
        </w:tc>
      </w:tr>
      <w:tr w:rsidR="00E214CC" w14:paraId="741DB9D7" w14:textId="0F7372DC"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94879AC" w14:textId="3A0C1C52" w:rsidR="00E214CC" w:rsidRPr="006818B5" w:rsidRDefault="00D85C3C" w:rsidP="009C2636">
            <w:pPr>
              <w:pStyle w:val="TableRowHeading"/>
            </w:pPr>
            <w:r w:rsidRPr="00D85C3C">
              <w:rPr>
                <w:bCs/>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5B0A226F" w14:textId="7F3769FD" w:rsidR="00E214CC" w:rsidRPr="006818B5" w:rsidRDefault="004B72E9" w:rsidP="009C2636">
            <w:pPr>
              <w:pStyle w:val="TableBody"/>
            </w:pPr>
            <w:r w:rsidRPr="004B72E9">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t>CMS and CCIIO</w:t>
            </w:r>
            <w:r w:rsidRPr="004B72E9">
              <w:t>.</w:t>
            </w:r>
          </w:p>
        </w:tc>
      </w:tr>
      <w:tr w:rsidR="00CB62AF" w14:paraId="66310EF8"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54A5CB0F" w14:textId="601CDE95" w:rsidR="00CB62AF" w:rsidRPr="006818B5" w:rsidRDefault="00D735E5" w:rsidP="009C2636">
            <w:pPr>
              <w:pStyle w:val="TableRowHeading"/>
            </w:pPr>
            <w:r w:rsidRPr="00D735E5">
              <w:rPr>
                <w:bCs/>
              </w:rPr>
              <w:t>Excellence in</w:t>
            </w:r>
            <w:r>
              <w:rPr>
                <w:bCs/>
              </w:rPr>
              <w:t xml:space="preserve"> </w:t>
            </w:r>
            <w:r w:rsidR="00AB50CC" w:rsidRPr="006818B5">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DE5711B" w14:textId="416CC11B" w:rsidR="00CB62AF" w:rsidRPr="006818B5" w:rsidRDefault="000C3D93" w:rsidP="009C2636">
            <w:pPr>
              <w:pStyle w:val="TableBody"/>
            </w:pPr>
            <w:r>
              <w:t xml:space="preserve">Deloitte </w:t>
            </w:r>
            <w:r w:rsidRPr="000C3D93">
              <w:t xml:space="preserve">will </w:t>
            </w:r>
            <w:r w:rsidR="00AB6A93" w:rsidRPr="00AB6A93">
              <w:t xml:space="preserve">operate as a true partner to </w:t>
            </w:r>
            <w:r w:rsidRPr="000C3D93">
              <w:t>CMS</w:t>
            </w:r>
            <w:r w:rsidR="00AB6A93" w:rsidRPr="00AB6A93">
              <w:t xml:space="preserve">, ensuring </w:t>
            </w:r>
            <w:r w:rsidRPr="000C3D93">
              <w:t xml:space="preserve">complete, real-time </w:t>
            </w:r>
            <w:r w:rsidR="00AB6A93" w:rsidRPr="00AB6A93">
              <w:t>visibility into the health of the ER&amp;R</w:t>
            </w:r>
            <w:r w:rsidRPr="000C3D93">
              <w:t xml:space="preserve"> program</w:t>
            </w:r>
            <w:r w:rsidR="00AB6A93" w:rsidRPr="00AB6A93">
              <w:t>. Through</w:t>
            </w:r>
            <w:r w:rsidRPr="000C3D93">
              <w:t xml:space="preserve"> disciplined governance</w:t>
            </w:r>
            <w:r w:rsidR="00AB6A93" w:rsidRPr="00AB6A93">
              <w:t xml:space="preserve"> and </w:t>
            </w:r>
            <w:r w:rsidRPr="000C3D93">
              <w:t xml:space="preserve">proactive communication, </w:t>
            </w:r>
            <w:r w:rsidR="00AB6A93" w:rsidRPr="00AB6A93">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13018905" w14:textId="77777777" w:rsidTr="04281253">
        <w:trPr>
          <w:trHeight w:val="808"/>
          <w:ins w:id="15" w:author="Bowman, Kelly" w:date="2026-04-27T08:01:00Z" w16du:dateUtc="2026-04-27T12:01:00Z"/>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0866EDA" w14:textId="642E5AB0" w:rsidR="00BC00D8" w:rsidRPr="00D735E5" w:rsidRDefault="00BC00D8" w:rsidP="009C2636">
            <w:pPr>
              <w:pStyle w:val="TableRowHeading"/>
              <w:rPr>
                <w:ins w:id="16" w:author="Bowman, Kelly" w:date="2026-04-27T08:01:00Z" w16du:dateUtc="2026-04-27T12:01:00Z"/>
                <w:bCs/>
              </w:rPr>
            </w:pPr>
            <w:ins w:id="17" w:author="Bowman, Kelly" w:date="2026-04-27T08:01:00Z" w16du:dateUtc="2026-04-27T12:01:00Z">
              <w:r>
                <w:rPr>
                  <w:bCs/>
                </w:rPr>
                <w:t xml:space="preserve">Protect against fraud, waste, and abuse </w:t>
              </w:r>
            </w:ins>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60575FC2" w14:textId="77777777" w:rsidR="00BC00D8" w:rsidRDefault="00BC00D8" w:rsidP="009C2636">
            <w:pPr>
              <w:pStyle w:val="TableBody"/>
              <w:rPr>
                <w:ins w:id="18" w:author="Bowman, Kelly" w:date="2026-04-27T08:01:00Z" w16du:dateUtc="2026-04-27T12:01:00Z"/>
              </w:rPr>
            </w:pPr>
          </w:p>
        </w:tc>
      </w:tr>
    </w:tbl>
    <w:p w14:paraId="055AC5EF" w14:textId="77777777" w:rsidR="008A2E01" w:rsidRDefault="008A2E01" w:rsidP="0025604C">
      <w:pPr>
        <w:pStyle w:val="Bulletlevel1"/>
      </w:pPr>
      <w:r>
        <w:t>Deliver uninterrupted operations across all three workstreams — Enrollment Resolution &amp; Reconciliation (ER&amp;R), Form 1095-A Data Reporting, and the Complex Case Help Center (CCHC) — protecting the more than 24 million Marketplace consumers who depend on accurate enrollment, payment, and tax data from the first day of contract performance.</w:t>
      </w:r>
    </w:p>
    <w:p>
      <w:pPr>
        <w:pStyle w:val="Bulletlevel1"/>
      </w:pPr>
      <w:r>
        <w:t>Modernize the operating model through automation, AI-assisted casework, governed business-rule lifecycle management, and program-integrity-by-design controls — reducing manual effort, accelerating dispute resolution, and detecting fraud, waste, and abuse before improper payments and tax errors propagate downstream.</w:t>
      </w:r>
    </w:p>
    <w:p>
      <w:pPr>
        <w:pStyle w:val="Bulletlevel1"/>
      </w:pPr>
      <w:r>
        <w:t>Strengthen the FFE/SBE issuer ecosystem through transparent reporting, structured technical assistance, and proactive program intelligence — turning each dispute, casework trend, and 834 anomaly into a CMS-actionable recommendation rather than a backward-looking trend observation.</w:t>
      </w:r>
    </w:p>
    <w:p w14:paraId="464B9BD2" w14:textId="77777777" w:rsidR="008A2E01" w:rsidRDefault="008A2E01" w:rsidP="008A2E01">
      <w:pPr>
        <w:pStyle w:val="Heading2"/>
      </w:pPr>
      <w:r>
        <w:t>1.2</w:t>
      </w:r>
      <w:r>
        <w:tab/>
      </w:r>
      <w:commentRangeStart w:id="19"/>
      <w:r w:rsidRPr="00122D2C">
        <w:t>Sub-Section 1B: Approach to Performing the Requirements in the SOW</w:t>
      </w:r>
      <w:commentRangeEnd w:id="19"/>
      <w:r>
        <w:rPr>
          <w:rStyle w:val="CommentReference"/>
          <w:sz w:val="26"/>
          <w:szCs w:val="26"/>
        </w:rPr>
        <w:commentReference w:id="19"/>
      </w:r>
      <w:r>
        <w:t xml:space="preserve"> </w:t>
      </w:r>
      <w:r w:rsidRPr="00806273">
        <w:rPr>
          <w:color w:val="FF0000"/>
        </w:rPr>
        <w:t>(Total 18 Pages)</w:t>
      </w:r>
    </w:p>
    <w:p w14:paraId="36769CE9" w14:textId="77777777" w:rsidR="008A2E01" w:rsidRDefault="008A2E01" w:rsidP="008A2E01">
      <w:pPr>
        <w:pStyle w:val="Heading3"/>
        <w:rPr>
          <w:color w:val="FF0000"/>
        </w:rPr>
      </w:pPr>
      <w:bookmarkStart w:id="20" w:name="_Toc227883177"/>
      <w:r>
        <w:lastRenderedPageBreak/>
        <w:t>1.2.1</w:t>
      </w:r>
      <w:r>
        <w:tab/>
      </w:r>
      <w:r w:rsidRPr="00CC65CE">
        <w:t>Task 2: ER&amp;R Issuer Disputes</w:t>
      </w:r>
      <w:r>
        <w:t xml:space="preserve"> </w:t>
      </w:r>
      <w:r w:rsidRPr="002A0D27">
        <w:rPr>
          <w:vertAlign w:val="superscript"/>
        </w:rPr>
        <w:t>(SOW 3.2)</w:t>
      </w:r>
      <w:bookmarkEnd w:id="20"/>
      <w:r>
        <w:t xml:space="preserve"> </w:t>
      </w:r>
      <w:r w:rsidRPr="00806273">
        <w:rPr>
          <w:color w:val="FF0000"/>
        </w:rPr>
        <w:t>(2 Pages)</w:t>
      </w:r>
    </w:p>
    <w:p w14:paraId="6C481F9C" w14:textId="6819A729" w:rsidR="00DE030B" w:rsidRPr="00DE030B" w:rsidRDefault="00DE030B" w:rsidP="00DE030B">
      <w:pPr>
        <w:pStyle w:val="BodyText"/>
      </w:pPr>
      <w:commentRangeStart w:id="21"/>
      <w:commentRangeStart w:id="22"/>
      <w:r>
        <w:t>Deloitte’s</w:t>
      </w:r>
      <w:commentRangeEnd w:id="21"/>
      <w:r>
        <w:rPr>
          <w:rStyle w:val="CommentReference"/>
          <w:sz w:val="24"/>
          <w:szCs w:val="22"/>
        </w:rPr>
        <w:commentReference w:id="21"/>
      </w:r>
      <w:commentRangeEnd w:id="22"/>
      <w:r w:rsidR="00601B3C">
        <w:rPr>
          <w:rStyle w:val="CommentReference"/>
          <w:sz w:val="24"/>
          <w:szCs w:val="22"/>
        </w:rPr>
        <w:commentReference w:id="22"/>
      </w:r>
      <w:r>
        <w:t xml:space="preserve"> operating philosophy </w:t>
      </w:r>
      <w:commentRangeStart w:id="23"/>
      <w:r>
        <w:t xml:space="preserve">follows </w:t>
      </w:r>
      <w:commentRangeEnd w:id="23"/>
      <w:r w:rsidR="002A1669">
        <w:rPr>
          <w:rStyle w:val="CommentReference"/>
          <w:rFonts w:ascii="Courier New" w:hAnsi="Courier New"/>
        </w:rPr>
        <w:commentReference w:id="23"/>
      </w:r>
      <w:r>
        <w:t xml:space="preserve">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provide additional system insight above and beyond</w:t>
      </w:r>
      <w:r>
        <w:t xml:space="preserve"> what </w:t>
      </w:r>
      <w:r w:rsidR="00886395">
        <w:t xml:space="preserve">is already </w:t>
      </w:r>
      <w:r w:rsidR="00EC0459">
        <w:t>documented in</w:t>
      </w:r>
      <w:r>
        <w:t xml:space="preserve"> the </w:t>
      </w:r>
      <w:r w:rsidR="00EC0459">
        <w:t>SOPS</w:t>
      </w:r>
      <w:r>
        <w:t xml:space="preserve">. Deloitte applies structured assessment and optimization -- improving rule performance, refining staffing models, and strengthening program intelligence -- with CMS visibility and approval at each step. </w:t>
      </w:r>
    </w:p>
    <w:p w14:paraId="25F184B5" w14:textId="77777777" w:rsidR="00DE030B" w:rsidRPr="00B12833" w:rsidRDefault="00DE030B" w:rsidP="00DE030B">
      <w:pPr>
        <w:pStyle w:val="BodyText"/>
        <w:rPr>
          <w:color w:val="7030A0"/>
        </w:rPr>
      </w:pPr>
      <w:r w:rsidRPr="00B12833">
        <w:rPr>
          <w:i/>
          <w:color w:val="7030A0"/>
        </w:rPr>
        <w:t xml:space="preserve">Program integrity is not a compliance layer in this operating model. It is a design principle embedded in every task from Day 1. </w:t>
      </w:r>
      <w:r w:rsidRPr="00B12833">
        <w:rPr>
          <w:color w:val="7030A0"/>
        </w:rPr>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3D7CCFEC" w14:textId="77777777" w:rsidR="00DE030B" w:rsidRPr="00DE030B" w:rsidRDefault="00DE030B" w:rsidP="00DE030B">
      <w:pPr>
        <w:pStyle w:val="BodyText"/>
      </w:pPr>
    </w:p>
    <w:p w14:paraId="4FC507BB" w14:textId="77777777" w:rsidR="00DE030B" w:rsidRPr="009B3945" w:rsidRDefault="00DE030B" w:rsidP="00DE030B">
      <w:pPr>
        <w:pStyle w:val="BodyText"/>
        <w:rPr>
          <w:rStyle w:val="CharacterBold"/>
        </w:rPr>
      </w:pPr>
    </w:p>
    <w:p w14:paraId="18E0BF28" w14:textId="0CF88B61" w:rsidR="00497CA6" w:rsidRPr="009B3945" w:rsidRDefault="00497CA6" w:rsidP="00497CA6">
      <w:pPr>
        <w:pStyle w:val="BodyText"/>
        <w:rPr>
          <w:rStyle w:val="CharacterBold"/>
        </w:rPr>
      </w:pPr>
      <w:r w:rsidRPr="009B3945">
        <w:rPr>
          <w:rStyle w:val="CharacterBold"/>
        </w:rPr>
        <w:t xml:space="preserve">Shared </w:t>
      </w:r>
      <w:commentRangeStart w:id="24"/>
      <w:r w:rsidRPr="009B3945">
        <w:rPr>
          <w:rStyle w:val="CharacterBold"/>
        </w:rPr>
        <w:t>Transition-In Approach</w:t>
      </w:r>
      <w:commentRangeEnd w:id="24"/>
      <w:r w:rsidR="00136D3E" w:rsidRPr="009B3945">
        <w:rPr>
          <w:rStyle w:val="CommentReference"/>
          <w:b/>
          <w:sz w:val="24"/>
          <w:szCs w:val="22"/>
        </w:rPr>
        <w:commentReference w:id="24"/>
      </w:r>
      <w:r w:rsidRPr="009B3945">
        <w:rPr>
          <w:rStyle w:val="CharacterBold"/>
        </w:rPr>
        <w:t>: Tasks 2, 3, and 4</w:t>
      </w:r>
    </w:p>
    <w:p w14:paraId="069EAD9F" w14:textId="2B63504A" w:rsidR="002D0B8E" w:rsidRPr="002D0B8E" w:rsidRDefault="002D0B8E" w:rsidP="00E82016">
      <w:pPr>
        <w:pStyle w:val="BodyText"/>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1077724C" w14:textId="2579942F" w:rsidR="002D0B8E" w:rsidRPr="002D0B8E" w:rsidRDefault="002D0B8E" w:rsidP="00E82016">
      <w:pPr>
        <w:pStyle w:val="BodyText"/>
      </w:pPr>
      <w:r>
        <w:t xml:space="preserve">Deloitte will be operationally ready before the first case transfers. The transition-in approach -- detailed under Task 12 -- validates every system, workflow, and intake pipeline against live production behavior. Deloitte deploys </w:t>
      </w:r>
      <w:commentRangeStart w:id="25"/>
      <w:r>
        <w:t>TruNorth</w:t>
      </w:r>
      <w:commentRangeEnd w:id="25"/>
      <w:r>
        <w:rPr>
          <w:rStyle w:val="CommentReference"/>
          <w:sz w:val="24"/>
          <w:szCs w:val="22"/>
        </w:rPr>
        <w:commentReference w:id="25"/>
      </w:r>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the confidence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350D2B6D" w14:textId="52C9A945" w:rsidR="002D0B8E" w:rsidRPr="002D0B8E" w:rsidRDefault="002D0B8E" w:rsidP="00E82016">
      <w:pPr>
        <w:pStyle w:val="BodyText"/>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staffs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caseworker handles a live case. From Day 1, a weekly cross-task data share connects all three teams so patterns that originate in one workstream and surface in another are coordinated as a single corrective action -- not discovered independently weeks apart.</w:t>
      </w:r>
    </w:p>
    <w:p w14:paraId="011210F7" w14:textId="2E7BBA9E" w:rsidR="00497CA6" w:rsidRPr="00497CA6" w:rsidRDefault="0091289D" w:rsidP="00497CA6">
      <w:pPr>
        <w:pStyle w:val="BodyText"/>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8"/>
                    <a:stretch>
                      <a:fillRect/>
                    </a:stretch>
                  </pic:blipFill>
                  <pic:spPr>
                    <a:xfrm>
                      <a:off x="0" y="0"/>
                      <a:ext cx="5943600" cy="3414395"/>
                    </a:xfrm>
                    <a:prstGeom prst="rect">
                      <a:avLst/>
                    </a:prstGeom>
                  </pic:spPr>
                </pic:pic>
              </a:graphicData>
            </a:graphic>
          </wp:inline>
        </w:drawing>
      </w:r>
    </w:p>
    <w:p w14:paraId="2C2E63C4" w14:textId="77777777" w:rsidR="004A63E3" w:rsidRPr="00497CA6" w:rsidRDefault="004A63E3" w:rsidP="00394A4B">
      <w:pPr>
        <w:pStyle w:val="BodyText"/>
        <w:spacing w:after="120"/>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CA6" w:rsidRPr="00497CA6" w14:paraId="1EB37B57"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3F223762" w14:textId="77777777" w:rsidR="00497CA6" w:rsidRPr="00497CA6" w:rsidRDefault="00497CA6" w:rsidP="00497CA6">
            <w:pPr>
              <w:pStyle w:val="BodyText"/>
            </w:pPr>
            <w:r w:rsidRPr="0077252F">
              <w:rPr>
                <w:rStyle w:val="CharacterBold"/>
              </w:rPr>
              <w:t>What the incumbent cannot offer at transition:</w:t>
            </w:r>
            <w:r w:rsidRPr="00497CA6">
              <w:rPr>
                <w:b/>
                <w:bCs/>
              </w:rPr>
              <w:t xml:space="preserve"> </w:t>
            </w:r>
            <w:r w:rsidRPr="00497CA6">
              <w:t>The incumbent's knowledge of how these systems actually operate is experiential and partially captured in SOPs. TruNorth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282B7F12" w14:textId="77777777" w:rsidR="00402ECE" w:rsidRPr="00402ECE" w:rsidRDefault="00402ECE" w:rsidP="00402ECE">
      <w:pPr>
        <w:pStyle w:val="BodyText"/>
      </w:pPr>
    </w:p>
    <w:p w14:paraId="7F6E6B9C" w14:textId="77777777" w:rsidR="008A2E01" w:rsidRDefault="008A2E01" w:rsidP="008A2E01">
      <w:pPr>
        <w:pStyle w:val="Subheading1"/>
      </w:pPr>
      <w:r>
        <w:t>Our Understanding</w:t>
      </w:r>
    </w:p>
    <w:p w14:paraId="02D0857F" w14:textId="77777777" w:rsidR="00F45A15" w:rsidRPr="00F45A15" w:rsidRDefault="00F45A15" w:rsidP="00F45A15">
      <w:pPr>
        <w:pStyle w:val="BodyText"/>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149E136F" w14:textId="77777777" w:rsidR="00F45A15" w:rsidRPr="00AD5A82" w:rsidRDefault="00F45A15" w:rsidP="00F45A15">
      <w:pPr>
        <w:pStyle w:val="BodyText"/>
        <w:rPr>
          <w:color w:val="046A38" w:themeColor="accent4"/>
        </w:rPr>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AD5A82">
        <w:rPr>
          <w:i/>
          <w:color w:val="046A38" w:themeColor="accent4"/>
        </w:rPr>
        <w:t xml:space="preserve">Deloitte has </w:t>
      </w:r>
      <w:r w:rsidRPr="00AD5A82">
        <w:rPr>
          <w:i/>
          <w:color w:val="046A38" w:themeColor="accent4"/>
        </w:rPr>
        <w:lastRenderedPageBreak/>
        <w:t>operated high-consequence, rule-governed enrollment and payment environments at scale in federal health 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46FDD4E3" w14:textId="77777777" w:rsidR="00F45A15" w:rsidRDefault="00F45A15" w:rsidP="008A2E01">
      <w:pPr>
        <w:pStyle w:val="BodyText"/>
      </w:pPr>
    </w:p>
    <w:p w14:paraId="4A233F20" w14:textId="77777777" w:rsidR="008A2E01" w:rsidRDefault="008A2E01" w:rsidP="008A2E01">
      <w:pPr>
        <w:pStyle w:val="Subheading1"/>
      </w:pPr>
      <w:r>
        <w:t>Our Approach</w:t>
      </w:r>
    </w:p>
    <w:p w14:paraId="0E06395D" w14:textId="08D2433D" w:rsidR="0027658B" w:rsidRPr="0027658B" w:rsidRDefault="00D53084" w:rsidP="0027658B">
      <w:pPr>
        <w:pStyle w:val="BodyText"/>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1FD35EC8" w14:textId="056A4245" w:rsidR="0027658B" w:rsidRPr="0027658B" w:rsidRDefault="00052CF2" w:rsidP="0027658B">
      <w:pPr>
        <w:pStyle w:val="BodyText"/>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9"/>
                    <a:stretch>
                      <a:fillRect/>
                    </a:stretch>
                  </pic:blipFill>
                  <pic:spPr>
                    <a:xfrm>
                      <a:off x="0" y="0"/>
                      <a:ext cx="4775200" cy="4978400"/>
                    </a:xfrm>
                    <a:prstGeom prst="rect">
                      <a:avLst/>
                    </a:prstGeom>
                  </pic:spPr>
                </pic:pic>
              </a:graphicData>
            </a:graphic>
          </wp:inline>
        </w:drawing>
      </w:r>
    </w:p>
    <w:p w14:paraId="0AE7E8C4" w14:textId="77777777" w:rsidR="0027658B" w:rsidRPr="0027658B" w:rsidRDefault="0027658B" w:rsidP="0027658B">
      <w:pPr>
        <w:pStyle w:val="BodyText"/>
      </w:pPr>
      <w:r w:rsidRPr="0027658B">
        <w:t xml:space="preserve"> </w:t>
      </w:r>
    </w:p>
    <w:p w14:paraId="3BA5E153" w14:textId="77777777" w:rsidR="005A568A" w:rsidRPr="003C4247" w:rsidRDefault="005A568A" w:rsidP="007468B4">
      <w:pPr>
        <w:pStyle w:val="BodyText"/>
        <w:rPr>
          <w:szCs w:val="24"/>
          <w:rPrChange w:id="26" w:author="El-Mously, Salma" w:date="2026-04-27T08:25:00Z" w16du:dateUtc="2026-04-27T12:25:00Z">
            <w:rPr>
              <w:rStyle w:val="CharacterBold"/>
            </w:rPr>
          </w:rPrChange>
        </w:rPr>
      </w:pPr>
      <w:r w:rsidRPr="007468B4">
        <w:rPr>
          <w:rStyle w:val="CharacterBold"/>
        </w:rPr>
        <w:lastRenderedPageBreak/>
        <w:t>Low complexity (Task 2.1)</w:t>
      </w:r>
    </w:p>
    <w:p w14:paraId="65C2080A" w14:textId="77777777" w:rsidR="005A568A" w:rsidRPr="009D3190" w:rsidRDefault="005A568A" w:rsidP="007468B4">
      <w:pPr>
        <w:pStyle w:val="BodyText"/>
        <w:rPr>
          <w:szCs w:val="24"/>
        </w:rPr>
      </w:pPr>
      <w:r w:rsidRPr="00802C4A">
        <w:t xml:space="preserve">Deloitte will operate the </w:t>
      </w:r>
      <w:r w:rsidRPr="003C4247">
        <w:rPr>
          <w:rFonts w:eastAsia="Arial" w:cs="Arial"/>
          <w:b/>
          <w:szCs w:val="24"/>
          <w:rPrChange w:id="27" w:author="El-Mously, Salma" w:date="2026-04-27T08:25:00Z" w16du:dateUtc="2026-04-27T12:25:00Z">
            <w:rPr>
              <w:rStyle w:val="CharacterBold"/>
            </w:rPr>
          </w:rPrChange>
        </w:rPr>
        <w:t>automated rule library</w:t>
      </w:r>
      <w:r w:rsidRPr="003C4247">
        <w:rPr>
          <w:rFonts w:eastAsia="Arial" w:cs="Arial"/>
          <w:szCs w:val="24"/>
          <w:rPrChange w:id="28" w:author="El-Mously, Salma" w:date="2026-04-27T08:25:00Z" w16du:dateUtc="2026-04-27T12:25:00Z">
            <w:rPr/>
          </w:rPrChange>
        </w:rPr>
        <w:t xml:space="preserve"> from Day 1 at the </w:t>
      </w:r>
      <w:r w:rsidRPr="003C4247">
        <w:rPr>
          <w:rFonts w:eastAsia="Arial" w:cs="Arial"/>
          <w:b/>
          <w:szCs w:val="24"/>
          <w:rPrChange w:id="29" w:author="El-Mously, Salma" w:date="2026-04-27T08:25:00Z" w16du:dateUtc="2026-04-27T12:25:00Z">
            <w:rPr>
              <w:rStyle w:val="CharacterBold"/>
            </w:rPr>
          </w:rPrChange>
        </w:rPr>
        <w:t>performance baseline</w:t>
      </w:r>
      <w:r w:rsidRPr="003C4247">
        <w:rPr>
          <w:rFonts w:eastAsia="Arial" w:cs="Arial"/>
          <w:szCs w:val="24"/>
          <w:rPrChange w:id="30" w:author="El-Mously, Salma" w:date="2026-04-27T08:25:00Z" w16du:dateUtc="2026-04-27T12:25:00Z">
            <w:rPr/>
          </w:rPrChange>
        </w:rPr>
        <w:t xml:space="preserve"> established during transition-in. When a resolution rate deviates, Deloitte will diagnose whether the cause is a rule performance failure, an upstream data quality issue, or a volume pattern the rule was not designed to handle — each drives a different corrective action. The dispute analytics deliverable serves as both a CMS reporting output and Deloitte’s internal rule development agenda, made visible to CMS.</w:t>
      </w:r>
    </w:p>
    <w:p w14:paraId="5FBB4E22" w14:textId="77777777" w:rsidR="005A568A" w:rsidRPr="009D3190" w:rsidRDefault="005A568A" w:rsidP="007468B4">
      <w:pPr>
        <w:pStyle w:val="BodyText"/>
        <w:rPr>
          <w:szCs w:val="24"/>
        </w:rPr>
      </w:pPr>
      <w:r w:rsidRPr="007468B4">
        <w:rPr>
          <w:rStyle w:val="CharacterBold"/>
        </w:rPr>
        <w:t>Enhancing automated rule library</w:t>
      </w:r>
    </w:p>
    <w:p w14:paraId="2FB15AC6" w14:textId="77777777" w:rsidR="005A568A" w:rsidRPr="009D3190" w:rsidRDefault="005A568A" w:rsidP="007468B4">
      <w:pPr>
        <w:pStyle w:val="BodyText"/>
        <w:rPr>
          <w:szCs w:val="24"/>
        </w:rPr>
      </w:pPr>
      <w:r w:rsidRPr="00802C4A">
        <w:rPr>
          <w:rFonts w:eastAsia="Arial" w:cs="Arial"/>
        </w:rPr>
        <w:t xml:space="preserve">Deloitte will manage the business rule library as a governed lifecycle: every rule change moves through a structured process shown below. </w:t>
      </w:r>
    </w:p>
    <w:p w14:paraId="41F43166" w14:textId="77777777" w:rsidR="005A568A" w:rsidRDefault="005A568A" w:rsidP="005A568A">
      <w:pPr>
        <w:spacing w:after="80"/>
      </w:pPr>
    </w:p>
    <w:p w14:paraId="5017FD3B" w14:textId="77777777" w:rsidR="005A568A" w:rsidRDefault="005A568A" w:rsidP="005A568A">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095750" cy="1838325"/>
                    </a:xfrm>
                    <a:prstGeom prst="rect">
                      <a:avLst/>
                    </a:prstGeom>
                  </pic:spPr>
                </pic:pic>
              </a:graphicData>
            </a:graphic>
          </wp:inline>
        </w:drawing>
      </w:r>
    </w:p>
    <w:p w14:paraId="435A9ED8" w14:textId="77777777" w:rsidR="005A568A" w:rsidRDefault="005A568A" w:rsidP="005A568A">
      <w:pPr>
        <w:spacing w:after="120"/>
      </w:pPr>
    </w:p>
    <w:p w14:paraId="068C9937" w14:textId="77777777" w:rsidR="005A568A" w:rsidRDefault="005A568A" w:rsidP="005A568A">
      <w:pPr>
        <w:spacing w:after="80"/>
      </w:pPr>
    </w:p>
    <w:p w14:paraId="5ADE972A" w14:textId="77777777" w:rsidR="005A568A" w:rsidRPr="009D3190" w:rsidRDefault="005A568A" w:rsidP="00BB652E">
      <w:pPr>
        <w:pStyle w:val="BodyText"/>
        <w:rPr>
          <w:szCs w:val="24"/>
        </w:rPr>
      </w:pPr>
      <w:r w:rsidRPr="00BB652E">
        <w:rPr>
          <w:rStyle w:val="CharacterBold"/>
        </w:rPr>
        <w:t>High complexity (Task 2.2): closed-loop case management</w:t>
      </w:r>
    </w:p>
    <w:p w14:paraId="285A0B56" w14:textId="77777777" w:rsidR="005A568A" w:rsidRPr="009D3190" w:rsidRDefault="005A568A" w:rsidP="00BB652E">
      <w:pPr>
        <w:pStyle w:val="BodyText"/>
        <w:spacing w:after="120"/>
        <w:rPr>
          <w:szCs w:val="24"/>
        </w:rPr>
      </w:pPr>
      <w:r w:rsidRPr="00802C4A">
        <w:t xml:space="preserve">Deloitte manages every high-complexity case through a closed-loop workflow with governance gates at each stage. The process flow and research sequence below show how each case moves from intake to CERRS closure, and how supervisors intervene </w:t>
      </w:r>
      <w:r w:rsidRPr="009D3190">
        <w:rPr>
          <w:szCs w:val="24"/>
        </w:rPr>
        <w:t>timely so disputes are resolved within the specified time</w:t>
      </w:r>
      <w:r w:rsidRPr="009D3190">
        <w:rPr>
          <w:rFonts w:eastAsia="Arial" w:cs="Arial"/>
          <w:szCs w:val="24"/>
        </w:rPr>
        <w:t>.</w:t>
      </w:r>
    </w:p>
    <w:p w14:paraId="2171BD5B" w14:textId="77777777" w:rsidR="005A568A" w:rsidRDefault="005A568A" w:rsidP="005A568A">
      <w:pPr>
        <w:spacing w:after="120"/>
      </w:pPr>
    </w:p>
    <w:p w14:paraId="237A211B" w14:textId="77777777" w:rsidR="005A568A" w:rsidRDefault="005A568A" w:rsidP="005A568A">
      <w:pPr>
        <w:spacing w:after="120"/>
      </w:pPr>
      <w:r>
        <w:rPr>
          <w:noProof/>
          <w:color w:val="444441"/>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31"/>
                    <a:stretch>
                      <a:fillRect/>
                    </a:stretch>
                  </pic:blipFill>
                  <pic:spPr>
                    <a:xfrm>
                      <a:off x="0" y="0"/>
                      <a:ext cx="5191491" cy="4363840"/>
                    </a:xfrm>
                    <a:prstGeom prst="rect">
                      <a:avLst/>
                    </a:prstGeom>
                  </pic:spPr>
                </pic:pic>
              </a:graphicData>
            </a:graphic>
          </wp:inline>
        </w:drawing>
      </w:r>
    </w:p>
    <w:p w14:paraId="480C8D0C" w14:textId="2C341B78" w:rsidR="005A568A" w:rsidRPr="003C4247" w:rsidRDefault="00240C0D" w:rsidP="00C11063">
      <w:pPr>
        <w:pStyle w:val="BodyText"/>
        <w:rPr>
          <w:szCs w:val="24"/>
          <w:rPrChange w:id="31" w:author="El-Mously, Salma" w:date="2026-04-27T08:25:00Z" w16du:dateUtc="2026-04-27T12:25:00Z">
            <w:rPr>
              <w:rFonts w:eastAsia="Arial" w:cs="Arial"/>
              <w:szCs w:val="24"/>
            </w:rPr>
          </w:rPrChange>
        </w:rPr>
      </w:pPr>
      <w:r w:rsidRPr="00802C4A">
        <w:t>Deloitte's participation in daily operational reconciliation workgroup calls is an intelligence input, not an attendance obligation. Issues surfaced in those calls feed directly into the JIRA rule development backlog and the dispute analytics cycle</w:t>
      </w:r>
      <w:r w:rsidR="003C4DFA" w:rsidRPr="009D3190">
        <w:rPr>
          <w:szCs w:val="24"/>
        </w:rPr>
        <w:t xml:space="preserve">, </w:t>
      </w:r>
      <w:r w:rsidRPr="009D3190">
        <w:rPr>
          <w:szCs w:val="24"/>
        </w:rPr>
        <w:t xml:space="preserve">so CMS </w:t>
      </w:r>
      <w:r w:rsidR="003C4DFA" w:rsidRPr="009D3190">
        <w:rPr>
          <w:szCs w:val="24"/>
        </w:rPr>
        <w:t xml:space="preserve">can remain confident that dispute patterns are </w:t>
      </w:r>
      <w:r w:rsidR="00863FB0" w:rsidRPr="009D3190">
        <w:rPr>
          <w:szCs w:val="24"/>
        </w:rPr>
        <w:t>being addressed methodically</w:t>
      </w:r>
      <w:r w:rsidRPr="009D3190">
        <w:rPr>
          <w:szCs w:val="24"/>
        </w:rPr>
        <w:t>.</w:t>
      </w:r>
      <w:r w:rsidR="00792BD2" w:rsidRPr="009D3190">
        <w:rPr>
          <w:szCs w:val="24"/>
        </w:rPr>
        <w:t xml:space="preserve"> </w:t>
      </w:r>
      <w:r w:rsidR="008C5842" w:rsidRPr="009D3190">
        <w:rPr>
          <w:rFonts w:eastAsia="Arial" w:cs="Arial"/>
          <w:szCs w:val="24"/>
        </w:rPr>
        <w:t>Below is Deloitte’s approach to processing various dispute types.</w:t>
      </w:r>
    </w:p>
    <w:tbl>
      <w:tblPr>
        <w:tblStyle w:val="DeloitteTable2"/>
        <w:tblW w:w="8835" w:type="dxa"/>
        <w:tblLook w:val="06A0" w:firstRow="1" w:lastRow="0" w:firstColumn="1" w:lastColumn="0" w:noHBand="1" w:noVBand="1"/>
      </w:tblPr>
      <w:tblGrid>
        <w:gridCol w:w="3256"/>
        <w:gridCol w:w="5579"/>
      </w:tblGrid>
      <w:tr w:rsidR="00E025C0" w14:paraId="0045C205" w14:textId="77777777" w:rsidTr="00E02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46BF9D" w14:textId="5AFECDA9" w:rsidR="00E025C0" w:rsidRPr="00EF65CD" w:rsidRDefault="00E025C0" w:rsidP="00EF65CD">
            <w:pPr>
              <w:pStyle w:val="TableHeading"/>
            </w:pPr>
            <w:r w:rsidRPr="00EF65CD">
              <w:t>Dispute type</w:t>
            </w:r>
          </w:p>
        </w:tc>
        <w:tc>
          <w:tcPr>
            <w:tcW w:w="5579" w:type="dxa"/>
          </w:tcPr>
          <w:p w14:paraId="2131C500" w14:textId="41F66FFC" w:rsidR="00E025C0" w:rsidRPr="00EF65CD" w:rsidRDefault="00902E33" w:rsidP="00EF65CD">
            <w:pPr>
              <w:pStyle w:val="TableHeading"/>
              <w:cnfStyle w:val="100000000000" w:firstRow="1" w:lastRow="0" w:firstColumn="0" w:lastColumn="0" w:oddVBand="0" w:evenVBand="0" w:oddHBand="0" w:evenHBand="0" w:firstRowFirstColumn="0" w:firstRowLastColumn="0" w:lastRowFirstColumn="0" w:lastRowLastColumn="0"/>
            </w:pPr>
            <w:r w:rsidRPr="00EF65CD">
              <w:t>Deloitte’s approach</w:t>
            </w:r>
          </w:p>
        </w:tc>
      </w:tr>
      <w:tr w:rsidR="00E025C0" w14:paraId="0B2BF3C6"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F30F71C" w14:textId="0192AFF1" w:rsidR="00E025C0" w:rsidRPr="00EF65CD" w:rsidRDefault="00E311EC" w:rsidP="00EF65CD">
            <w:pPr>
              <w:pStyle w:val="TableRowHeading"/>
            </w:pPr>
            <w:r w:rsidRPr="00EF65CD">
              <w:t>Enrollment, Reinstatement, Auto-renewal, HICS Direct</w:t>
            </w:r>
          </w:p>
        </w:tc>
        <w:tc>
          <w:tcPr>
            <w:tcW w:w="5579" w:type="dxa"/>
          </w:tcPr>
          <w:p w14:paraId="6484B6FA" w14:textId="5D33BD2B" w:rsidR="00E025C0" w:rsidRDefault="00E311EC" w:rsidP="00EF65CD">
            <w:pPr>
              <w:pStyle w:val="TableBody"/>
              <w:cnfStyle w:val="000000000000" w:firstRow="0" w:lastRow="0" w:firstColumn="0" w:lastColumn="0" w:oddVBand="0" w:evenVBand="0" w:oddHBand="0" w:evenHBand="0" w:firstRowFirstColumn="0" w:firstRowLastColumn="0" w:lastRowFirstColumn="0" w:lastRowLastColumn="0"/>
            </w:pPr>
            <w:r>
              <w:t>Defined research steps per type: FFE extracts, 834s, pre-audit/RCNO, HICS history, issuer docs, IES/MCR API real-time validation at any step. Access gates and coordination logic applied to each.</w:t>
            </w:r>
          </w:p>
        </w:tc>
      </w:tr>
      <w:tr w:rsidR="00E025C0" w14:paraId="2C33AD7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C1D463E" w14:textId="02652F0B" w:rsidR="00E025C0" w:rsidRPr="00EF65CD" w:rsidRDefault="00EF65CD" w:rsidP="00EF65CD">
            <w:pPr>
              <w:pStyle w:val="TableRowHeading"/>
            </w:pPr>
            <w:r w:rsidRPr="00EF65CD">
              <w:t>Enrollment Blockers</w:t>
            </w:r>
          </w:p>
        </w:tc>
        <w:tc>
          <w:tcPr>
            <w:tcW w:w="5579" w:type="dxa"/>
          </w:tcPr>
          <w:p w14:paraId="5A1C6840" w14:textId="5A514CB3" w:rsidR="00E025C0" w:rsidRDefault="00EF65CD" w:rsidP="00EF65CD">
            <w:pPr>
              <w:pStyle w:val="TableBody"/>
              <w:cnfStyle w:val="000000000000" w:firstRow="0" w:lastRow="0" w:firstColumn="0" w:lastColumn="0" w:oddVBand="0" w:evenVBand="0" w:oddHBand="0" w:evenHBand="0" w:firstRowFirstColumn="0" w:firstRowLastColumn="0" w:lastRowFirstColumn="0" w:lastRowLastColumn="0"/>
            </w:pPr>
            <w:r w:rsidRPr="00EF65CD">
              <w:t>Sustained cross-contractor coordination required. Deloitte tracks dependencies and drives resolution rather than waiting for external parties.</w:t>
            </w:r>
          </w:p>
        </w:tc>
      </w:tr>
      <w:tr w:rsidR="00EF65CD" w14:paraId="2A641D8A"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4AD2441B" w14:textId="0643AAE1" w:rsidR="00EF65CD" w:rsidRPr="003C4247" w:rsidRDefault="00EF65CD" w:rsidP="00EF65CD">
            <w:pPr>
              <w:pStyle w:val="TableRowHeading"/>
              <w:rPr>
                <w:rFonts w:ascii="Arial" w:hAnsi="Arial" w:cs="Arial"/>
                <w:szCs w:val="20"/>
                <w:rPrChange w:id="32" w:author="El-Mously, Salma" w:date="2026-04-27T08:25:00Z" w16du:dateUtc="2026-04-27T12:25:00Z">
                  <w:rPr/>
                </w:rPrChange>
              </w:rPr>
            </w:pPr>
            <w:r w:rsidRPr="00EF65CD">
              <w:t>UIR records</w:t>
            </w:r>
          </w:p>
        </w:tc>
        <w:tc>
          <w:tcPr>
            <w:tcW w:w="5579" w:type="dxa"/>
          </w:tcPr>
          <w:p w14:paraId="7F8B9F1D" w14:textId="2729D4C8" w:rsidR="00EF65CD"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3" w:author="El-Mously, Salma" w:date="2026-04-27T08:25:00Z" w16du:dateUtc="2026-04-27T12:25:00Z">
                  <w:rPr/>
                </w:rPrChange>
              </w:rPr>
            </w:pPr>
            <w:r w:rsidRPr="00EF65CD">
              <w:t>UIR categorization accuracy matters because the category determines the issuer's resolution path — a miscategorized record generates a second dispute cycle. Deloitte's manual review step for uncategorized UIRs applies documented decision criteria rather than individual caseworker judgment, and every categorization decision is subject to QA sampling before the monthly report is issued.</w:t>
            </w:r>
          </w:p>
        </w:tc>
      </w:tr>
      <w:tr w:rsidR="00E025C0" w14:paraId="5EE8AE6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55926A3F" w14:textId="5A28BF09" w:rsidR="00E025C0" w:rsidRPr="003C4247" w:rsidRDefault="00EF65CD" w:rsidP="00EF65CD">
            <w:pPr>
              <w:pStyle w:val="TableRowHeading"/>
              <w:rPr>
                <w:rFonts w:ascii="Arial" w:hAnsi="Arial" w:cs="Arial"/>
                <w:szCs w:val="20"/>
                <w:rPrChange w:id="34" w:author="El-Mously, Salma" w:date="2026-04-27T08:25:00Z" w16du:dateUtc="2026-04-27T12:25:00Z">
                  <w:rPr/>
                </w:rPrChange>
              </w:rPr>
            </w:pPr>
            <w:r w:rsidRPr="00EF65CD">
              <w:t>PDI disputes</w:t>
            </w:r>
          </w:p>
        </w:tc>
        <w:tc>
          <w:tcPr>
            <w:tcW w:w="5579" w:type="dxa"/>
          </w:tcPr>
          <w:p w14:paraId="6D02DFAE" w14:textId="51AB6048" w:rsidR="00E025C0"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5" w:author="El-Mously, Salma" w:date="2026-04-27T08:25:00Z" w16du:dateUtc="2026-04-27T12:25:00Z">
                  <w:rPr/>
                </w:rPrChange>
              </w:rPr>
            </w:pPr>
            <w:r w:rsidRPr="00EF65CD">
              <w:t xml:space="preserve">PDI disputes are governed as a standalone workflow because their regulatory deadline sensitivity means a processing error cannot be </w:t>
            </w:r>
            <w:r w:rsidRPr="00EF65CD">
              <w:lastRenderedPageBreak/>
              <w:t>corrected through a routine cycle — supervisory sign-off is required before any biannual batch submission by Deloitte’s team.</w:t>
            </w:r>
          </w:p>
        </w:tc>
      </w:tr>
    </w:tbl>
    <w:p w14:paraId="4761F01A" w14:textId="77777777" w:rsidR="005A568A" w:rsidRDefault="005A568A" w:rsidP="00310554">
      <w:pPr>
        <w:spacing w:after="120"/>
      </w:pPr>
    </w:p>
    <w:p w14:paraId="03BD9482" w14:textId="77777777" w:rsidR="005A568A" w:rsidRPr="009D3190" w:rsidRDefault="005A568A" w:rsidP="00534E15">
      <w:pPr>
        <w:pStyle w:val="BodyText"/>
        <w:spacing w:after="120"/>
        <w:rPr>
          <w:rFonts w:cs="Arial"/>
          <w:szCs w:val="24"/>
        </w:rPr>
      </w:pPr>
      <w:r w:rsidRPr="00DB1963">
        <w:rPr>
          <w:rStyle w:val="CharacterBold"/>
        </w:rPr>
        <w:t>Quality, issuer engagement, and program intelligence</w:t>
      </w:r>
    </w:p>
    <w:p w14:paraId="1AF70091" w14:textId="15717F1C" w:rsidR="005A568A" w:rsidRPr="009D3190" w:rsidRDefault="005A568A" w:rsidP="00DB1963">
      <w:pPr>
        <w:pStyle w:val="BodyText"/>
        <w:spacing w:after="120"/>
        <w:rPr>
          <w:rFonts w:cs="Arial"/>
          <w:szCs w:val="24"/>
        </w:rPr>
      </w:pPr>
      <w:r w:rsidRPr="00802C4A">
        <w:t xml:space="preserve">QA is applied at the case level: closed cases sampled weekly across research completeness, determination accuracy, documentation, and consumer notification confirmation. APTC determinations, retroactive adjustments, and override actions are sampled at an elevated rate given downstream consequence. </w:t>
      </w:r>
      <w:r w:rsidR="00E4649D" w:rsidRPr="009D3190">
        <w:rPr>
          <w:rFonts w:cs="Arial"/>
          <w:szCs w:val="24"/>
        </w:rPr>
        <w:t>When QA surfaces an inconsistency, the finding becomes a</w:t>
      </w:r>
      <w:r w:rsidRPr="009D3190">
        <w:rPr>
          <w:rFonts w:cs="Arial"/>
          <w:szCs w:val="24"/>
        </w:rPr>
        <w:t xml:space="preserve"> training </w:t>
      </w:r>
      <w:r w:rsidR="00E4649D" w:rsidRPr="009D3190">
        <w:rPr>
          <w:rFonts w:cs="Arial"/>
          <w:szCs w:val="24"/>
        </w:rPr>
        <w:t>scenario</w:t>
      </w:r>
      <w:r w:rsidRPr="009D3190">
        <w:rPr>
          <w:rFonts w:cs="Arial"/>
          <w:szCs w:val="24"/>
        </w:rPr>
        <w:t xml:space="preserve"> and </w:t>
      </w:r>
      <w:r w:rsidR="00E4649D" w:rsidRPr="009D3190">
        <w:rPr>
          <w:rFonts w:cs="Arial"/>
          <w:szCs w:val="24"/>
        </w:rPr>
        <w:t xml:space="preserve">an </w:t>
      </w:r>
      <w:r w:rsidRPr="009D3190">
        <w:rPr>
          <w:rFonts w:cs="Arial"/>
          <w:szCs w:val="24"/>
        </w:rPr>
        <w:t xml:space="preserve">SOP </w:t>
      </w:r>
      <w:r w:rsidR="00E4649D" w:rsidRPr="009D3190">
        <w:rPr>
          <w:rFonts w:cs="Arial"/>
          <w:szCs w:val="24"/>
        </w:rPr>
        <w:t>update</w:t>
      </w:r>
      <w:r w:rsidRPr="003C4247">
        <w:rPr>
          <w:rFonts w:eastAsia="Arial" w:cs="Arial"/>
          <w:szCs w:val="24"/>
          <w:rPrChange w:id="36" w:author="El-Mously, Salma" w:date="2026-04-27T08:25:00Z" w16du:dateUtc="2026-04-27T12:25:00Z">
            <w:rPr/>
          </w:rPrChange>
        </w:rPr>
        <w:t xml:space="preserve">. </w:t>
      </w:r>
      <w:r w:rsidRPr="009D3190">
        <w:rPr>
          <w:rFonts w:cs="Arial"/>
          <w:szCs w:val="24"/>
        </w:rPr>
        <w:t xml:space="preserve">Technical assistance calls with issuers (3–4 per month) </w:t>
      </w:r>
      <w:r w:rsidR="00AA50C0" w:rsidRPr="009D3190">
        <w:rPr>
          <w:rFonts w:cs="Arial"/>
          <w:szCs w:val="24"/>
        </w:rPr>
        <w:t>follow a structured agenda Deloitte prepares in advance. Every recurring pain point is logged as a JIRA item, categorized by whether the root cause is a rule gap, a data quality issue, or an issuer-side process failure — because each has a different resolution path. Issuers see their feedback is leading to process improvements through the reduction of disputes and friction in the interfaces.</w:t>
      </w:r>
    </w:p>
    <w:p w14:paraId="10DD7D24" w14:textId="77777777" w:rsidR="005A568A" w:rsidRPr="00802C4A" w:rsidRDefault="005A568A" w:rsidP="005A568A">
      <w:pPr>
        <w:spacing w:after="80"/>
        <w:rPr>
          <w:rFonts w:ascii="Arial Narrow" w:hAnsi="Arial Narrow" w:cs="Arial"/>
          <w:szCs w:val="24"/>
        </w:rPr>
      </w:pPr>
    </w:p>
    <w:p w14:paraId="1C1685FA" w14:textId="77777777" w:rsidR="005A568A" w:rsidRPr="009D3190" w:rsidRDefault="005A568A" w:rsidP="00534E15">
      <w:pPr>
        <w:pStyle w:val="BodyText"/>
        <w:spacing w:after="120"/>
        <w:rPr>
          <w:rFonts w:cs="Arial"/>
          <w:szCs w:val="24"/>
        </w:rPr>
      </w:pPr>
      <w:r w:rsidRPr="00DB1963">
        <w:rPr>
          <w:rStyle w:val="CharacterBold"/>
        </w:rPr>
        <w:t xml:space="preserve">Trend detection and program </w:t>
      </w:r>
      <w:r w:rsidRPr="009D3190">
        <w:rPr>
          <w:rFonts w:cs="Arial"/>
          <w:b/>
          <w:szCs w:val="24"/>
          <w:u w:val="single"/>
        </w:rPr>
        <w:t>integrity</w:t>
      </w:r>
    </w:p>
    <w:p w14:paraId="271E8EA1" w14:textId="77777777" w:rsidR="005A568A" w:rsidRPr="00802C4A" w:rsidRDefault="005A568A" w:rsidP="005A568A">
      <w:pPr>
        <w:spacing w:after="120"/>
        <w:rPr>
          <w:rFonts w:ascii="Arial Narrow" w:hAnsi="Arial Narrow" w:cs="Arial"/>
          <w:szCs w:val="24"/>
        </w:rPr>
      </w:pPr>
      <w:r w:rsidRPr="00802C4A">
        <w:rPr>
          <w:rFonts w:ascii="Arial Narrow" w:eastAsia="Arial" w:hAnsi="Arial Narrow" w:cs="Arial"/>
          <w:szCs w:val="24"/>
        </w:rPr>
        <w:t>Deloitte will treat the incoming dispute queue as a live intelligence signal from Day 1, with daily monitoring and a monthly analytics cycle that delivers recommended actions to CMS rather than trend observations.</w:t>
      </w:r>
    </w:p>
    <w:tbl>
      <w:tblPr>
        <w:tblStyle w:val="DeloitteTable2"/>
        <w:tblW w:w="9351" w:type="dxa"/>
        <w:tblLook w:val="06A0" w:firstRow="1" w:lastRow="0" w:firstColumn="1" w:lastColumn="0" w:noHBand="1" w:noVBand="1"/>
      </w:tblPr>
      <w:tblGrid>
        <w:gridCol w:w="4673"/>
        <w:gridCol w:w="4678"/>
      </w:tblGrid>
      <w:tr w:rsidR="00AC22D1" w14:paraId="4C72D797" w14:textId="77777777" w:rsidTr="00B6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1A6025" w14:textId="400DE7F7" w:rsidR="00AC22D1" w:rsidRDefault="00AC22D1" w:rsidP="00AC22D1">
            <w:pPr>
              <w:pStyle w:val="TableHeading"/>
            </w:pPr>
            <w:bookmarkStart w:id="37" w:name="_Hlk228185234"/>
            <w:r>
              <w:rPr>
                <w:rFonts w:ascii="Arial" w:eastAsia="Arial" w:hAnsi="Arial" w:cs="Arial"/>
                <w:bCs/>
                <w:szCs w:val="20"/>
              </w:rPr>
              <w:t>What Deloitte will do</w:t>
            </w:r>
          </w:p>
        </w:tc>
        <w:tc>
          <w:tcPr>
            <w:tcW w:w="4678" w:type="dxa"/>
          </w:tcPr>
          <w:p w14:paraId="58E73A0A" w14:textId="770372C1" w:rsidR="00AC22D1" w:rsidRDefault="00AC22D1" w:rsidP="00AC22D1">
            <w:pPr>
              <w:pStyle w:val="TableHeading"/>
              <w:cnfStyle w:val="100000000000" w:firstRow="1" w:lastRow="0" w:firstColumn="0" w:lastColumn="0" w:oddVBand="0" w:evenVBand="0" w:oddHBand="0" w:evenHBand="0" w:firstRowFirstColumn="0" w:firstRowLastColumn="0" w:lastRowFirstColumn="0" w:lastRowLastColumn="0"/>
            </w:pPr>
            <w:r>
              <w:rPr>
                <w:rFonts w:ascii="Arial" w:eastAsia="Arial" w:hAnsi="Arial" w:cs="Arial"/>
                <w:bCs/>
                <w:szCs w:val="20"/>
              </w:rPr>
              <w:t>What this means for CMS</w:t>
            </w:r>
          </w:p>
        </w:tc>
      </w:tr>
      <w:tr w:rsidR="00B65788" w14:paraId="018E50E9"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6CC5A521" w14:textId="6E5E48AB" w:rsidR="00B65788" w:rsidRPr="00C31675" w:rsidRDefault="00AC22D1" w:rsidP="00C31675">
            <w:pPr>
              <w:pStyle w:val="TableBody"/>
            </w:pPr>
            <w:r w:rsidRPr="00C31675">
              <w:t>Review HICS narratives and CERRS case attributes daily for emerging patterns</w:t>
            </w:r>
          </w:p>
        </w:tc>
        <w:tc>
          <w:tcPr>
            <w:tcW w:w="4678" w:type="dxa"/>
          </w:tcPr>
          <w:p w14:paraId="755CC4B1" w14:textId="2814A003"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Deloitte will act on two or three correlated cases, not wait for a statistically significant trend to appear in monthly counts</w:t>
            </w:r>
          </w:p>
        </w:tc>
      </w:tr>
      <w:tr w:rsidR="00B65788" w14:paraId="228AF63C"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BC29A6A" w14:textId="4812F008" w:rsidR="00B65788" w:rsidRPr="00C31675" w:rsidRDefault="00AC22D1" w:rsidP="00C31675">
            <w:pPr>
              <w:pStyle w:val="TableBody"/>
            </w:pPr>
            <w:r w:rsidRPr="00C31675">
              <w:t>Pull correlated case clusters from individual queues immediately and escalate to CMS with a bulk-processing recommendation and draft root cause summary</w:t>
            </w:r>
          </w:p>
        </w:tc>
        <w:tc>
          <w:tcPr>
            <w:tcW w:w="4678" w:type="dxa"/>
          </w:tcPr>
          <w:p w14:paraId="03AAAEF4" w14:textId="094BDF2C"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Cases with the same root cause will be worked once as a coordinated action, not repeatedly as separate cases</w:t>
            </w:r>
          </w:p>
        </w:tc>
      </w:tr>
      <w:tr w:rsidR="00B65788" w14:paraId="4957C141"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8151E68" w14:textId="5E5C16A3" w:rsidR="00B65788" w:rsidRPr="00C31675" w:rsidRDefault="00AC22D1" w:rsidP="00C31675">
            <w:pPr>
              <w:pStyle w:val="TableBody"/>
            </w:pPr>
            <w:r w:rsidRPr="00C31675">
              <w:t>Deliver the monthly improvement report with a drafted recommended action for every finding, formatted for the appropriate channel (issuer webinar, email blast, REGTap, CMSzONE)</w:t>
            </w:r>
          </w:p>
        </w:tc>
        <w:tc>
          <w:tcPr>
            <w:tcW w:w="4678" w:type="dxa"/>
          </w:tcPr>
          <w:p w14:paraId="6D3C67FA" w14:textId="1ED02522"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CMS will receive a decision package ready to act on, not a trend summary to interpret</w:t>
            </w:r>
          </w:p>
        </w:tc>
      </w:tr>
      <w:tr w:rsidR="00B65788" w14:paraId="5A7E720B"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69DB5CD" w14:textId="6732C299" w:rsidR="00B65788" w:rsidRPr="00C31675" w:rsidRDefault="00AC22D1" w:rsidP="00C31675">
            <w:pPr>
              <w:pStyle w:val="TableBody"/>
            </w:pPr>
            <w:r w:rsidRPr="00C31675">
              <w:t>Hold a weekly standing data share between the Task 2 issuer dispute team and the Task 3 consumer dispute team</w:t>
            </w:r>
          </w:p>
        </w:tc>
        <w:tc>
          <w:tcPr>
            <w:tcW w:w="4678" w:type="dxa"/>
          </w:tcPr>
          <w:p w14:paraId="2B54557C" w14:textId="2A12B078"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An issuer-driven consumer dispute will be identified as such before it reaches a caseworker queue</w:t>
            </w:r>
          </w:p>
        </w:tc>
      </w:tr>
      <w:tr w:rsidR="00AC22D1" w14:paraId="62CC3670"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1CFEC5A6" w14:textId="484B70DA" w:rsidR="00AC22D1" w:rsidRPr="00C31675" w:rsidRDefault="00AC22D1" w:rsidP="00C31675">
            <w:pPr>
              <w:pStyle w:val="TableBody"/>
            </w:pPr>
            <w:r w:rsidRPr="00C31675">
              <w:t>Deploy AI-assisted narrative analysis on incoming HICS case text to surface semantic patterns that precede a visible case count spike</w:t>
            </w:r>
          </w:p>
        </w:tc>
        <w:tc>
          <w:tcPr>
            <w:tcW w:w="4678" w:type="dxa"/>
          </w:tcPr>
          <w:p w14:paraId="74F12959" w14:textId="417E9C45" w:rsidR="00AC22D1"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Gives Deloitte a detection window that manual daily review alone cannot match; introduced in Months 3–9 with CMS approval</w:t>
            </w:r>
          </w:p>
        </w:tc>
      </w:tr>
      <w:bookmarkEnd w:id="37"/>
    </w:tbl>
    <w:p w14:paraId="5A5282EA" w14:textId="77777777" w:rsidR="005A568A" w:rsidRDefault="005A568A" w:rsidP="005A568A">
      <w:pPr>
        <w:spacing w:after="80"/>
      </w:pPr>
    </w:p>
    <w:p w14:paraId="0AAF5105" w14:textId="77777777" w:rsidR="005A568A" w:rsidRDefault="005A568A" w:rsidP="005A568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5A568A" w14:paraId="108015E1" w14:textId="77777777" w:rsidTr="00E20938">
        <w:trPr>
          <w:trHeight w:val="57"/>
          <w:tblHeader/>
        </w:trPr>
        <w:tc>
          <w:tcPr>
            <w:tcW w:w="28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02C3E504" w14:textId="77777777" w:rsidR="005A568A" w:rsidRPr="008C309F" w:rsidRDefault="005A568A" w:rsidP="008A3C12">
            <w:pPr>
              <w:pStyle w:val="TableHeading"/>
              <w:rPr>
                <w:rFonts w:ascii="Arial" w:hAnsi="Arial" w:cs="Arial"/>
                <w:szCs w:val="20"/>
                <w:rPrChange w:id="38" w:author="El-Mously, Salma" w:date="2026-04-27T08:25:00Z" w16du:dateUtc="2026-04-27T12:25:00Z">
                  <w:rPr/>
                </w:rPrChange>
              </w:rPr>
            </w:pPr>
            <w:r>
              <w:t>Program integrity workstream</w:t>
            </w:r>
          </w:p>
        </w:tc>
        <w:tc>
          <w:tcPr>
            <w:tcW w:w="64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303586C6" w14:textId="77777777" w:rsidR="005A568A" w:rsidRPr="008C309F" w:rsidRDefault="005A568A" w:rsidP="008A3C12">
            <w:pPr>
              <w:pStyle w:val="TableHeading"/>
              <w:rPr>
                <w:rFonts w:ascii="Arial" w:hAnsi="Arial" w:cs="Arial"/>
                <w:szCs w:val="20"/>
                <w:rPrChange w:id="39" w:author="El-Mously, Salma" w:date="2026-04-27T08:25:00Z" w16du:dateUtc="2026-04-27T12:25:00Z">
                  <w:rPr/>
                </w:rPrChange>
              </w:rPr>
            </w:pPr>
            <w:r>
              <w:t>Deloitte’s approach</w:t>
            </w:r>
          </w:p>
        </w:tc>
      </w:tr>
      <w:tr w:rsidR="005A568A" w14:paraId="52FF21FA"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1CD408D8" w14:textId="7D2B538A" w:rsidR="005A568A" w:rsidRPr="008C309F" w:rsidRDefault="005A568A" w:rsidP="00B17225">
            <w:pPr>
              <w:pStyle w:val="TableRowHeading"/>
              <w:rPr>
                <w:rFonts w:ascii="Arial" w:hAnsi="Arial" w:cs="Arial"/>
                <w:szCs w:val="20"/>
                <w:rPrChange w:id="40" w:author="El-Mously, Salma" w:date="2026-04-27T08:25:00Z" w16du:dateUtc="2026-04-27T12:25:00Z">
                  <w:rPr/>
                </w:rPrChange>
              </w:rPr>
            </w:pPr>
            <w:r>
              <w:t>UPS and UE anomaly detection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4117A" w14:textId="0230D723" w:rsidR="005A568A" w:rsidRPr="00802C4A" w:rsidRDefault="00594DFE">
            <w:pPr>
              <w:spacing w:after="60"/>
              <w:rPr>
                <w:rFonts w:ascii="Arial" w:hAnsi="Arial" w:cs="Arial"/>
                <w:sz w:val="20"/>
                <w:szCs w:val="20"/>
              </w:rPr>
            </w:pPr>
            <w:r w:rsidRPr="001A7A05">
              <w:rPr>
                <w:rFonts w:ascii="Arial" w:hAnsi="Arial" w:cs="Arial"/>
                <w:sz w:val="20"/>
                <w:szCs w:val="20"/>
              </w:rPr>
              <w:t xml:space="preserve">UPS and UE detection is only as good as the model being run against enrollment data. Deloitte treats each confirmed unauthorized plan switch or unauthorized enrollment as a training input for that model — not a case to close and move past. When a new obfuscation pattern is confirmed, Deloitte documents the demographic and enrollment </w:t>
            </w:r>
            <w:r w:rsidRPr="001A7A05">
              <w:rPr>
                <w:rFonts w:ascii="Arial" w:hAnsi="Arial" w:cs="Arial"/>
                <w:sz w:val="20"/>
                <w:szCs w:val="20"/>
              </w:rPr>
              <w:lastRenderedPageBreak/>
              <w:t>characteristics that flagged it, proposes a detection logic enhancement, and tracks whether the enhancement holds against the next enrollment cohort. The goal is a detection model that gets measurably harder to evade over the period of performance, not one that identifies the same patterns year after year while new ones go undetected.</w:t>
            </w:r>
          </w:p>
        </w:tc>
      </w:tr>
      <w:tr w:rsidR="005A568A" w14:paraId="510BE522"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20C7578D" w14:textId="77777777" w:rsidR="005A568A" w:rsidRPr="008C309F" w:rsidRDefault="005A568A" w:rsidP="00B17225">
            <w:pPr>
              <w:pStyle w:val="TableRowHeading"/>
              <w:rPr>
                <w:rFonts w:ascii="Arial" w:hAnsi="Arial" w:cs="Arial"/>
                <w:szCs w:val="20"/>
                <w:rPrChange w:id="41" w:author="El-Mously, Salma" w:date="2026-04-27T08:25:00Z" w16du:dateUtc="2026-04-27T12:25:00Z">
                  <w:rPr/>
                </w:rPrChange>
              </w:rPr>
            </w:pPr>
            <w:r>
              <w:lastRenderedPageBreak/>
              <w:t>ACA and Medicare overlap identification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768CFF" w14:textId="772094EF" w:rsidR="005A568A" w:rsidRPr="00802C4A" w:rsidRDefault="00594DFE">
            <w:pPr>
              <w:spacing w:after="60"/>
              <w:rPr>
                <w:rFonts w:ascii="Arial" w:hAnsi="Arial" w:cs="Arial"/>
                <w:sz w:val="20"/>
                <w:szCs w:val="20"/>
              </w:rPr>
            </w:pPr>
            <w:r w:rsidRPr="00802C4A">
              <w:rPr>
                <w:rFonts w:ascii="Arial" w:hAnsi="Arial" w:cs="Arial"/>
                <w:sz w:val="20"/>
                <w:szCs w:val="20"/>
              </w:rPr>
              <w:t>ACA and Medicare overlap identification is a program integrity function where the financial consequence of inaction compounds monthly. An undetected overlap means CMS is advancing premium tax credits on coverage the consumer is ineligible to receive, the issuer is billing for a duplicate coverage period, and the consumer is accumulating tax liability they may not know about until filing. Deloitte's cross-program analysis with OPOLE and CPI is designed to surface these cases before they age — not to process them after a consumer complaint or an audit finding triggers the review. For each confirmed overlap, Deloitte determines the correct ACA termination date against the Medicare entitlement record, quantifies the APTC overpayment exposure, and coordinates the correction sequence across the relevant stakeholders. The more durable contribution is the detection logic recommendations Deloitte brings to CMS after each case cohort — rules-based enhancements that push overlap identification upstream to the enrollment decision point rather than leaving it as a manual case review function.</w:t>
            </w:r>
          </w:p>
        </w:tc>
      </w:tr>
    </w:tbl>
    <w:p w14:paraId="1FAF5C34" w14:textId="77777777" w:rsidR="005A568A" w:rsidRPr="0027658B" w:rsidRDefault="005A568A" w:rsidP="00E20938">
      <w:pPr>
        <w:pStyle w:val="ParagraphSpacer"/>
      </w:pPr>
    </w:p>
    <w:p w14:paraId="7DD94CF7" w14:textId="77777777" w:rsidR="0027658B" w:rsidRPr="0027658B" w:rsidRDefault="0027658B" w:rsidP="0027658B">
      <w:pPr>
        <w:pStyle w:val="BodyText"/>
      </w:pPr>
    </w:p>
    <w:p w14:paraId="0CB9DCD8" w14:textId="77777777" w:rsidR="00F80D42" w:rsidRPr="00F80D42" w:rsidRDefault="00F80D42" w:rsidP="008A2E01">
      <w:pPr>
        <w:pStyle w:val="BodyText"/>
        <w:rPr>
          <w:color w:val="046A38" w:themeColor="accent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36219" w:rsidRPr="00336219" w14:paraId="6BD926F5"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3D880CD" w14:textId="77777777" w:rsidR="00336219" w:rsidRPr="00336219" w:rsidRDefault="00336219" w:rsidP="00B17225">
            <w:pPr>
              <w:pStyle w:val="TableHeading"/>
            </w:pPr>
            <w:r w:rsidRPr="00336219">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43D20A12" w14:textId="77777777" w:rsidR="00336219" w:rsidRPr="00336219" w:rsidRDefault="00336219" w:rsidP="00B17225">
            <w:pPr>
              <w:pStyle w:val="TableHeading"/>
            </w:pPr>
            <w:r w:rsidRPr="00336219">
              <w:t>Deloitte mitigation</w:t>
            </w:r>
          </w:p>
        </w:tc>
      </w:tr>
      <w:tr w:rsidR="00336219" w:rsidRPr="00336219" w14:paraId="1D19C74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B87DB8" w14:textId="77777777" w:rsidR="00336219" w:rsidRPr="00336219" w:rsidRDefault="00336219" w:rsidP="00DC4695">
            <w:pPr>
              <w:pStyle w:val="TableBody"/>
            </w:pPr>
            <w:r w:rsidRPr="00336219">
              <w:t>Transition risk: inherited rule library and queue inventory may have undocumented gaps or aging disputes at SLA risk</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4BBA0EF" w14:textId="77777777" w:rsidR="00336219" w:rsidRPr="00336219" w:rsidRDefault="00336219" w:rsidP="00DC4695">
            <w:pPr>
              <w:pStyle w:val="TableBody"/>
            </w:pPr>
            <w:r w:rsidRPr="00336219">
              <w:t>TruNorth performs automated static code analysis during transition-in, capturing rule logic independent of incumbent documentation. Open queue reconciled within X days and stratified by type, aging, complexity, and dependency profile. High-risk categories isolated before go-live.</w:t>
            </w:r>
          </w:p>
        </w:tc>
      </w:tr>
      <w:tr w:rsidR="00336219" w:rsidRPr="00336219" w14:paraId="7BB6E7C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0FF5341" w14:textId="77777777" w:rsidR="00336219" w:rsidRPr="00336219" w:rsidRDefault="00336219" w:rsidP="00DC4695">
            <w:pPr>
              <w:pStyle w:val="TableBody"/>
            </w:pPr>
            <w:r w:rsidRPr="00336219">
              <w:t>Rule performance degradation: automated resolution rates may drift without active monitoring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E299145" w14:textId="77777777" w:rsidR="00336219" w:rsidRPr="00336219" w:rsidRDefault="00336219" w:rsidP="00DC4695">
            <w:pPr>
              <w:pStyle w:val="TableBody"/>
            </w:pPr>
            <w:r w:rsidRPr="00336219">
              <w:t>Resolution rates monitored at the dispute-type level, not in aggregate. Deviations trigger structured diagnosis distinguishing rule failure, data quality issue, and volume pattern change. Rising override activity triggers targeted rule review through the JIRA governance process.</w:t>
            </w:r>
          </w:p>
        </w:tc>
      </w:tr>
      <w:tr w:rsidR="00336219" w:rsidRPr="00336219" w14:paraId="7FC65509"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32E75959" w14:textId="77777777" w:rsidR="00336219" w:rsidRPr="00336219" w:rsidRDefault="00336219" w:rsidP="00DC4695">
            <w:pPr>
              <w:pStyle w:val="TableBody"/>
            </w:pPr>
            <w:r w:rsidRPr="00336219">
              <w:t>PDI complexity: post-deadline inaccuracy disputes require manual adjustments and biannual batch processing outside the standard cycle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5B75E2" w14:textId="77777777" w:rsidR="00336219" w:rsidRPr="00336219" w:rsidRDefault="00336219" w:rsidP="00DC4695">
            <w:pPr>
              <w:pStyle w:val="TableBody"/>
            </w:pPr>
            <w:r w:rsidRPr="00336219">
              <w:t>PDI operated as a standalone function with its own intake, audit comparison, batch schedule, attestation forms, and manual adjustment files. Supervisory sign-off required before every PDI batch action. Audit trail maintained from intake through adjustment file generation.</w:t>
            </w:r>
          </w:p>
        </w:tc>
      </w:tr>
      <w:tr w:rsidR="00336219" w:rsidRPr="00336219" w14:paraId="40F7FC4A"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76B936B9" w14:textId="77777777" w:rsidR="00336219" w:rsidRPr="00336219" w:rsidRDefault="00336219" w:rsidP="00DC4695">
            <w:pPr>
              <w:pStyle w:val="TableBody"/>
            </w:pPr>
            <w:r w:rsidRPr="00336219">
              <w:lastRenderedPageBreak/>
              <w:t>UPS and UE detection: unauthorized enrollment patterns may not be visible in standard dispute reporting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A754C2C" w14:textId="77777777" w:rsidR="00336219" w:rsidRPr="00336219" w:rsidRDefault="00336219" w:rsidP="00DC4695">
            <w:pPr>
              <w:pStyle w:val="TableBody"/>
            </w:pPr>
            <w:r w:rsidRPr="00336219">
              <w:t>Deloitte analyzes new Marketplace enrollments for anomalies consistent with UPS and UE patterns, including demographic obfuscation. Mitigations include overlap cancellations and detection logic enhancements. Findings reported to CPI.</w:t>
            </w:r>
          </w:p>
        </w:tc>
      </w:tr>
      <w:tr w:rsidR="00336219" w:rsidRPr="00336219" w14:paraId="2AFA0947"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968797" w14:textId="77777777" w:rsidR="00336219" w:rsidRPr="00336219" w:rsidRDefault="00336219" w:rsidP="00DC4695">
            <w:pPr>
              <w:pStyle w:val="TableBody"/>
            </w:pPr>
            <w:r w:rsidRPr="00336219">
              <w:t>Cross-contractor coordination: BUU submission failures and OA Contractor handoff gaps can cause downstream FFE errors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DDC6421" w14:textId="77777777" w:rsidR="00336219" w:rsidRPr="00336219" w:rsidRDefault="00336219" w:rsidP="00DC4695">
            <w:pPr>
              <w:pStyle w:val="TableBody"/>
            </w:pPr>
            <w:r w:rsidRPr="00336219">
              <w:t>Interface playbook documented during transition-in. Post-submission FFE validation completed before case closure. Gaps escalated same day, not held for weekly status.</w:t>
            </w:r>
          </w:p>
        </w:tc>
      </w:tr>
    </w:tbl>
    <w:p w14:paraId="27668106" w14:textId="77777777" w:rsidR="00336219" w:rsidRDefault="00336219" w:rsidP="008A2E01">
      <w:pPr>
        <w:pStyle w:val="BodyText"/>
      </w:pPr>
    </w:p>
    <w:p w14:paraId="45AFC2D7" w14:textId="77777777" w:rsidR="008A2E01" w:rsidRPr="00D22E0F" w:rsidRDefault="008A2E01" w:rsidP="008A2E01">
      <w:pPr>
        <w:pStyle w:val="Heading4"/>
      </w:pPr>
      <w:r w:rsidRPr="004F467E">
        <w:t>Subtask 2.1: Low Complexity Issuer Disputes</w:t>
      </w:r>
      <w:r>
        <w:t xml:space="preserve"> </w:t>
      </w:r>
      <w:r w:rsidRPr="00705F80">
        <w:rPr>
          <w:vertAlign w:val="superscript"/>
        </w:rPr>
        <w:t>(SOW 3.2.1)</w:t>
      </w:r>
    </w:p>
    <w:p w14:paraId="02D27B1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14:paraId="5FC8D1AF" w14:textId="2C9C6ED5" w:rsidR="008A2E01" w:rsidRDefault="008A2E01" w:rsidP="008A2E01">
      <w:pPr>
        <w:pStyle w:val="Heading3"/>
      </w:pPr>
      <w:bookmarkStart w:id="42" w:name="_Toc227883178"/>
      <w:r>
        <w:t>1.2.2</w:t>
      </w:r>
      <w:r>
        <w:tab/>
      </w:r>
      <w:r w:rsidRPr="00A54BF5">
        <w:t>Task 3: Form 1095-A Consumer Disputes</w:t>
      </w:r>
      <w:r>
        <w:t xml:space="preserve"> </w:t>
      </w:r>
      <w:r w:rsidRPr="00170533">
        <w:rPr>
          <w:vertAlign w:val="superscript"/>
        </w:rPr>
        <w:t>(SOW 3.3)</w:t>
      </w:r>
      <w:bookmarkEnd w:id="42"/>
      <w:r>
        <w:t xml:space="preserve"> </w:t>
      </w:r>
      <w:r w:rsidRPr="00806273">
        <w:rPr>
          <w:color w:val="FF0000"/>
        </w:rPr>
        <w:t xml:space="preserve">(2 </w:t>
      </w:r>
      <w:commentRangeStart w:id="43"/>
      <w:commentRangeStart w:id="44"/>
      <w:r w:rsidRPr="00806273">
        <w:rPr>
          <w:color w:val="FF0000"/>
        </w:rPr>
        <w:t>Pages</w:t>
      </w:r>
      <w:commentRangeEnd w:id="43"/>
      <w:r w:rsidR="008E092C" w:rsidRPr="00806273">
        <w:rPr>
          <w:rStyle w:val="CommentReference"/>
          <w:color w:val="FF0000"/>
          <w:sz w:val="24"/>
          <w:szCs w:val="26"/>
        </w:rPr>
        <w:commentReference w:id="43"/>
      </w:r>
      <w:commentRangeEnd w:id="44"/>
      <w:r w:rsidR="0027044E" w:rsidRPr="00806273">
        <w:rPr>
          <w:rStyle w:val="CommentReference"/>
          <w:color w:val="FF0000"/>
          <w:sz w:val="24"/>
          <w:szCs w:val="26"/>
        </w:rPr>
        <w:commentReference w:id="44"/>
      </w:r>
      <w:r w:rsidRPr="00806273">
        <w:rPr>
          <w:color w:val="FF0000"/>
        </w:rPr>
        <w:t>)</w:t>
      </w:r>
    </w:p>
    <w:p w14:paraId="3621067C" w14:textId="77777777" w:rsidR="008A2E01" w:rsidRDefault="008A2E01" w:rsidP="008A2E01">
      <w:pPr>
        <w:pStyle w:val="Subheading1"/>
      </w:pPr>
      <w:r>
        <w:t>Our Understanding</w:t>
      </w:r>
    </w:p>
    <w:p w14:paraId="7D19760A" w14:textId="62620E3C" w:rsidR="00D435B1" w:rsidRPr="00D435B1" w:rsidRDefault="00CB6F2F" w:rsidP="00D435B1">
      <w:pPr>
        <w:pStyle w:val="BodyText"/>
      </w:pPr>
      <w:r w:rsidRPr="00CB6F2F">
        <w:t>For consumers, an incorrect Form 1095-A is not a data issue; it can mean a wrong tax return, an unexpected coverage gap, or a problem they do not discover until the IRS contacts them.</w:t>
      </w:r>
      <w:r w:rsidR="00D35EA6">
        <w:t xml:space="preserve"> </w:t>
      </w:r>
      <w:commentRangeStart w:id="45"/>
      <w:r w:rsidR="00437C78" w:rsidRPr="00D435B1">
        <w:rPr>
          <w:rStyle w:val="CommentReference"/>
          <w:sz w:val="24"/>
          <w:szCs w:val="22"/>
        </w:rPr>
        <w:commentReference w:id="46"/>
      </w:r>
      <w:commentRangeEnd w:id="45"/>
      <w:r w:rsidR="00437C78" w:rsidRPr="00D435B1">
        <w:rPr>
          <w:rStyle w:val="CommentReference"/>
          <w:sz w:val="24"/>
          <w:szCs w:val="22"/>
        </w:rPr>
        <w:commentReference w:id="45"/>
      </w:r>
      <w:commentRangeStart w:id="46"/>
      <w:commentRangeEnd w:id="46"/>
      <w:r w:rsidR="00D435B1" w:rsidRPr="00D435B1">
        <w:t>Form 1095-A consumer disputes affect enrollment operations, tax compliance, and consumer trust in the Marketplace. This work requires accurate, timely resolution and a feedback loop that helps CMS identify and prevent repeat issues.</w:t>
      </w:r>
    </w:p>
    <w:p w14:paraId="4E5C1F16" w14:textId="77777777" w:rsidR="002158AA" w:rsidRDefault="002158AA" w:rsidP="002158AA">
      <w:pPr>
        <w:pStyle w:val="BodyText"/>
      </w:pPr>
      <w:r>
        <w:rPr>
          <w:color w:val="0000CC"/>
        </w:rP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21291850" w14:textId="7027B726" w:rsidR="00800088" w:rsidRDefault="00800088" w:rsidP="008A2E01">
      <w:pPr>
        <w:pStyle w:val="BodyText"/>
      </w:pPr>
    </w:p>
    <w:p w14:paraId="2C02A0B5" w14:textId="77777777" w:rsidR="008A2E01" w:rsidRDefault="008A2E01" w:rsidP="008A2E01">
      <w:pPr>
        <w:pStyle w:val="Subheading1"/>
      </w:pPr>
      <w:r>
        <w:t>Our Approach</w:t>
      </w:r>
    </w:p>
    <w:p w14:paraId="44FF0D6F" w14:textId="4A8DE3F9" w:rsidR="00C957A5" w:rsidRPr="00C957A5" w:rsidRDefault="008E261F" w:rsidP="00C957A5">
      <w:pPr>
        <w:pStyle w:val="BodyText"/>
      </w:pPr>
      <w:r>
        <w:rPr>
          <w:color w:val="0000CC"/>
        </w:rPr>
        <w:t xml:space="preserve">Deloitte will operate the Form 1095-A consumer dispute function as a three-lane resolution operation from Day 1, building on the shared transition-in approach. </w:t>
      </w:r>
      <w:r w:rsidR="00685F32">
        <w:rPr>
          <w:color w:val="0000CC"/>
        </w:rPr>
        <w:t xml:space="preserve">Our approach is organized across four dimensions; </w:t>
      </w:r>
      <w:r w:rsidR="00B560B1">
        <w:rPr>
          <w:color w:val="0000CC"/>
        </w:rPr>
        <w:t>Steady-state case resolutio</w:t>
      </w:r>
      <w:r w:rsidR="00B52075">
        <w:rPr>
          <w:color w:val="0000CC"/>
        </w:rPr>
        <w:t xml:space="preserve">n, tax season surge readiness, </w:t>
      </w:r>
      <w:r w:rsidR="001A2BBE">
        <w:rPr>
          <w:color w:val="0000CC"/>
        </w:rPr>
        <w:t>trend identification</w:t>
      </w:r>
      <w:r>
        <w:rPr>
          <w:color w:val="0000CC"/>
        </w:rPr>
        <w:t xml:space="preserve"> and </w:t>
      </w:r>
      <w:r w:rsidR="001A2BBE">
        <w:rPr>
          <w:color w:val="0000CC"/>
        </w:rPr>
        <w:t>process</w:t>
      </w:r>
      <w:r>
        <w:rPr>
          <w:color w:val="0000CC"/>
        </w:rPr>
        <w:t xml:space="preserve"> improvement, and </w:t>
      </w:r>
      <w:r w:rsidR="001A2BBE">
        <w:rPr>
          <w:color w:val="0000CC"/>
        </w:rPr>
        <w:t>Quality assurance.</w:t>
      </w:r>
      <w:r w:rsidR="001A2BBE" w:rsidRPr="00C957A5" w:rsidDel="008E261F">
        <w:t xml:space="preserve"> </w:t>
      </w:r>
      <w:commentRangeStart w:id="47"/>
      <w:commentRangeEnd w:id="47"/>
      <w:r w:rsidR="00914960" w:rsidRPr="00C957A5">
        <w:rPr>
          <w:rStyle w:val="CommentReference"/>
          <w:sz w:val="24"/>
          <w:szCs w:val="22"/>
        </w:rPr>
        <w:commentReference w:id="47"/>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957A5" w:rsidRPr="00C957A5" w:rsidDel="00543ED2" w14:paraId="2C9BC148"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07B321B0" w14:textId="77777777" w:rsidR="00C957A5" w:rsidRPr="00C957A5" w:rsidDel="00543ED2" w:rsidRDefault="00C957A5" w:rsidP="00C957A5">
            <w:pPr>
              <w:pStyle w:val="BodyText"/>
            </w:pPr>
            <w:r w:rsidRPr="00C957A5" w:rsidDel="00543ED2">
              <w:rPr>
                <w:b/>
                <w:bCs/>
              </w:rPr>
              <w:t>[IMAGE: Task 3 anchor: three-lane operating model with tax season calendar, surge staffing overlay, and monthly improvement loop]</w:t>
            </w:r>
          </w:p>
          <w:p w14:paraId="7E1FFF8D" w14:textId="77777777" w:rsidR="00C957A5" w:rsidRPr="00C957A5" w:rsidDel="00543ED2" w:rsidRDefault="00C957A5" w:rsidP="00C957A5">
            <w:pPr>
              <w:pStyle w:val="BodyText"/>
            </w:pPr>
            <w:r w:rsidRPr="00C957A5" w:rsidDel="00543ED2">
              <w:rPr>
                <w:i/>
                <w:iCs/>
              </w:rPr>
              <w:lastRenderedPageBreak/>
              <w:t>The anchor image shows the three-lane routing model alongside the monthly volume curve by complexity tier and the feedback loop that drives upstream dispute prevention.</w:t>
            </w:r>
          </w:p>
        </w:tc>
      </w:tr>
    </w:tbl>
    <w:p w14:paraId="6E52A0C6" w14:textId="77777777" w:rsidR="00C957A5" w:rsidRPr="00C957A5" w:rsidRDefault="00C957A5" w:rsidP="00C957A5">
      <w:pPr>
        <w:pStyle w:val="BodyText"/>
      </w:pPr>
    </w:p>
    <w:p w14:paraId="72EEBFEA" w14:textId="406FA14C" w:rsidR="00C957A5" w:rsidRPr="00C957A5" w:rsidRDefault="00477000" w:rsidP="00C957A5">
      <w:pPr>
        <w:pStyle w:val="BodyText"/>
      </w:pPr>
      <w:commentRangeStart w:id="48"/>
      <w:commentRangeEnd w:id="48"/>
      <w:r>
        <w:rPr>
          <w:rStyle w:val="CommentReference"/>
          <w:b/>
          <w:bCs/>
          <w:sz w:val="24"/>
          <w:szCs w:val="22"/>
        </w:rPr>
        <w:commentReference w:id="48"/>
      </w:r>
      <w:r w:rsidR="001A2BBE">
        <w:rPr>
          <w:b/>
          <w:bCs/>
        </w:rPr>
        <w:t>Steady State Case Resolution</w:t>
      </w:r>
    </w:p>
    <w:p w14:paraId="20908178" w14:textId="199E0EDB" w:rsidR="00C957A5" w:rsidRPr="00C957A5" w:rsidRDefault="00EE30C9" w:rsidP="00C957A5">
      <w:pPr>
        <w:pStyle w:val="BodyText"/>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957A5" w:rsidRPr="00C957A5" w14:paraId="391515C2"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62C39715" w14:textId="14DC91BF" w:rsidR="00C957A5" w:rsidRPr="00802C4A" w:rsidRDefault="00C957A5" w:rsidP="001D1363">
            <w:pPr>
              <w:pStyle w:val="TableHeading"/>
            </w:pPr>
            <w:r w:rsidRPr="00802C4A">
              <w:t xml:space="preserve">Low complexity  |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487ED34" w14:textId="6CD0185D" w:rsidR="00C957A5" w:rsidRPr="00802C4A" w:rsidRDefault="00C957A5" w:rsidP="001D1363">
            <w:pPr>
              <w:pStyle w:val="TableHeading"/>
            </w:pPr>
            <w:r w:rsidRPr="00802C4A">
              <w:t xml:space="preserve">Medium complexity  |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DA39EEF" w14:textId="064388AC" w:rsidR="00C957A5" w:rsidRPr="00802C4A" w:rsidRDefault="00C957A5" w:rsidP="001D1363">
            <w:pPr>
              <w:pStyle w:val="TableHeading"/>
            </w:pPr>
            <w:r w:rsidRPr="00802C4A">
              <w:t xml:space="preserve">High complexity  |  10-day SLA  </w:t>
            </w:r>
          </w:p>
        </w:tc>
      </w:tr>
      <w:tr w:rsidR="00C957A5" w:rsidRPr="00C957A5" w14:paraId="009EE734"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1FEC7CD" w14:textId="5CF3E749" w:rsidR="00230747" w:rsidRPr="00802C4A" w:rsidRDefault="00DA23CC" w:rsidP="00C957A5">
            <w:pPr>
              <w:pStyle w:val="BodyText"/>
              <w:rPr>
                <w:sz w:val="20"/>
                <w:szCs w:val="20"/>
              </w:rPr>
            </w:pPr>
            <w:r>
              <w:rPr>
                <w:sz w:val="20"/>
                <w:szCs w:val="20"/>
              </w:rPr>
              <w:t>Mailing Address Update (</w:t>
            </w:r>
            <w:r w:rsidR="00230747" w:rsidRPr="00802C4A">
              <w:rPr>
                <w:sz w:val="20"/>
                <w:szCs w:val="20"/>
              </w:rPr>
              <w:t>MAU</w:t>
            </w:r>
            <w:r>
              <w:rPr>
                <w:sz w:val="20"/>
                <w:szCs w:val="20"/>
              </w:rPr>
              <w:t>)</w:t>
            </w:r>
            <w:r w:rsidR="00230747" w:rsidRPr="00802C4A">
              <w:rPr>
                <w:sz w:val="20"/>
                <w:szCs w:val="20"/>
              </w:rPr>
              <w:t xml:space="preserve"> cases run through automation with pre-submit checks</w:t>
            </w:r>
          </w:p>
          <w:p w14:paraId="111C7FBD" w14:textId="78F9EACF" w:rsidR="00230747" w:rsidRPr="00802C4A" w:rsidRDefault="00230747" w:rsidP="00C957A5">
            <w:pPr>
              <w:pStyle w:val="BodyText"/>
              <w:rPr>
                <w:sz w:val="20"/>
                <w:szCs w:val="20"/>
              </w:rPr>
            </w:pPr>
            <w:r w:rsidRPr="00802C4A">
              <w:rPr>
                <w:sz w:val="20"/>
                <w:szCs w:val="20"/>
              </w:rPr>
              <w:t>Failed automations move to same-day fallout triage</w:t>
            </w:r>
          </w:p>
          <w:p w14:paraId="0ED205A4" w14:textId="77777777" w:rsidR="00C8174E" w:rsidRPr="00802C4A" w:rsidRDefault="00C8174E" w:rsidP="00C8174E">
            <w:pPr>
              <w:pStyle w:val="BodyText"/>
              <w:rPr>
                <w:sz w:val="20"/>
                <w:szCs w:val="20"/>
              </w:rPr>
            </w:pPr>
            <w:r w:rsidRPr="00802C4A">
              <w:rPr>
                <w:sz w:val="20"/>
                <w:szCs w:val="20"/>
              </w:rPr>
              <w:t>Fallout reviewed weekly to refine rules and reduce manual touch</w:t>
            </w:r>
          </w:p>
          <w:p w14:paraId="0C0C1693" w14:textId="77777777" w:rsidR="005E38D9" w:rsidRPr="00802C4A" w:rsidRDefault="005E38D9" w:rsidP="005E38D9">
            <w:pPr>
              <w:pStyle w:val="BodyText"/>
              <w:rPr>
                <w:sz w:val="20"/>
                <w:szCs w:val="20"/>
              </w:rPr>
            </w:pPr>
            <w:r w:rsidRPr="00802C4A">
              <w:rPr>
                <w:sz w:val="20"/>
                <w:szCs w:val="20"/>
              </w:rPr>
              <w:t>Resolved when change is submitted to processing queue</w:t>
            </w:r>
          </w:p>
          <w:p w14:paraId="3B90EEA7" w14:textId="77777777" w:rsidR="00C8174E" w:rsidRPr="00802C4A" w:rsidRDefault="00C8174E" w:rsidP="00C957A5">
            <w:pPr>
              <w:pStyle w:val="BodyText"/>
              <w:rPr>
                <w:sz w:val="20"/>
                <w:szCs w:val="20"/>
              </w:rPr>
            </w:pPr>
          </w:p>
          <w:p w14:paraId="76A71641" w14:textId="1E9CDC6B" w:rsidR="00C957A5" w:rsidRPr="00802C4A" w:rsidRDefault="00C957A5" w:rsidP="00C957A5">
            <w:pPr>
              <w:pStyle w:val="BodyText"/>
              <w:rPr>
                <w:sz w:val="20"/>
                <w:szCs w:val="20"/>
              </w:rPr>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3EE02CFB" w14:textId="77777777" w:rsidR="00B214AF" w:rsidRPr="00802C4A" w:rsidRDefault="00B214AF" w:rsidP="00B214AF">
            <w:pPr>
              <w:pStyle w:val="BodyText"/>
              <w:rPr>
                <w:sz w:val="20"/>
                <w:szCs w:val="20"/>
              </w:rPr>
            </w:pPr>
            <w:r w:rsidRPr="00802C4A">
              <w:rPr>
                <w:sz w:val="20"/>
                <w:szCs w:val="20"/>
              </w:rPr>
              <w:t>Standard research sequence across MCR, MIDAS, TM, MCU, and issuer records</w:t>
            </w:r>
          </w:p>
          <w:p w14:paraId="392A8156" w14:textId="77777777" w:rsidR="00B214AF" w:rsidRPr="00802C4A" w:rsidRDefault="00B214AF" w:rsidP="00B214AF">
            <w:pPr>
              <w:pStyle w:val="BodyText"/>
              <w:rPr>
                <w:sz w:val="20"/>
                <w:szCs w:val="20"/>
              </w:rPr>
            </w:pPr>
            <w:r w:rsidRPr="00802C4A">
              <w:rPr>
                <w:sz w:val="20"/>
                <w:szCs w:val="20"/>
              </w:rPr>
              <w:t>SEP MAU cases handled in a separate tracked workflow</w:t>
            </w:r>
          </w:p>
          <w:p w14:paraId="2EB08627" w14:textId="77777777" w:rsidR="00B214AF" w:rsidRPr="00802C4A" w:rsidRDefault="00B214AF" w:rsidP="00B214AF">
            <w:pPr>
              <w:pStyle w:val="BodyText"/>
              <w:rPr>
                <w:sz w:val="20"/>
                <w:szCs w:val="20"/>
              </w:rPr>
            </w:pPr>
            <w:r w:rsidRPr="00802C4A">
              <w:rPr>
                <w:sz w:val="20"/>
                <w:szCs w:val="20"/>
              </w:rPr>
              <w:t>Live outbound call first; written correspondence as needed</w:t>
            </w:r>
          </w:p>
          <w:p w14:paraId="45174BB4" w14:textId="77777777" w:rsidR="00B214AF" w:rsidRPr="00802C4A" w:rsidRDefault="00B214AF" w:rsidP="00B214AF">
            <w:pPr>
              <w:pStyle w:val="BodyText"/>
              <w:rPr>
                <w:sz w:val="20"/>
                <w:szCs w:val="20"/>
              </w:rPr>
            </w:pPr>
            <w:r w:rsidRPr="00802C4A">
              <w:rPr>
                <w:sz w:val="20"/>
                <w:szCs w:val="20"/>
              </w:rPr>
              <w:t>Aging alerts flag at-risk cases for supervisor action</w:t>
            </w:r>
          </w:p>
          <w:p w14:paraId="2BCE705A" w14:textId="54AADD42" w:rsidR="00C957A5" w:rsidRPr="00802C4A" w:rsidRDefault="00B214AF" w:rsidP="00C957A5">
            <w:pPr>
              <w:pStyle w:val="BodyText"/>
              <w:rPr>
                <w:sz w:val="20"/>
                <w:szCs w:val="20"/>
              </w:rPr>
            </w:pPr>
            <w:r w:rsidRPr="00802C4A">
              <w:rPr>
                <w:sz w:val="20"/>
                <w:szCs w:val="20"/>
              </w:rPr>
              <w:t xml:space="preserve">Resolved after consumer notification and change </w:t>
            </w:r>
            <w:r w:rsidR="00C957A5" w:rsidRPr="00802C4A">
              <w:rPr>
                <w:sz w:val="20"/>
                <w:szCs w:val="20"/>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16286F76" w14:textId="7241408C" w:rsidR="008338B3" w:rsidRPr="00802C4A" w:rsidRDefault="008338B3" w:rsidP="008338B3">
            <w:pPr>
              <w:pStyle w:val="BodyText"/>
              <w:rPr>
                <w:sz w:val="20"/>
                <w:szCs w:val="20"/>
              </w:rPr>
            </w:pPr>
            <w:r w:rsidRPr="00802C4A">
              <w:rPr>
                <w:sz w:val="20"/>
                <w:szCs w:val="20"/>
              </w:rPr>
              <w:t>Named owner assigned at intake; VIP flags routed same business day to senior staff</w:t>
            </w:r>
          </w:p>
          <w:p w14:paraId="2848BA5D" w14:textId="77777777" w:rsidR="008338B3" w:rsidRPr="00802C4A" w:rsidRDefault="008338B3" w:rsidP="008338B3">
            <w:pPr>
              <w:pStyle w:val="BodyText"/>
              <w:rPr>
                <w:sz w:val="20"/>
                <w:szCs w:val="20"/>
              </w:rPr>
            </w:pPr>
            <w:r w:rsidRPr="00802C4A">
              <w:rPr>
                <w:sz w:val="20"/>
                <w:szCs w:val="20"/>
              </w:rPr>
              <w:t>CMS-directed cases worked from recommended action and supporting documentation</w:t>
            </w:r>
          </w:p>
          <w:p w14:paraId="092259FB" w14:textId="77777777" w:rsidR="008338B3" w:rsidRPr="00802C4A" w:rsidRDefault="008338B3" w:rsidP="008338B3">
            <w:pPr>
              <w:pStyle w:val="BodyText"/>
              <w:rPr>
                <w:sz w:val="20"/>
                <w:szCs w:val="20"/>
              </w:rPr>
            </w:pPr>
            <w:r w:rsidRPr="00802C4A">
              <w:rPr>
                <w:sz w:val="20"/>
                <w:szCs w:val="20"/>
              </w:rPr>
              <w:t>Structured research and compliance check completed before determination</w:t>
            </w:r>
          </w:p>
          <w:p w14:paraId="05E29DA5" w14:textId="77777777" w:rsidR="008338B3" w:rsidRPr="00802C4A" w:rsidRDefault="008338B3" w:rsidP="008338B3">
            <w:pPr>
              <w:pStyle w:val="BodyText"/>
              <w:rPr>
                <w:sz w:val="20"/>
                <w:szCs w:val="20"/>
              </w:rPr>
            </w:pPr>
            <w:r w:rsidRPr="00802C4A">
              <w:rPr>
                <w:sz w:val="20"/>
                <w:szCs w:val="20"/>
              </w:rPr>
              <w:t>Retroactive/APTC changes require documented basis and pre-validation</w:t>
            </w:r>
          </w:p>
          <w:p w14:paraId="61C683E7" w14:textId="77777777" w:rsidR="008338B3" w:rsidRPr="00802C4A" w:rsidRDefault="008338B3" w:rsidP="008338B3">
            <w:pPr>
              <w:pStyle w:val="BodyText"/>
              <w:rPr>
                <w:sz w:val="20"/>
                <w:szCs w:val="20"/>
              </w:rPr>
            </w:pPr>
            <w:r w:rsidRPr="00802C4A">
              <w:rPr>
                <w:sz w:val="20"/>
                <w:szCs w:val="20"/>
              </w:rPr>
              <w:t>CMS/issuer dependencies tracked separately as SLA-excluded and visible in reporting</w:t>
            </w:r>
          </w:p>
          <w:p w14:paraId="17BF2144" w14:textId="77777777" w:rsidR="008338B3" w:rsidRPr="00802C4A" w:rsidRDefault="008338B3" w:rsidP="008338B3">
            <w:pPr>
              <w:pStyle w:val="BodyText"/>
              <w:rPr>
                <w:sz w:val="20"/>
                <w:szCs w:val="20"/>
              </w:rPr>
            </w:pPr>
            <w:r w:rsidRPr="00802C4A">
              <w:rPr>
                <w:sz w:val="20"/>
                <w:szCs w:val="20"/>
              </w:rPr>
              <w:t>Resolved after consumer notification and change queued</w:t>
            </w:r>
          </w:p>
          <w:p w14:paraId="7F0F14D3" w14:textId="1A6BFA35" w:rsidR="00C957A5" w:rsidRPr="00802C4A" w:rsidRDefault="00431364" w:rsidP="00C957A5">
            <w:pPr>
              <w:pStyle w:val="BodyText"/>
              <w:rPr>
                <w:sz w:val="20"/>
                <w:szCs w:val="20"/>
              </w:rPr>
            </w:pPr>
            <w:commentRangeStart w:id="49"/>
            <w:commentRangeEnd w:id="49"/>
            <w:r w:rsidRPr="00802C4A">
              <w:rPr>
                <w:rStyle w:val="CommentReference"/>
                <w:sz w:val="20"/>
                <w:szCs w:val="20"/>
              </w:rPr>
              <w:commentReference w:id="49"/>
            </w:r>
          </w:p>
        </w:tc>
      </w:tr>
    </w:tbl>
    <w:p w14:paraId="6B1875CD" w14:textId="77777777" w:rsidR="00C957A5" w:rsidRPr="00C957A5" w:rsidRDefault="00C957A5" w:rsidP="00C957A5">
      <w:pPr>
        <w:pStyle w:val="BodyText"/>
      </w:pPr>
    </w:p>
    <w:p w14:paraId="246C375B" w14:textId="4C562DA6" w:rsidR="00C957A5" w:rsidRPr="00C957A5" w:rsidRDefault="00C957A5" w:rsidP="00C957A5">
      <w:pPr>
        <w:pStyle w:val="BodyText"/>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3DE7E2CB" w14:textId="6094D9D2" w:rsidR="00C4104E" w:rsidRPr="00C957A5" w:rsidRDefault="00C4104E" w:rsidP="00C957A5">
      <w:pPr>
        <w:pStyle w:val="BodyText"/>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08A193EF" w14:textId="3CBEF294" w:rsidR="001A2BBE" w:rsidRDefault="00FF65D5" w:rsidP="001A2BBE">
      <w:pPr>
        <w:pStyle w:val="BodyText"/>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rPr>
          <w:color w:val="0000CC"/>
        </w:rPr>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66946311" w14:textId="77777777" w:rsidR="00C957A5" w:rsidRPr="00C957A5" w:rsidRDefault="00C957A5" w:rsidP="00C957A5">
      <w:pPr>
        <w:pStyle w:val="BodyText"/>
      </w:pPr>
    </w:p>
    <w:p w14:paraId="68DDDAE3" w14:textId="77777777" w:rsidR="00C957A5" w:rsidRPr="00C957A5" w:rsidRDefault="00C957A5" w:rsidP="00C957A5">
      <w:pPr>
        <w:pStyle w:val="BodyText"/>
      </w:pPr>
    </w:p>
    <w:p w14:paraId="3BB2F2C5" w14:textId="77777777" w:rsidR="00C957A5" w:rsidRPr="00C957A5" w:rsidRDefault="00C957A5" w:rsidP="00C957A5">
      <w:pPr>
        <w:pStyle w:val="BodyText"/>
      </w:pPr>
      <w:r w:rsidRPr="00C957A5">
        <w:rPr>
          <w:b/>
          <w:bCs/>
        </w:rPr>
        <w:t>Tax season surge readiness</w:t>
      </w:r>
    </w:p>
    <w:p w14:paraId="22542DD2" w14:textId="77777777" w:rsidR="00513BAC" w:rsidRPr="00C957A5" w:rsidRDefault="00513BAC" w:rsidP="00513BAC">
      <w:pPr>
        <w:pStyle w:val="BodyText"/>
      </w:pPr>
      <w:r>
        <w:rPr>
          <w:color w:val="0000CC"/>
        </w:rPr>
        <w:t xml:space="preserve">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w:t>
      </w:r>
      <w:r>
        <w:rPr>
          <w:color w:val="0000CC"/>
        </w:rPr>
        <w:lastRenderedPageBreak/>
        <w:t>from their first day back. New hires train on the prior year's actual root-cause case types under peer certification by returners before touching live cases. The result is a surge workforce that improves in quality each year rather than repeating the same ramp.</w:t>
      </w:r>
    </w:p>
    <w:p w14:paraId="447F63D1" w14:textId="3997129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957A5" w:rsidRPr="00C957A5" w14:paraId="7EC9E533"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66252277" w14:textId="77777777" w:rsidR="00C957A5" w:rsidRPr="00802C4A" w:rsidRDefault="00C957A5" w:rsidP="00B17225">
            <w:pPr>
              <w:pStyle w:val="TableHeading"/>
            </w:pPr>
            <w:r w:rsidRPr="00802C4A">
              <w:t>Surge operating standard</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9A80B65" w14:textId="77777777" w:rsidR="00C957A5" w:rsidRPr="00802C4A" w:rsidRDefault="00C957A5" w:rsidP="00B17225">
            <w:pPr>
              <w:pStyle w:val="TableHeading"/>
            </w:pPr>
            <w:r w:rsidRPr="00802C4A">
              <w:t>Deloitte commitment</w:t>
            </w:r>
          </w:p>
        </w:tc>
      </w:tr>
      <w:tr w:rsidR="00950766" w:rsidRPr="00C957A5" w14:paraId="49B8CE5E"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AF396E5" w14:textId="4D4A36CF" w:rsidR="00950766" w:rsidRPr="00950766" w:rsidRDefault="00950766" w:rsidP="00457B83">
            <w:pPr>
              <w:pStyle w:val="TableBody"/>
            </w:pPr>
            <w:r w:rsidRPr="00802C4A">
              <w:t>QA and supervision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DF0CB6C" w14:textId="33258C53" w:rsidR="00950766" w:rsidRPr="00950766" w:rsidRDefault="00950766" w:rsidP="00950766">
            <w:pPr>
              <w:pStyle w:val="BodyText"/>
              <w:rPr>
                <w:sz w:val="20"/>
                <w:szCs w:val="20"/>
              </w:rPr>
            </w:pPr>
            <w:r w:rsidRPr="00802C4A">
              <w:rPr>
                <w:sz w:val="20"/>
                <w:szCs w:val="20"/>
              </w:rPr>
              <w:t>Maintained at base-period standards throughout January–May</w:t>
            </w:r>
          </w:p>
        </w:tc>
      </w:tr>
      <w:tr w:rsidR="00950766" w:rsidRPr="00C957A5" w14:paraId="7211B6E4"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51D1C7C9" w14:textId="42851FEC" w:rsidR="00950766" w:rsidRPr="00950766" w:rsidRDefault="00950766" w:rsidP="00457B83">
            <w:pPr>
              <w:pStyle w:val="TableBody"/>
            </w:pPr>
            <w:r w:rsidRPr="00802C4A">
              <w:t>Daily aging review</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7EA497A" w14:textId="08267D6D" w:rsidR="00950766" w:rsidRPr="00950766" w:rsidRDefault="00950766" w:rsidP="00950766">
            <w:pPr>
              <w:pStyle w:val="BodyText"/>
              <w:rPr>
                <w:sz w:val="20"/>
                <w:szCs w:val="20"/>
              </w:rPr>
            </w:pPr>
            <w:r w:rsidRPr="00802C4A">
              <w:rPr>
                <w:sz w:val="20"/>
                <w:szCs w:val="20"/>
              </w:rPr>
              <w:t>Aging dashboard reviewed each morning; at-risk cases flagged same day</w:t>
            </w:r>
          </w:p>
        </w:tc>
      </w:tr>
      <w:tr w:rsidR="00950766" w:rsidRPr="00C957A5" w14:paraId="30CB9BBF"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2CA2467C" w14:textId="47A66629" w:rsidR="00950766" w:rsidRPr="00950766" w:rsidRDefault="00950766" w:rsidP="00457B83">
            <w:pPr>
              <w:pStyle w:val="TableBody"/>
            </w:pPr>
            <w:r w:rsidRPr="00802C4A">
              <w:t>Reserve capacity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876CE0C" w14:textId="55AA0923" w:rsidR="00950766" w:rsidRPr="00950766" w:rsidRDefault="00950766" w:rsidP="00950766">
            <w:pPr>
              <w:pStyle w:val="BodyText"/>
              <w:rPr>
                <w:sz w:val="20"/>
                <w:szCs w:val="20"/>
              </w:rPr>
            </w:pPr>
            <w:r w:rsidRPr="00802C4A">
              <w:rPr>
                <w:sz w:val="20"/>
                <w:szCs w:val="20"/>
              </w:rPr>
              <w:t>Pre-cleared reserve staff activate at defined volume thresholds</w:t>
            </w:r>
          </w:p>
        </w:tc>
      </w:tr>
    </w:tbl>
    <w:p w14:paraId="63C33C52" w14:textId="77777777" w:rsidR="00C957A5" w:rsidRPr="00C957A5" w:rsidRDefault="00C957A5" w:rsidP="00C957A5">
      <w:pPr>
        <w:pStyle w:val="BodyText"/>
      </w:pPr>
    </w:p>
    <w:p w14:paraId="0449AE10" w14:textId="77777777" w:rsidR="00C957A5" w:rsidRPr="00C957A5" w:rsidRDefault="00C957A5" w:rsidP="00C957A5">
      <w:pPr>
        <w:pStyle w:val="BodyText"/>
      </w:pPr>
      <w:r w:rsidRPr="00C957A5">
        <w:rPr>
          <w:b/>
          <w:bCs/>
        </w:rPr>
        <w:t>Trend identification and process improvement</w:t>
      </w:r>
    </w:p>
    <w:p w14:paraId="05AA2F33" w14:textId="77777777" w:rsidR="00051753" w:rsidRPr="00C957A5" w:rsidRDefault="00051753" w:rsidP="00051753">
      <w:pPr>
        <w:pStyle w:val="BodyText"/>
      </w:pPr>
      <w:r>
        <w:rPr>
          <w:color w:val="0000CC"/>
        </w:rPr>
        <w:t>Deloitte will treat the incoming dispute queue as an early-warning signal rather than a workload to process. The table below shows the specific actions and what each means for CMS's ability to reduce future dispute volume.</w:t>
      </w:r>
    </w:p>
    <w:p w14:paraId="4129AC1C"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10A720E2" w14:textId="77777777" w:rsidTr="0004157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76BC7DF8" w14:textId="77777777" w:rsidR="00C957A5" w:rsidRPr="00802C4A" w:rsidRDefault="00C957A5" w:rsidP="00041578">
            <w:pPr>
              <w:pStyle w:val="TableHeading"/>
            </w:pPr>
            <w:r w:rsidRPr="00802C4A">
              <w:t>What Deloitte will do</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8397E18" w14:textId="77777777" w:rsidR="00C957A5" w:rsidRPr="00802C4A" w:rsidRDefault="00C957A5" w:rsidP="00041578">
            <w:pPr>
              <w:pStyle w:val="TableHeading"/>
            </w:pPr>
            <w:r w:rsidRPr="00802C4A">
              <w:t>What this means for CMS</w:t>
            </w:r>
          </w:p>
        </w:tc>
      </w:tr>
      <w:tr w:rsidR="0012587D" w:rsidRPr="00C957A5" w14:paraId="0E70DE8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397320A" w14:textId="20A39750" w:rsidR="0012587D" w:rsidRPr="0012587D" w:rsidRDefault="00E91ABF" w:rsidP="00C957A5">
            <w:pPr>
              <w:pStyle w:val="BodyText"/>
              <w:rPr>
                <w:sz w:val="20"/>
                <w:szCs w:val="20"/>
              </w:rPr>
            </w:pPr>
            <w:r w:rsidRPr="00E91ABF">
              <w:rPr>
                <w:sz w:val="20"/>
                <w:szCs w:val="20"/>
              </w:rPr>
              <w:t>Review HICS narratives and CERRS attributes daily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6777EF" w14:textId="4BFF49B2" w:rsidR="0012587D" w:rsidRPr="0012587D" w:rsidRDefault="00E91ABF" w:rsidP="00C957A5">
            <w:pPr>
              <w:pStyle w:val="BodyText"/>
              <w:rPr>
                <w:sz w:val="20"/>
                <w:szCs w:val="20"/>
              </w:rPr>
            </w:pPr>
            <w:r w:rsidRPr="00E91ABF">
              <w:rPr>
                <w:sz w:val="20"/>
                <w:szCs w:val="20"/>
              </w:rPr>
              <w:t>Give CMS early visibility into emerging 1095-A dispute patterns</w:t>
            </w:r>
          </w:p>
        </w:tc>
      </w:tr>
      <w:tr w:rsidR="0012587D" w:rsidRPr="00C957A5" w14:paraId="5B9AC4A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B1668B8" w14:textId="784EA84A" w:rsidR="0012587D" w:rsidRPr="0012587D" w:rsidRDefault="002D1057" w:rsidP="00C957A5">
            <w:pPr>
              <w:pStyle w:val="BodyText"/>
              <w:rPr>
                <w:sz w:val="20"/>
                <w:szCs w:val="20"/>
              </w:rPr>
            </w:pPr>
            <w:r w:rsidRPr="002D1057">
              <w:rPr>
                <w:sz w:val="20"/>
                <w:szCs w:val="20"/>
              </w:rPr>
              <w:t>Pull correlated cases and escalate root cause with bulk-action recommendation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5BC15BD" w14:textId="34677FD1" w:rsidR="0012587D" w:rsidRPr="0012587D" w:rsidRDefault="002D1057" w:rsidP="00C957A5">
            <w:pPr>
              <w:pStyle w:val="BodyText"/>
              <w:rPr>
                <w:sz w:val="20"/>
                <w:szCs w:val="20"/>
              </w:rPr>
            </w:pPr>
            <w:r w:rsidRPr="002D1057">
              <w:rPr>
                <w:sz w:val="20"/>
                <w:szCs w:val="20"/>
              </w:rPr>
              <w:t>Enable CMS to resolve shared-root-cause cases through one coordinated action</w:t>
            </w:r>
          </w:p>
        </w:tc>
      </w:tr>
      <w:tr w:rsidR="0012587D" w:rsidRPr="00C957A5" w14:paraId="6C12472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B77486E" w14:textId="1ECE4E84" w:rsidR="0012587D" w:rsidRPr="0012587D" w:rsidRDefault="002D1057" w:rsidP="00C957A5">
            <w:pPr>
              <w:pStyle w:val="BodyText"/>
              <w:rPr>
                <w:sz w:val="20"/>
                <w:szCs w:val="20"/>
              </w:rPr>
            </w:pPr>
            <w:r w:rsidRPr="002D1057">
              <w:rPr>
                <w:sz w:val="20"/>
                <w:szCs w:val="20"/>
              </w:rPr>
              <w:t>Deliver monthly improvement actions by channel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229747" w14:textId="774839B5" w:rsidR="0012587D" w:rsidRPr="0012587D" w:rsidRDefault="002D1057" w:rsidP="00C957A5">
            <w:pPr>
              <w:pStyle w:val="BodyText"/>
              <w:rPr>
                <w:sz w:val="20"/>
                <w:szCs w:val="20"/>
              </w:rPr>
            </w:pPr>
            <w:r w:rsidRPr="002D1057">
              <w:rPr>
                <w:sz w:val="20"/>
                <w:szCs w:val="20"/>
              </w:rPr>
              <w:t>Equip CMS to issue targeted guidance through issuer webinar, email blast, REGTap, or CMSzONE</w:t>
            </w:r>
          </w:p>
        </w:tc>
      </w:tr>
      <w:tr w:rsidR="0012587D" w:rsidRPr="00C957A5" w14:paraId="6CDB6763"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414EA9" w14:textId="6C6126E6" w:rsidR="0012587D" w:rsidRPr="0012587D" w:rsidRDefault="00D435C0" w:rsidP="00C957A5">
            <w:pPr>
              <w:pStyle w:val="BodyText"/>
              <w:rPr>
                <w:sz w:val="20"/>
                <w:szCs w:val="20"/>
              </w:rPr>
            </w:pPr>
            <w:r w:rsidRPr="00D435C0">
              <w:rPr>
                <w:sz w:val="20"/>
                <w:szCs w:val="20"/>
              </w:rPr>
              <w:t>Share Task 2 and Task 3 data weekly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8735D9F" w14:textId="12EF38BB" w:rsidR="0012587D" w:rsidRPr="0012587D" w:rsidRDefault="00D435C0" w:rsidP="00C957A5">
            <w:pPr>
              <w:pStyle w:val="BodyText"/>
              <w:rPr>
                <w:sz w:val="20"/>
                <w:szCs w:val="20"/>
              </w:rPr>
            </w:pPr>
            <w:r w:rsidRPr="00D435C0">
              <w:rPr>
                <w:sz w:val="20"/>
                <w:szCs w:val="20"/>
              </w:rPr>
              <w:t>Help CMS identify issuer-driven consumer disputes earlier</w:t>
            </w:r>
          </w:p>
        </w:tc>
      </w:tr>
      <w:tr w:rsidR="0012587D" w:rsidRPr="00C957A5" w14:paraId="468C2351"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81A3DDF" w14:textId="58ADC5C7" w:rsidR="0012587D" w:rsidRPr="0012587D" w:rsidRDefault="002B3F7E" w:rsidP="00C957A5">
            <w:pPr>
              <w:pStyle w:val="BodyText"/>
              <w:rPr>
                <w:sz w:val="20"/>
                <w:szCs w:val="20"/>
              </w:rPr>
            </w:pPr>
            <w:commentRangeStart w:id="50"/>
            <w:commentRangeStart w:id="51"/>
            <w:r w:rsidRPr="002B3F7E">
              <w:rPr>
                <w:sz w:val="20"/>
                <w:szCs w:val="20"/>
              </w:rPr>
              <w:t>Deploy AI-assisted HICS text analysis, with CMS approva</w:t>
            </w:r>
            <w:r>
              <w:rPr>
                <w:sz w:val="20"/>
                <w:szCs w:val="20"/>
              </w:rPr>
              <w:t>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1C4660E" w14:textId="14C32F03" w:rsidR="0012587D" w:rsidRPr="0012587D" w:rsidRDefault="002B3F7E" w:rsidP="00C957A5">
            <w:pPr>
              <w:pStyle w:val="BodyText"/>
              <w:rPr>
                <w:sz w:val="20"/>
                <w:szCs w:val="20"/>
              </w:rPr>
            </w:pPr>
            <w:r w:rsidRPr="002B3F7E">
              <w:rPr>
                <w:sz w:val="20"/>
                <w:szCs w:val="20"/>
              </w:rPr>
              <w:t>Help CMS detect emerging dispute trends faster than manual review alone</w:t>
            </w:r>
            <w:commentRangeEnd w:id="50"/>
            <w:r w:rsidR="009409F6" w:rsidRPr="0012587D">
              <w:rPr>
                <w:rStyle w:val="CommentReference"/>
                <w:sz w:val="20"/>
                <w:szCs w:val="20"/>
              </w:rPr>
              <w:commentReference w:id="50"/>
            </w:r>
            <w:commentRangeEnd w:id="51"/>
            <w:r w:rsidRPr="0012587D">
              <w:rPr>
                <w:rStyle w:val="CommentReference"/>
                <w:sz w:val="20"/>
                <w:szCs w:val="20"/>
              </w:rPr>
              <w:commentReference w:id="51"/>
            </w:r>
          </w:p>
        </w:tc>
      </w:tr>
    </w:tbl>
    <w:p w14:paraId="490371CD" w14:textId="77777777" w:rsidR="00C957A5" w:rsidRPr="00C957A5" w:rsidRDefault="00C957A5" w:rsidP="00C957A5">
      <w:pPr>
        <w:pStyle w:val="BodyText"/>
      </w:pPr>
    </w:p>
    <w:p w14:paraId="2431A502" w14:textId="77777777" w:rsidR="00C957A5" w:rsidRPr="00C957A5" w:rsidRDefault="00C957A5" w:rsidP="00C957A5">
      <w:pPr>
        <w:pStyle w:val="BodyText"/>
      </w:pPr>
      <w:r w:rsidRPr="00C957A5">
        <w:rPr>
          <w:b/>
          <w:bCs/>
        </w:rPr>
        <w:t>Quality assurance</w:t>
      </w:r>
    </w:p>
    <w:p w14:paraId="67D94D62" w14:textId="77777777" w:rsidR="006E6744" w:rsidRPr="00C957A5" w:rsidRDefault="006E6744" w:rsidP="006E6744">
      <w:pPr>
        <w:pStyle w:val="BodyText"/>
      </w:pPr>
      <w:r>
        <w:rPr>
          <w:color w:val="0000CC"/>
        </w:rPr>
        <w:t>QA is Deloitte's mechanism for ensuring the three-lane model performs consistently, not just on average. The table below shows how each QA element translates into a specific outcome for CMS.</w:t>
      </w:r>
    </w:p>
    <w:p w14:paraId="0D002261"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67070EF4" w14:textId="77777777" w:rsidTr="00CA615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933A792" w14:textId="77777777" w:rsidR="00C957A5" w:rsidRPr="009D3190" w:rsidRDefault="00C957A5" w:rsidP="00CA6158">
            <w:pPr>
              <w:pStyle w:val="TableHeading"/>
              <w:rPr>
                <w:szCs w:val="20"/>
              </w:rPr>
            </w:pPr>
            <w:r w:rsidRPr="00802C4A">
              <w:lastRenderedPageBreak/>
              <w:t>Quality assurance element</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DB07F0E" w14:textId="77777777" w:rsidR="00C957A5" w:rsidRPr="009D3190" w:rsidRDefault="00C957A5" w:rsidP="00CA6158">
            <w:pPr>
              <w:pStyle w:val="TableHeading"/>
              <w:rPr>
                <w:szCs w:val="20"/>
              </w:rPr>
            </w:pPr>
            <w:r w:rsidRPr="00802C4A">
              <w:t>What it means to CMS</w:t>
            </w:r>
          </w:p>
        </w:tc>
      </w:tr>
      <w:tr w:rsidR="00C957A5" w:rsidRPr="00C957A5" w14:paraId="5E0FAE5F"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D5A2CD" w14:textId="77777777" w:rsidR="00C957A5" w:rsidRPr="009D3190" w:rsidRDefault="00C957A5" w:rsidP="00EF6987">
            <w:pPr>
              <w:pStyle w:val="TableBody"/>
              <w:rPr>
                <w:szCs w:val="20"/>
              </w:rPr>
            </w:pPr>
            <w:r w:rsidRPr="00802C4A">
              <w:t>Elevated sampling categories: APTC, retroactive adjustments, override actions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2D3451F" w14:textId="77777777" w:rsidR="00C957A5" w:rsidRPr="009D3190" w:rsidRDefault="00C957A5" w:rsidP="00EF6987">
            <w:pPr>
              <w:pStyle w:val="TableBody"/>
              <w:rPr>
                <w:szCs w:val="20"/>
              </w:rPr>
            </w:pPr>
            <w:r w:rsidRPr="00802C4A">
              <w:t>The highest-risk case types are reviewed most frequently -- errors caught before they generate corrected 1095-As, amended returns, or new disputes</w:t>
            </w:r>
          </w:p>
        </w:tc>
      </w:tr>
      <w:tr w:rsidR="00C957A5" w:rsidRPr="00C957A5" w14:paraId="24174B00"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A152DF" w14:textId="77777777" w:rsidR="00C957A5" w:rsidRPr="009D3190" w:rsidRDefault="00C957A5" w:rsidP="00EF6987">
            <w:pPr>
              <w:pStyle w:val="TableBody"/>
              <w:rPr>
                <w:szCs w:val="20"/>
              </w:rPr>
            </w:pPr>
            <w:r w:rsidRPr="00802C4A">
              <w:t>Case note review and quality scoring: closed cases reviewed against defined criteria for research sequence, documentation completeness, rationale, and audit-ready closure</w:t>
            </w:r>
          </w:p>
          <w:p w14:paraId="39F4FF1E"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6EBEE08" w14:textId="77777777" w:rsidR="00C957A5" w:rsidRPr="009D3190" w:rsidRDefault="00C957A5" w:rsidP="00EF6987">
            <w:pPr>
              <w:pStyle w:val="TableBody"/>
              <w:rPr>
                <w:szCs w:val="20"/>
              </w:rPr>
            </w:pPr>
            <w:r w:rsidRPr="00802C4A">
              <w:t>CMS has a structured, case-level quality method -- not just spot checks -- confirming that determinations are correct, fully documented, and ready for oversight review</w:t>
            </w:r>
          </w:p>
        </w:tc>
      </w:tr>
      <w:tr w:rsidR="00C957A5" w:rsidRPr="00C957A5" w14:paraId="0A6BEA7A"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CA50B47" w14:textId="77777777" w:rsidR="00C957A5" w:rsidRPr="009D3190" w:rsidRDefault="00C957A5" w:rsidP="00EF6987">
            <w:pPr>
              <w:pStyle w:val="TableBody"/>
              <w:rPr>
                <w:szCs w:val="20"/>
              </w:rPr>
            </w:pPr>
            <w:r w:rsidRPr="00802C4A">
              <w:t>Inconsistencies become training and SOP updates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2AE792F" w14:textId="77777777" w:rsidR="00C957A5" w:rsidRPr="009D3190" w:rsidRDefault="00C957A5" w:rsidP="00EF6987">
            <w:pPr>
              <w:pStyle w:val="TableBody"/>
              <w:rPr>
                <w:szCs w:val="20"/>
              </w:rPr>
            </w:pPr>
            <w:r w:rsidRPr="00802C4A">
              <w:t>Inconsistent determinations eliminated systematically, not managed one caseworker at a time</w:t>
            </w:r>
          </w:p>
        </w:tc>
      </w:tr>
      <w:tr w:rsidR="00C957A5" w:rsidRPr="00C957A5" w14:paraId="3E932CD5"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90EFB19" w14:textId="77777777" w:rsidR="00C957A5" w:rsidRPr="009D3190" w:rsidRDefault="00C957A5" w:rsidP="00EF6987">
            <w:pPr>
              <w:pStyle w:val="TableBody"/>
              <w:rPr>
                <w:szCs w:val="20"/>
              </w:rPr>
            </w:pPr>
            <w:r w:rsidRPr="00802C4A">
              <w:t>Targeted coaching for recurring errors or low-quality case handling</w:t>
            </w:r>
          </w:p>
          <w:p w14:paraId="7EC3D16F"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94689FC" w14:textId="77777777" w:rsidR="00C957A5" w:rsidRPr="009D3190" w:rsidRDefault="00C957A5" w:rsidP="00EF6987">
            <w:pPr>
              <w:pStyle w:val="TableBody"/>
              <w:rPr>
                <w:szCs w:val="20"/>
              </w:rPr>
            </w:pPr>
            <w:r w:rsidRPr="00802C4A">
              <w:t>Caseworkers with repeat documentation or determination issues receive focused corrective coaching before error patterns spread into production</w:t>
            </w:r>
          </w:p>
          <w:p w14:paraId="6228495C" w14:textId="77777777" w:rsidR="00C957A5" w:rsidRPr="00802C4A" w:rsidRDefault="00C957A5" w:rsidP="00EF6987">
            <w:pPr>
              <w:pStyle w:val="TableBody"/>
            </w:pPr>
          </w:p>
        </w:tc>
      </w:tr>
      <w:tr w:rsidR="00C957A5" w:rsidRPr="00C957A5" w14:paraId="22E979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2BBC20" w14:textId="77777777" w:rsidR="00C957A5" w:rsidRPr="009D3190" w:rsidRDefault="00C957A5" w:rsidP="00EF6987">
            <w:pPr>
              <w:pStyle w:val="TableBody"/>
              <w:rPr>
                <w:szCs w:val="20"/>
              </w:rPr>
            </w:pPr>
            <w:r w:rsidRPr="00802C4A">
              <w:t>Systemic pattern detection escalated to CMS with root cause and recommended fix</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DCDBCF" w14:textId="77777777" w:rsidR="00C957A5" w:rsidRPr="009D3190" w:rsidRDefault="00C957A5" w:rsidP="00EF6987">
            <w:pPr>
              <w:pStyle w:val="TableBody"/>
              <w:rPr>
                <w:szCs w:val="20"/>
              </w:rPr>
            </w:pPr>
            <w:r w:rsidRPr="00802C4A">
              <w:t>CMS receives a diagnosis and a proposed fix, not a performance report</w:t>
            </w:r>
          </w:p>
        </w:tc>
      </w:tr>
      <w:tr w:rsidR="00C957A5" w:rsidRPr="00C957A5" w14:paraId="7BA930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1DE73E7" w14:textId="77777777" w:rsidR="00C957A5" w:rsidRPr="009D3190" w:rsidRDefault="00C957A5" w:rsidP="00EF6987">
            <w:pPr>
              <w:pStyle w:val="TableBody"/>
              <w:rPr>
                <w:szCs w:val="20"/>
              </w:rPr>
            </w:pPr>
            <w:r w:rsidRPr="00802C4A">
              <w:t>Emerging issue notification: new error pattern surfaced with documented finding and proposed corrective action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E116052" w14:textId="77777777" w:rsidR="00C957A5" w:rsidRPr="009D3190" w:rsidRDefault="00C957A5" w:rsidP="00EF6987">
            <w:pPr>
              <w:pStyle w:val="TableBody"/>
              <w:rPr>
                <w:szCs w:val="20"/>
              </w:rPr>
            </w:pPr>
            <w:r w:rsidRPr="00802C4A">
              <w:t>CMS is first to know about a quality risk in the program</w:t>
            </w:r>
          </w:p>
        </w:tc>
      </w:tr>
    </w:tbl>
    <w:p w14:paraId="653A2F1F" w14:textId="77777777" w:rsidR="00C957A5" w:rsidRDefault="00C957A5" w:rsidP="008A2E01">
      <w:pPr>
        <w:pStyle w:val="BodyText"/>
      </w:pPr>
    </w:p>
    <w:p w14:paraId="2329DED8" w14:textId="3BE20145" w:rsidR="005028F2" w:rsidRDefault="005028F2" w:rsidP="005028F2">
      <w:pPr>
        <w:pStyle w:val="TableTitle"/>
      </w:pPr>
      <w:r w:rsidRPr="006E03C0">
        <w:t>Table 1.2.2-1. Three-Lane 1095-A Resolution Model.</w:t>
      </w: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A0" w:firstRow="1" w:lastRow="0" w:firstColumn="1" w:lastColumn="0" w:noHBand="1" w:noVBand="1"/>
      </w:tblPr>
      <w:tblGrid>
        <w:gridCol w:w="3600"/>
        <w:gridCol w:w="5760"/>
      </w:tblGrid>
      <w:tr w:rsidR="0009164D" w:rsidRPr="0009164D" w14:paraId="050ECFE2"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72FC016" w14:textId="77777777" w:rsidR="0009164D" w:rsidRPr="009D3190" w:rsidRDefault="0009164D" w:rsidP="001766CF">
            <w:pPr>
              <w:pStyle w:val="TableHeading"/>
              <w:rPr>
                <w:szCs w:val="20"/>
              </w:rPr>
            </w:pPr>
            <w:r w:rsidRPr="00802C4A">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DE8BFB2" w14:textId="77777777" w:rsidR="0009164D" w:rsidRPr="009D3190" w:rsidRDefault="0009164D" w:rsidP="001766CF">
            <w:pPr>
              <w:pStyle w:val="TableHeading"/>
              <w:rPr>
                <w:szCs w:val="20"/>
              </w:rPr>
            </w:pPr>
            <w:r w:rsidRPr="00802C4A">
              <w:t>Deloitte mitigation</w:t>
            </w:r>
          </w:p>
        </w:tc>
      </w:tr>
      <w:tr w:rsidR="0009164D" w:rsidRPr="0009164D" w14:paraId="2F446DC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449B7C4" w14:textId="77777777" w:rsidR="0009164D" w:rsidRPr="009D3190" w:rsidRDefault="0009164D" w:rsidP="005028F2">
            <w:pPr>
              <w:pStyle w:val="TableBody"/>
              <w:spacing w:after="0"/>
              <w:rPr>
                <w:szCs w:val="20"/>
              </w:rPr>
            </w:pPr>
            <w:r w:rsidRPr="00802C4A">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1BA98E" w14:textId="77777777" w:rsidR="0009164D" w:rsidRPr="009D3190" w:rsidRDefault="0009164D" w:rsidP="005028F2">
            <w:pPr>
              <w:pStyle w:val="TableBody"/>
              <w:spacing w:after="0"/>
              <w:rPr>
                <w:szCs w:val="20"/>
              </w:rPr>
            </w:pPr>
            <w:r w:rsidRPr="00802C4A">
              <w:t>Deloitte validates inherited workflows, reconciles open inventory against CERRS during transition-in, and confirms HICS-to-CERRS intake, classification logic, and reporting before steady-state operations begin.</w:t>
            </w:r>
          </w:p>
        </w:tc>
      </w:tr>
      <w:tr w:rsidR="0009164D" w:rsidRPr="0009164D" w14:paraId="764CF104"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F341FD1" w14:textId="77777777" w:rsidR="0009164D" w:rsidRPr="009D3190" w:rsidRDefault="0009164D" w:rsidP="005028F2">
            <w:pPr>
              <w:pStyle w:val="TableBody"/>
              <w:spacing w:after="0"/>
              <w:rPr>
                <w:szCs w:val="20"/>
              </w:rPr>
            </w:pPr>
            <w:r w:rsidRPr="00802C4A">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DB57B6E" w14:textId="77777777" w:rsidR="0009164D" w:rsidRPr="009D3190" w:rsidRDefault="0009164D" w:rsidP="005028F2">
            <w:pPr>
              <w:pStyle w:val="TableBody"/>
              <w:spacing w:after="0"/>
              <w:rPr>
                <w:szCs w:val="20"/>
              </w:rPr>
            </w:pPr>
            <w:r w:rsidRPr="00802C4A">
              <w:t>Returner-first staffing strategy with recruitment beginning November. All temporary caseworkers cleared and trained before January. QA rigor, aging oversight, and SLA monitoring maintained at base period standards throughout surge.</w:t>
            </w:r>
          </w:p>
        </w:tc>
      </w:tr>
      <w:tr w:rsidR="0009164D" w:rsidRPr="0009164D" w14:paraId="7BB2C61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0C7204A" w14:textId="77777777" w:rsidR="0009164D" w:rsidRPr="009D3190" w:rsidRDefault="0009164D" w:rsidP="005028F2">
            <w:pPr>
              <w:pStyle w:val="TableBody"/>
              <w:spacing w:after="0"/>
              <w:rPr>
                <w:szCs w:val="20"/>
              </w:rPr>
            </w:pPr>
            <w:r w:rsidRPr="00802C4A">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22E77B1" w14:textId="77777777" w:rsidR="0009164D" w:rsidRPr="009D3190" w:rsidRDefault="0009164D" w:rsidP="005028F2">
            <w:pPr>
              <w:pStyle w:val="TableBody"/>
              <w:spacing w:after="0"/>
              <w:rPr>
                <w:szCs w:val="20"/>
              </w:rPr>
            </w:pPr>
            <w:r w:rsidRPr="00802C4A">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10B87A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65A730" w14:textId="77777777" w:rsidR="0009164D" w:rsidRPr="009D3190" w:rsidRDefault="0009164D" w:rsidP="005028F2">
            <w:pPr>
              <w:pStyle w:val="TableBody"/>
              <w:spacing w:after="0"/>
              <w:rPr>
                <w:szCs w:val="20"/>
              </w:rPr>
            </w:pPr>
            <w:r w:rsidRPr="00802C4A">
              <w:lastRenderedPageBreak/>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CB9FA7" w14:textId="77777777" w:rsidR="0009164D" w:rsidRPr="009D3190" w:rsidRDefault="0009164D" w:rsidP="005028F2">
            <w:pPr>
              <w:pStyle w:val="TableBody"/>
              <w:spacing w:after="0"/>
              <w:rPr>
                <w:szCs w:val="20"/>
              </w:rPr>
            </w:pPr>
            <w:r w:rsidRPr="00802C4A">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399C9E3A"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0412AA5" w14:textId="77777777" w:rsidR="0009164D" w:rsidRPr="009D3190" w:rsidRDefault="0009164D" w:rsidP="005028F2">
            <w:pPr>
              <w:pStyle w:val="TableBody"/>
              <w:spacing w:after="0"/>
              <w:rPr>
                <w:szCs w:val="20"/>
              </w:rPr>
            </w:pPr>
            <w:r w:rsidRPr="00802C4A">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0DA5C1" w14:textId="77777777" w:rsidR="0009164D" w:rsidRPr="009D3190" w:rsidRDefault="0009164D" w:rsidP="005028F2">
            <w:pPr>
              <w:pStyle w:val="TableBody"/>
              <w:spacing w:after="0"/>
              <w:rPr>
                <w:szCs w:val="20"/>
              </w:rPr>
            </w:pPr>
            <w:r w:rsidRPr="00802C4A">
              <w:t>Daily monitoring of HICS narratives and CERRS attributes surfaces correlated clusters same-day. Correlated cases escalated to CMS with bulk-processing recommendation and root cause summary rather than worked individually.</w:t>
            </w:r>
          </w:p>
        </w:tc>
      </w:tr>
    </w:tbl>
    <w:p w14:paraId="4881B59C" w14:textId="77777777" w:rsidR="0009164D" w:rsidRDefault="0009164D" w:rsidP="005028F2">
      <w:pPr>
        <w:pStyle w:val="ParagraphSpacer"/>
      </w:pPr>
    </w:p>
    <w:p w14:paraId="58189E60" w14:textId="77777777" w:rsidR="008A2E01" w:rsidRDefault="008A2E01" w:rsidP="008A2E01">
      <w:pPr>
        <w:pStyle w:val="Heading4"/>
      </w:pPr>
      <w:r w:rsidRPr="00F72187">
        <w:t>Subtask 3.1: Low Complexity 1095-A Disputes</w:t>
      </w:r>
      <w:r>
        <w:t xml:space="preserve"> </w:t>
      </w:r>
      <w:r w:rsidRPr="00170533">
        <w:rPr>
          <w:vertAlign w:val="superscript"/>
        </w:rPr>
        <w:t>(SOW 3.3.1)</w:t>
      </w:r>
    </w:p>
    <w:p w14:paraId="4380A0D7" w14:textId="77777777" w:rsidR="008A2E01" w:rsidRPr="00F429D6" w:rsidRDefault="008A2E01" w:rsidP="008A2E01">
      <w:pPr>
        <w:pStyle w:val="BodyText"/>
      </w:pPr>
    </w:p>
    <w:p w14:paraId="38A73B63"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14:paraId="2A16701D" w14:textId="77777777" w:rsidR="00A77B35" w:rsidRDefault="00A77B35" w:rsidP="00A77B35">
      <w:pPr>
        <w:pStyle w:val="BodyText"/>
      </w:pPr>
    </w:p>
    <w:p w14:paraId="029E124B" w14:textId="64696391" w:rsidR="008A2E01" w:rsidRPr="00F429D6" w:rsidRDefault="00A77B35" w:rsidP="005028F2">
      <w:pPr>
        <w:pStyle w:val="Heading4"/>
      </w:pPr>
      <w:r>
        <w:t>Subtask 3.3: High Complexity 1095-A Disputes</w:t>
      </w:r>
    </w:p>
    <w:p w14:paraId="365C0377" w14:textId="77777777" w:rsidR="00F429D6" w:rsidRPr="00F429D6" w:rsidRDefault="00F429D6" w:rsidP="00F429D6">
      <w:pPr>
        <w:pStyle w:val="BodyText"/>
      </w:pPr>
    </w:p>
    <w:p w14:paraId="65C227FD" w14:textId="79E808C9" w:rsidR="00A54BF5" w:rsidRDefault="00A54BF5" w:rsidP="00A54BF5">
      <w:pPr>
        <w:pStyle w:val="Heading3"/>
      </w:pPr>
      <w:bookmarkStart w:id="52" w:name="_Toc227883179"/>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bookmarkEnd w:id="52"/>
      <w:r w:rsidR="00806273">
        <w:t xml:space="preserve"> </w:t>
      </w:r>
      <w:r w:rsidR="00806273" w:rsidRPr="00806273">
        <w:rPr>
          <w:color w:val="FF0000"/>
        </w:rPr>
        <w:t>(2.5 Pages)</w:t>
      </w:r>
    </w:p>
    <w:p w14:paraId="2B4613B0" w14:textId="6E74118D" w:rsidR="00F429D6" w:rsidRPr="003414BC" w:rsidRDefault="6DFF3885" w:rsidP="003414BC">
      <w:pPr>
        <w:pStyle w:val="Subheading1"/>
      </w:pPr>
      <w:r>
        <w:t>Our Understanding</w:t>
      </w:r>
    </w:p>
    <w:p w14:paraId="1EC00D88" w14:textId="77777777" w:rsidR="003647B7" w:rsidRPr="001766CF" w:rsidRDefault="00B05A2E" w:rsidP="00C853D6">
      <w:pPr>
        <w:pStyle w:val="BodyText"/>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48D3E39C" w14:textId="77777777" w:rsidR="003647B7" w:rsidRPr="001766CF" w:rsidRDefault="003647B7" w:rsidP="00C853D6">
      <w:pPr>
        <w:pStyle w:val="BodyText"/>
      </w:pPr>
      <w:r w:rsidRPr="001766CF">
        <w:t xml:space="preserve">Getting this right requires more than process adherence. It requires caseworkers who arrive trained for the cases they will actually encounter and an escalation discipline that surfaces the right issues to CMS before they become visible problems. CCHC is the only workstream in this contract where the human cost of a process failure is visible in real time.  </w:t>
      </w:r>
    </w:p>
    <w:p w14:paraId="0A84D4C5" w14:textId="4B62D2D1" w:rsidR="00B05A2E" w:rsidRPr="003414BC" w:rsidRDefault="003647B7" w:rsidP="003414BC">
      <w:pPr>
        <w:pStyle w:val="BodyText"/>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148697AC" w14:textId="2725CE49" w:rsidR="00D35EF1" w:rsidRPr="009C2F17" w:rsidRDefault="6DFF3885" w:rsidP="009C2F17">
      <w:pPr>
        <w:pStyle w:val="Subheading1"/>
      </w:pPr>
      <w:r w:rsidRPr="009C2F17">
        <w:t>Our Approach</w:t>
      </w:r>
    </w:p>
    <w:p w14:paraId="4988E9EF" w14:textId="6387B00C" w:rsidR="001F61AC" w:rsidRPr="00A162D5" w:rsidRDefault="001F61AC" w:rsidP="001F61AC">
      <w:pPr>
        <w:pStyle w:val="BodyText"/>
      </w:pPr>
      <w:r w:rsidRPr="009C2F17">
        <w:lastRenderedPageBreak/>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1B.1, and is organized across three dimensions: steady-state case operations, reporting and program intelligence and capacity management.</w:t>
      </w:r>
    </w:p>
    <w:p w14:paraId="2483598E" w14:textId="77777777" w:rsidR="001F61AC" w:rsidRPr="00DD2672" w:rsidRDefault="001F61AC" w:rsidP="00E50983">
      <w:pPr>
        <w:pStyle w:val="Subheading1"/>
        <w:rPr>
          <w:rFonts w:ascii="Arial" w:hAnsi="Arial" w:cs="Arial"/>
          <w:b w:val="0"/>
          <w:color w:val="000000" w:themeColor="text1"/>
        </w:rPr>
      </w:pPr>
      <w:r w:rsidRPr="00E50983">
        <w:rPr>
          <w:rStyle w:val="CharacterBold"/>
          <w:b/>
        </w:rPr>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6"/>
      </w:tblGrid>
      <w:tr w:rsidR="00A162D5" w14:paraId="1A99A83D" w14:textId="77777777" w:rsidTr="00A162D5">
        <w:trPr>
          <w:jc w:val="right"/>
        </w:trPr>
        <w:tc>
          <w:tcPr>
            <w:tcW w:w="9350" w:type="dxa"/>
          </w:tcPr>
          <w:p w14:paraId="4E68F93D" w14:textId="77777777" w:rsidR="00A162D5" w:rsidRDefault="00A162D5" w:rsidP="00A162D5">
            <w:pPr>
              <w:pStyle w:val="FigureTitle"/>
            </w:pPr>
            <w:r w:rsidRPr="00A162D5">
              <w:t>Figure X.X-X. Provide Title.</w:t>
            </w:r>
          </w:p>
          <w:p w14:paraId="1F765B4F" w14:textId="44BBBF3C" w:rsidR="00A162D5" w:rsidRPr="00A162D5" w:rsidRDefault="00A162D5" w:rsidP="00A162D5">
            <w:pPr>
              <w:pStyle w:val="FigureGraphic"/>
            </w:pPr>
            <w:r>
              <w:rPr>
                <w:noProof/>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10E334EC" w14:textId="6C8A11F5" w:rsidR="001F61AC" w:rsidRPr="009C2F17" w:rsidRDefault="001F61AC" w:rsidP="009C2F17">
      <w:pPr>
        <w:pStyle w:val="BodyText"/>
      </w:pPr>
      <w:r w:rsidRPr="009C2F17">
        <w:t xml:space="preserve">Deloitte will apply a channel-agnostic triage protocol so that case classification is governed by the case type, not by which intake channel referred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7771F4AF" w14:textId="77777777" w:rsidR="001F61AC" w:rsidRPr="00DD2672" w:rsidRDefault="001F61AC" w:rsidP="009C2F17">
      <w:pPr>
        <w:pStyle w:val="BodyText"/>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49FAC3C0" w14:textId="77FCE3BD" w:rsidR="00374DC9" w:rsidRPr="00DD2672" w:rsidRDefault="00374DC9" w:rsidP="00374DC9">
      <w:pPr>
        <w:pStyle w:val="TableTitle"/>
      </w:pPr>
      <w:r w:rsidRPr="006E03C0">
        <w:t>Table 1.2.3-1. Five-Stage CCHC Case Workflow.</w:t>
      </w:r>
      <w:r/>
    </w:p>
    <w:tbl>
      <w:tblPr>
        <w:tblStyle w:val="DeloitteTable2"/>
        <w:tblW w:w="5000" w:type="pct"/>
        <w:tblLook w:val="06A0" w:firstRow="1" w:lastRow="0" w:firstColumn="1" w:lastColumn="0" w:noHBand="1" w:noVBand="1"/>
      </w:tblPr>
      <w:tblGrid>
        <w:gridCol w:w="1525"/>
        <w:gridCol w:w="7825"/>
      </w:tblGrid>
      <w:tr w:rsidR="00374DC9" w14:paraId="141C69F7"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119FF602" w14:textId="6E5D8902" w:rsidR="00374DC9" w:rsidRPr="00C6190E" w:rsidRDefault="00374DC9" w:rsidP="00374DC9">
            <w:pPr>
              <w:pStyle w:val="TableHeading"/>
              <w:rPr>
                <w:rFonts w:ascii="Arial" w:eastAsia="Arial" w:hAnsi="Arial" w:cs="Arial"/>
                <w:szCs w:val="20"/>
              </w:rPr>
            </w:pPr>
            <w:r w:rsidRPr="00BD374B">
              <w:t>Stage</w:t>
            </w:r>
          </w:p>
        </w:tc>
        <w:tc>
          <w:tcPr>
            <w:tcW w:w="7825" w:type="dxa"/>
          </w:tcPr>
          <w:p w14:paraId="59119F62" w14:textId="52D780BF"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D374B">
              <w:t>What Deloitte will do and why it matters</w:t>
            </w:r>
          </w:p>
        </w:tc>
      </w:tr>
      <w:tr w:rsidR="00374DC9" w14:paraId="005BA57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119E9C5" w14:textId="716BF9C7" w:rsidR="00374DC9" w:rsidRPr="00C6190E" w:rsidRDefault="00374DC9" w:rsidP="00374DC9">
            <w:pPr>
              <w:pStyle w:val="TableRowHeading"/>
              <w:spacing w:after="0"/>
              <w:rPr>
                <w:rFonts w:ascii="Arial" w:eastAsia="Arial" w:hAnsi="Arial" w:cs="Arial"/>
                <w:szCs w:val="20"/>
              </w:rPr>
            </w:pPr>
            <w:r w:rsidRPr="009535AA">
              <w:t>Intake and triage</w:t>
            </w:r>
          </w:p>
        </w:tc>
        <w:tc>
          <w:tcPr>
            <w:tcW w:w="7825" w:type="dxa"/>
          </w:tcPr>
          <w:p w14:paraId="370971B3" w14:textId="44310BC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450271B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6E86E7F" w14:textId="5BC86AC9" w:rsidR="00374DC9" w:rsidRPr="00C6190E" w:rsidRDefault="00374DC9" w:rsidP="00374DC9">
            <w:pPr>
              <w:pStyle w:val="TableRowHeading"/>
              <w:spacing w:after="0"/>
              <w:rPr>
                <w:rFonts w:ascii="Arial" w:eastAsia="Arial" w:hAnsi="Arial" w:cs="Arial"/>
                <w:szCs w:val="20"/>
              </w:rPr>
            </w:pPr>
            <w:r w:rsidRPr="009535AA">
              <w:t>Assignment</w:t>
            </w:r>
          </w:p>
        </w:tc>
        <w:tc>
          <w:tcPr>
            <w:tcW w:w="7825" w:type="dxa"/>
          </w:tcPr>
          <w:p w14:paraId="1A12242C" w14:textId="3AA8718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routed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76B9FE11"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09D263FD" w14:textId="7739FB76" w:rsidR="00374DC9" w:rsidRPr="00C6190E" w:rsidRDefault="00374DC9" w:rsidP="00374DC9">
            <w:pPr>
              <w:pStyle w:val="TableRowHeading"/>
              <w:spacing w:after="0"/>
              <w:rPr>
                <w:rFonts w:ascii="Arial" w:eastAsia="Arial" w:hAnsi="Arial" w:cs="Arial"/>
                <w:szCs w:val="20"/>
              </w:rPr>
            </w:pPr>
            <w:r w:rsidRPr="009535AA">
              <w:t>Investigation</w:t>
            </w:r>
          </w:p>
        </w:tc>
        <w:tc>
          <w:tcPr>
            <w:tcW w:w="7825" w:type="dxa"/>
          </w:tcPr>
          <w:p w14:paraId="64CBBA61" w14:textId="0B1CFF6F"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Issue-specific checklists and required-evidence prompts will guide caseworkers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64323816"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854C26B" w14:textId="3254D240" w:rsidR="00374DC9" w:rsidRPr="00C6190E" w:rsidRDefault="00374DC9" w:rsidP="00374DC9">
            <w:pPr>
              <w:pStyle w:val="TableRowHeading"/>
              <w:spacing w:after="0"/>
              <w:rPr>
                <w:rFonts w:ascii="Arial" w:eastAsia="Arial" w:hAnsi="Arial" w:cs="Arial"/>
                <w:szCs w:val="20"/>
              </w:rPr>
            </w:pPr>
            <w:r w:rsidRPr="009535AA">
              <w:t>Resolution</w:t>
            </w:r>
          </w:p>
        </w:tc>
        <w:tc>
          <w:tcPr>
            <w:tcW w:w="7825" w:type="dxa"/>
          </w:tcPr>
          <w:p w14:paraId="6A8DFD10" w14:textId="31592F14"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reviewed  for consistency and completeness before any determination proceeds.</w:t>
            </w:r>
          </w:p>
        </w:tc>
      </w:tr>
      <w:tr w:rsidR="00374DC9" w14:paraId="0172DDE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759E85B2" w14:textId="1813595E" w:rsidR="00374DC9" w:rsidRPr="00C6190E" w:rsidRDefault="00374DC9" w:rsidP="00374DC9">
            <w:pPr>
              <w:pStyle w:val="TableRowHeading"/>
              <w:spacing w:after="0"/>
              <w:rPr>
                <w:rFonts w:ascii="Arial" w:eastAsia="Arial" w:hAnsi="Arial" w:cs="Arial"/>
                <w:szCs w:val="20"/>
              </w:rPr>
            </w:pPr>
            <w:r w:rsidRPr="009535AA">
              <w:t>Closure</w:t>
            </w:r>
          </w:p>
        </w:tc>
        <w:tc>
          <w:tcPr>
            <w:tcW w:w="7825" w:type="dxa"/>
          </w:tcPr>
          <w:p w14:paraId="77F808B4" w14:textId="703AAB11"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close only when three conditions are met: action completed and confirmed, consumer notified verbally or in writing, and complete metadata captured. Required-field validation is enforced at workflow level.</w:t>
            </w:r>
          </w:p>
        </w:tc>
      </w:tr>
    </w:tbl>
    <w:p w14:paraId="065EA38F" w14:textId="77777777" w:rsidR="001F61AC" w:rsidRPr="00CB0E94" w:rsidRDefault="001F61AC" w:rsidP="00374DC9">
      <w:pPr>
        <w:pStyle w:val="ParagraphSpacer"/>
      </w:pPr>
    </w:p>
    <w:p w14:paraId="77B54684" w14:textId="77777777" w:rsidR="001F61AC" w:rsidRPr="00CB0E94" w:rsidRDefault="001F61AC" w:rsidP="00CB0E94">
      <w:pPr>
        <w:pStyle w:val="BodyText"/>
      </w:pPr>
      <w:commentRangeStart w:id="53"/>
      <w:r w:rsidRPr="00CB0E94">
        <w:lastRenderedPageBreak/>
        <w:t>The five-stage workflow is only as consistent as the caseworkers executing it. No caseworker will handle a live case until completing training and demonstrating readiness against a defined competency threshold. The training curriculum will be built from prior-year CCHC root cause data: caseworkers will be trained on the actual case types and issuer patterns that drove the most volume and complexity in the prior season, not on generic system orientation. This is the same scenario-based approach applied to the Task 3 surge workforce, applied here to the permanent CCHC team. Training will emphasize both technical resolution and consumer-centered handling, equipping caseworkers to resolve complex cases with accuracy, empathy, and clear communication. Returner caseworkers will serve as peer certifiers for new hires. Within the first 90 days, Deloitte will conduct a structured SOP gap assessment and submit recommendations to CMS as a formal deliverable.</w:t>
      </w:r>
      <w:commentRangeEnd w:id="53"/>
      <w:r w:rsidR="00041619" w:rsidRPr="00CB0E94">
        <w:rPr>
          <w:rStyle w:val="CommentReference"/>
          <w:sz w:val="24"/>
          <w:szCs w:val="22"/>
        </w:rPr>
        <w:commentReference w:id="53"/>
      </w:r>
    </w:p>
    <w:p w14:paraId="005F1E2F" w14:textId="77777777" w:rsidR="001F61AC" w:rsidRPr="00CB0E94" w:rsidRDefault="001F61AC" w:rsidP="00CB0E94">
      <w:pPr>
        <w:pStyle w:val="BodyText"/>
      </w:pPr>
      <w:r w:rsidRPr="00CB0E94">
        <w:t>QRGs will be reviewed quarterly and updated promptly following any CMS policy change, with updates versioned, distributed, and confirmed as received before caseworkers begin applying new procedures. QA sampling will include integrity-focused review. Unusual resolution patterns, override activity, and inconsistent determinations across similar cases will be flagged for supervisor review. When QA surfaces a pattern, it will become a training scenario and an SOP update, not a quality log entry.</w:t>
      </w:r>
    </w:p>
    <w:p w14:paraId="5C1597A9" w14:textId="77777777" w:rsidR="001F61AC" w:rsidRPr="00DD2672" w:rsidRDefault="001F61AC" w:rsidP="00374DC9">
      <w:pPr>
        <w:pStyle w:val="Subheading1"/>
        <w:rPr>
          <w:rFonts w:ascii="Arial" w:hAnsi="Arial" w:cs="Arial"/>
          <w:color w:val="000000" w:themeColor="text1"/>
        </w:rPr>
      </w:pPr>
      <w:r w:rsidRPr="00374DC9">
        <w:rPr>
          <w:rStyle w:val="CharacterBold"/>
          <w:b/>
        </w:rPr>
        <w:t>Reporting and program intelligence</w:t>
      </w:r>
    </w:p>
    <w:p w14:paraId="43681D24" w14:textId="662F46EE" w:rsidR="001F61AC" w:rsidRPr="00CB0E94" w:rsidRDefault="001F61AC" w:rsidP="00CB0E94">
      <w:pPr>
        <w:pStyle w:val="BodyText"/>
      </w:pPr>
      <w:r w:rsidRPr="00CB0E94">
        <w:t>CMS does not need a contractor who compiles what happened last month. CMS needs a contractor who shares with CMS what to do about it. Every reporting deliverable under Task 4 closes with specific recommended actions -- drafted, evidence-supported, ready to act on.</w:t>
      </w:r>
    </w:p>
    <w:p w14:paraId="2802035D" w14:textId="3E407FA7" w:rsidR="00071841" w:rsidRPr="00CB0E94" w:rsidRDefault="00374DC9" w:rsidP="00374DC9">
      <w:pPr>
        <w:pStyle w:val="TableTitle"/>
      </w:pPr>
      <w:r w:rsidRPr="006E03C0">
        <w:t>Table 1.2.3-2. Reporting Outputs and CMS Actions.</w:t>
      </w:r>
      <w:r/>
    </w:p>
    <w:tbl>
      <w:tblPr>
        <w:tblStyle w:val="DeloitteTable2"/>
        <w:tblW w:w="5000" w:type="pct"/>
        <w:tblLook w:val="06A0" w:firstRow="1" w:lastRow="0" w:firstColumn="1" w:lastColumn="0" w:noHBand="1" w:noVBand="1"/>
      </w:tblPr>
      <w:tblGrid>
        <w:gridCol w:w="1705"/>
        <w:gridCol w:w="1440"/>
        <w:gridCol w:w="6205"/>
      </w:tblGrid>
      <w:tr w:rsidR="00D14B6C" w14:paraId="646E9F1F"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5" w:type="dxa"/>
          </w:tcPr>
          <w:p w14:paraId="552ED354" w14:textId="0B0DB0C0" w:rsidR="00D14B6C" w:rsidRPr="00C6190E" w:rsidRDefault="00D14B6C" w:rsidP="00D14B6C">
            <w:pPr>
              <w:pStyle w:val="TableHeading"/>
              <w:rPr>
                <w:rFonts w:ascii="Arial" w:eastAsia="Arial" w:hAnsi="Arial" w:cs="Arial"/>
                <w:szCs w:val="20"/>
              </w:rPr>
            </w:pPr>
            <w:r w:rsidRPr="00621024">
              <w:t>Deliverable</w:t>
            </w:r>
          </w:p>
        </w:tc>
        <w:tc>
          <w:tcPr>
            <w:tcW w:w="1440" w:type="dxa"/>
          </w:tcPr>
          <w:p w14:paraId="006E182F" w14:textId="3A75401D" w:rsidR="00D14B6C" w:rsidRPr="004A4BC1" w:rsidRDefault="00D14B6C" w:rsidP="00D14B6C">
            <w:pPr>
              <w:pStyle w:val="TableHeading"/>
              <w:cnfStyle w:val="100000000000" w:firstRow="1" w:lastRow="0" w:firstColumn="0" w:lastColumn="0" w:oddVBand="0" w:evenVBand="0" w:oddHBand="0" w:evenHBand="0" w:firstRowFirstColumn="0" w:firstRowLastColumn="0" w:lastRowFirstColumn="0" w:lastRowLastColumn="0"/>
            </w:pPr>
            <w:r w:rsidRPr="00621024">
              <w:t>Frequency</w:t>
            </w:r>
          </w:p>
        </w:tc>
        <w:tc>
          <w:tcPr>
            <w:tcW w:w="6205" w:type="dxa"/>
          </w:tcPr>
          <w:p w14:paraId="1AA26E4F" w14:textId="321315B3" w:rsidR="00D14B6C" w:rsidRPr="00C6190E" w:rsidRDefault="00D14B6C" w:rsidP="00D14B6C">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621024">
              <w:t>Deloitte's commitment beyond the requirement</w:t>
            </w:r>
          </w:p>
        </w:tc>
      </w:tr>
      <w:tr w:rsidR="00D14B6C" w14:paraId="0B1DE4E8"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2DB461D" w14:textId="6F7C832E" w:rsidR="00D14B6C" w:rsidRPr="00C6190E" w:rsidRDefault="00D14B6C" w:rsidP="00D14B6C">
            <w:pPr>
              <w:pStyle w:val="TableRowHeading"/>
              <w:spacing w:after="0"/>
              <w:rPr>
                <w:rFonts w:ascii="Arial" w:eastAsia="Arial" w:hAnsi="Arial" w:cs="Arial"/>
                <w:szCs w:val="20"/>
              </w:rPr>
            </w:pPr>
            <w:r w:rsidRPr="00DE793C">
              <w:t>Operational report</w:t>
            </w:r>
          </w:p>
        </w:tc>
        <w:tc>
          <w:tcPr>
            <w:tcW w:w="1440" w:type="dxa"/>
          </w:tcPr>
          <w:p w14:paraId="311D7A3D" w14:textId="6285C610"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Weekly</w:t>
            </w:r>
          </w:p>
        </w:tc>
        <w:tc>
          <w:tcPr>
            <w:tcW w:w="6205" w:type="dxa"/>
          </w:tcPr>
          <w:p w14:paraId="52E73660" w14:textId="5F397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Cases flagged by name at SLA risk, not aggregate counts. Escalations include a recommended next step, not just a flag.</w:t>
            </w:r>
          </w:p>
        </w:tc>
      </w:tr>
      <w:tr w:rsidR="00D14B6C" w14:paraId="1685E94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4E35E91" w14:textId="16C15C72"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71AFA2AF" w14:textId="410C36CB"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Monthly</w:t>
            </w:r>
          </w:p>
        </w:tc>
        <w:tc>
          <w:tcPr>
            <w:tcW w:w="6205" w:type="dxa"/>
          </w:tcPr>
          <w:p w14:paraId="7A0114BF" w14:textId="3AAABAC6"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Each finding closes with a drafted CMS action. Issuer pattern communications arrive formatted and ready to distribute, not as a summary requiring further drafting.</w:t>
            </w:r>
          </w:p>
        </w:tc>
      </w:tr>
      <w:tr w:rsidR="00D14B6C" w14:paraId="4AA755F6"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4BB5874" w14:textId="13044813"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223D0EF8" w14:textId="0C9EE191"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Quarterly</w:t>
            </w:r>
          </w:p>
        </w:tc>
        <w:tc>
          <w:tcPr>
            <w:tcW w:w="6205" w:type="dxa"/>
          </w:tcPr>
          <w:p w14:paraId="1B73F5BF" w14:textId="42CC2422"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Multi-month patterns surfaced with a prioritized action agenda for CMS review.</w:t>
            </w:r>
          </w:p>
        </w:tc>
      </w:tr>
      <w:tr w:rsidR="00D14B6C" w14:paraId="43A11E3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2A535FC6" w14:textId="264DBF65" w:rsidR="00D14B6C" w:rsidRPr="00C6190E" w:rsidRDefault="00D14B6C" w:rsidP="00D14B6C">
            <w:pPr>
              <w:pStyle w:val="TableRowHeading"/>
              <w:spacing w:after="0"/>
              <w:rPr>
                <w:rFonts w:ascii="Arial" w:eastAsia="Arial" w:hAnsi="Arial" w:cs="Arial"/>
                <w:szCs w:val="20"/>
              </w:rPr>
            </w:pPr>
            <w:r w:rsidRPr="00DE793C">
              <w:t>Issuer pattern escalation</w:t>
            </w:r>
          </w:p>
        </w:tc>
        <w:tc>
          <w:tcPr>
            <w:tcW w:w="1440" w:type="dxa"/>
          </w:tcPr>
          <w:p w14:paraId="5B8E08FE" w14:textId="464026A8"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Ongoing</w:t>
            </w:r>
          </w:p>
        </w:tc>
        <w:tc>
          <w:tcPr>
            <w:tcW w:w="6205" w:type="dxa"/>
          </w:tcPr>
          <w:p w14:paraId="72FBDED9" w14:textId="2C92FCE7"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Patterns identified at intake through CERRS metadata, not discovered weeks later in reporting. Surfaced to the Task 2 issuer dispute team through the weekly cross-task data share so CMS sees a consistent picture across both workstreams.</w:t>
            </w:r>
          </w:p>
        </w:tc>
      </w:tr>
      <w:tr w:rsidR="00D14B6C" w14:paraId="7F6933F2"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711400F" w14:textId="0FB44BE7" w:rsidR="00D14B6C" w:rsidRPr="00C6190E" w:rsidRDefault="00D14B6C" w:rsidP="00D14B6C">
            <w:pPr>
              <w:pStyle w:val="TableRowHeading"/>
              <w:spacing w:after="0"/>
              <w:rPr>
                <w:rFonts w:ascii="Arial" w:eastAsia="Arial" w:hAnsi="Arial" w:cs="Arial"/>
                <w:szCs w:val="20"/>
              </w:rPr>
            </w:pPr>
            <w:r w:rsidRPr="00DE793C">
              <w:t>Tax season cross-task coordination</w:t>
            </w:r>
          </w:p>
        </w:tc>
        <w:tc>
          <w:tcPr>
            <w:tcW w:w="1440" w:type="dxa"/>
          </w:tcPr>
          <w:p w14:paraId="0BD340A4" w14:textId="2617D09A"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Jan through May</w:t>
            </w:r>
          </w:p>
        </w:tc>
        <w:tc>
          <w:tcPr>
            <w:tcW w:w="6205" w:type="dxa"/>
          </w:tcPr>
          <w:p w14:paraId="4263881A" w14:textId="1DFCE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APTC cases spanning CCHC and Task 3 resolved through a single workflow with a single consumer point of contact. Issuer non-compliance documented with volume and pattern analysis for targeted CMS action.</w:t>
            </w:r>
          </w:p>
        </w:tc>
      </w:tr>
    </w:tbl>
    <w:p w14:paraId="5413185A" w14:textId="3AECFB8D" w:rsidR="001F61AC" w:rsidRPr="00DD2672" w:rsidRDefault="001F61AC" w:rsidP="00D14B6C">
      <w:pPr>
        <w:pStyle w:val="ParagraphSpacer"/>
      </w:pPr>
    </w:p>
    <w:p w14:paraId="2B82502F" w14:textId="77777777" w:rsidR="001F61AC" w:rsidRPr="005C7AC1" w:rsidRDefault="001F61AC" w:rsidP="005C7AC1">
      <w:pPr>
        <w:pStyle w:val="BodyText"/>
      </w:pPr>
      <w:r w:rsidRPr="005C7AC1">
        <w:t xml:space="preserve">Reporting data will be a byproduct of operational execution. CERRS metadata captured at every workflow step will feed EDA CORE dashboards directly, creating a unified live view across Tasks 2, 3, and 4 without separate compilation. </w:t>
      </w:r>
    </w:p>
    <w:p w14:paraId="414AF537" w14:textId="3F02C2C3" w:rsidR="001F61AC" w:rsidRPr="00DD2672" w:rsidRDefault="001F61AC" w:rsidP="00D14B6C">
      <w:pPr>
        <w:pStyle w:val="Subheading1"/>
        <w:rPr>
          <w:rFonts w:ascii="Arial" w:hAnsi="Arial" w:cs="Arial"/>
          <w:color w:val="000000" w:themeColor="text1"/>
        </w:rPr>
      </w:pPr>
      <w:r w:rsidRPr="00D14B6C">
        <w:rPr>
          <w:rStyle w:val="CharacterBold"/>
          <w:b/>
        </w:rPr>
        <w:t>Issuer coordination and cross-task integration</w:t>
      </w:r>
    </w:p>
    <w:p w14:paraId="762F4229" w14:textId="30607FF9" w:rsidR="001F61AC" w:rsidRPr="00D14B6C" w:rsidRDefault="001F61AC" w:rsidP="001F61AC">
      <w:pPr>
        <w:pStyle w:val="BodyText"/>
      </w:pPr>
      <w:r w:rsidRPr="00352B37">
        <w:t xml:space="preserve">Issuer coordination in CCHC will be pattern-driven, not case-by-case. When the same issuer drives a similar issue across cases, those patterns will be identified at intake through CERRS metadata association, not discovered weeks later in monthly reporting. This is made possible by the same metadata framework that supports issuer analytics in Task 2. Deloitte will surface CCHC-identified issuer patterns to the Task 2 issuer dispute team through the weekly cross-task data share, so CMS sees a consistent picture across </w:t>
      </w:r>
      <w:r w:rsidRPr="00352B37">
        <w:lastRenderedPageBreak/>
        <w:t>both reports. CCHC will coordinate directly with Task 3 during tax season when APTC cases may span both workstreams. Overlapping issues will be resolved through a single workflow with a single consumer point of contact. Issuer non-compliance will be documented, categorized, and reported with volume and pattern analysis enabling CMS to take targeted action.</w:t>
      </w:r>
    </w:p>
    <w:p w14:paraId="0E0A150F" w14:textId="77777777" w:rsidR="001F61AC" w:rsidRPr="00DD2672" w:rsidRDefault="001F61AC" w:rsidP="00D14B6C">
      <w:pPr>
        <w:pStyle w:val="Subheading1"/>
        <w:rPr>
          <w:rFonts w:ascii="Arial" w:hAnsi="Arial" w:cs="Arial"/>
          <w:color w:val="000000" w:themeColor="text1"/>
        </w:rPr>
      </w:pPr>
      <w:r w:rsidRPr="00D14B6C">
        <w:t xml:space="preserve">Capacity management </w:t>
      </w:r>
    </w:p>
    <w:p w14:paraId="7A0DD769" w14:textId="0000FBF4" w:rsidR="00D35EF1" w:rsidRPr="00352B37" w:rsidRDefault="001F61AC" w:rsidP="00352B37">
      <w:pPr>
        <w:pStyle w:val="BodyText"/>
      </w:pPr>
      <w:r w:rsidRPr="00352B37">
        <w:t>Deloitte will build the CCHC staffing model around the actual volume curve, not an annual average, applying the same surge readiness principles as Task 3: caseworkers scenario-trained before volume arrives, supervisory ratios maintained at peak, and a defined reserve pool that activates on a threshold rather than requiring a new recruitment cycle. Supervisory ratios, QA coverage, call monitoring standards, and reporting timelines are operational commitments that will hold at peak volume, not targets that degrade when caseload increases. The staffing plan submitted at kickoff will show coverage at each volume scenario, and flex capacity will be drawn through cross-trained reserve staff, temporary reallocation from aligned workstreams, and targeted short-term support as directed by CMS.</w:t>
      </w:r>
      <w:r w:rsidR="00AE30B9" w:rsidRPr="00352B37"/>
      <w:r w:rsidRPr="00352B37"/>
      <w:r w:rsidR="00AE30B9" w:rsidRPr="00352B37"/>
      <w:r w:rsidRPr="00352B37"/>
      <w:r w:rsidR="00AE30B9" w:rsidRPr="00352B37"/>
      <w:r w:rsidRPr="00352B37"/>
      <w:r w:rsidR="00AE30B9" w:rsidRPr="00352B37"/>
      <w:r w:rsidRPr="00352B37"/>
      <w:r w:rsidR="00AE30B9" w:rsidRPr="00352B37"/>
      <w:r w:rsidRPr="00352B37"/>
      <w:r w:rsidR="00AE30B9" w:rsidRPr="00352B37"/>
      <w:r w:rsidR="008C45DC" w:rsidRPr="00352B37"/>
      <w:r w:rsidR="004B5D52" w:rsidRPr="00352B37"/>
    </w:p>
    <w:p w14:paraId="1832B221" w14:textId="6C3EE67E" w:rsidR="001D0EC2" w:rsidRDefault="00D14B6C" w:rsidP="00D14B6C">
      <w:pPr>
        <w:pStyle w:val="TableTitle"/>
      </w:pPr>
      <w:r w:rsidRPr="006E03C0">
        <w:t>Table 1.2.3-3. Capacity and Surge Plan.</w:t>
      </w:r>
      <w:r/>
    </w:p>
    <w:tbl>
      <w:tblPr>
        <w:tblStyle w:val="DeloitteTable2"/>
        <w:tblW w:w="5000" w:type="pct"/>
        <w:tblLook w:val="0620" w:firstRow="1" w:lastRow="0" w:firstColumn="0" w:lastColumn="0" w:noHBand="1" w:noVBand="1"/>
      </w:tblPr>
      <w:tblGrid>
        <w:gridCol w:w="3595"/>
        <w:gridCol w:w="5755"/>
      </w:tblGrid>
      <w:tr w:rsidR="001D0EC2" w:rsidRPr="001D0EC2" w14:paraId="1FB530C5"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025D4105" w14:textId="77777777" w:rsidR="001D0EC2" w:rsidRPr="00C6190E" w:rsidRDefault="001D0EC2" w:rsidP="00594470">
            <w:pPr>
              <w:pStyle w:val="TableHeading"/>
              <w:rPr>
                <w:rFonts w:ascii="Arial" w:eastAsia="Arial" w:hAnsi="Arial" w:cs="Arial"/>
                <w:szCs w:val="20"/>
              </w:rPr>
            </w:pPr>
            <w:r w:rsidRPr="001D0EC2">
              <w:t>Challenge</w:t>
            </w:r>
          </w:p>
        </w:tc>
        <w:tc>
          <w:tcPr>
            <w:tcW w:w="5755" w:type="dxa"/>
          </w:tcPr>
          <w:p w14:paraId="4E9405F4" w14:textId="77777777" w:rsidR="001D0EC2" w:rsidRPr="00C6190E" w:rsidRDefault="001D0EC2" w:rsidP="00594470">
            <w:pPr>
              <w:pStyle w:val="TableHeading"/>
              <w:rPr>
                <w:rFonts w:ascii="Arial" w:eastAsia="Arial" w:hAnsi="Arial" w:cs="Arial"/>
                <w:szCs w:val="20"/>
              </w:rPr>
            </w:pPr>
            <w:r w:rsidRPr="001D0EC2">
              <w:t>Deloitte mitigation</w:t>
            </w:r>
          </w:p>
        </w:tc>
      </w:tr>
      <w:tr w:rsidR="001D0EC2" w:rsidRPr="001D0EC2" w14:paraId="3C60AC71" w14:textId="77777777" w:rsidTr="00D14B6C">
        <w:tc>
          <w:tcPr>
            <w:tcW w:w="3595" w:type="dxa"/>
          </w:tcPr>
          <w:p w14:paraId="051CB8DB" w14:textId="77777777" w:rsidR="001D0EC2" w:rsidRPr="00C6190E" w:rsidRDefault="001D0EC2" w:rsidP="00D14B6C">
            <w:pPr>
              <w:pStyle w:val="TableBody"/>
              <w:spacing w:after="0"/>
              <w:rPr>
                <w:rFonts w:ascii="Arial" w:eastAsia="Arial" w:hAnsi="Arial" w:cs="Arial"/>
                <w:szCs w:val="20"/>
              </w:rPr>
            </w:pPr>
            <w:r w:rsidRPr="001D0EC2">
              <w:t>Transition risk: CCHC operations rely on informal decision logic that SOPs do not capture -- gaps emerge only after go-live if not captured during transition</w:t>
            </w:r>
          </w:p>
        </w:tc>
        <w:tc>
          <w:tcPr>
            <w:tcW w:w="5755" w:type="dxa"/>
          </w:tcPr>
          <w:p w14:paraId="39EC6162" w14:textId="77777777" w:rsidR="001D0EC2" w:rsidRPr="00C6190E" w:rsidRDefault="001D0EC2" w:rsidP="00D14B6C">
            <w:pPr>
              <w:pStyle w:val="TableBody"/>
              <w:spacing w:after="0"/>
              <w:rPr>
                <w:rFonts w:ascii="Arial" w:eastAsia="Arial" w:hAnsi="Arial" w:cs="Arial"/>
                <w:szCs w:val="20"/>
              </w:rPr>
            </w:pPr>
            <w:r w:rsidRPr="001D0EC2">
              <w:t>TruNorth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01CBAD74" w14:textId="77777777" w:rsidTr="00D14B6C">
        <w:tc>
          <w:tcPr>
            <w:tcW w:w="3595" w:type="dxa"/>
          </w:tcPr>
          <w:p w14:paraId="63C43B99" w14:textId="77777777" w:rsidR="001D0EC2" w:rsidRPr="00C6190E" w:rsidRDefault="001D0EC2" w:rsidP="00D14B6C">
            <w:pPr>
              <w:pStyle w:val="TableBody"/>
              <w:spacing w:after="0"/>
              <w:rPr>
                <w:rFonts w:ascii="Arial" w:eastAsia="Arial" w:hAnsi="Arial" w:cs="Arial"/>
                <w:szCs w:val="20"/>
              </w:rPr>
            </w:pPr>
            <w:r w:rsidRPr="001D0EC2">
              <w:t>Agent readiness: complex eligibility and enrollment scenarios cannot be learned on live consumer cases involving stressed or vulnerable individuals</w:t>
            </w:r>
          </w:p>
        </w:tc>
        <w:tc>
          <w:tcPr>
            <w:tcW w:w="5755" w:type="dxa"/>
          </w:tcPr>
          <w:p w14:paraId="7A2F4088" w14:textId="77777777" w:rsidR="001D0EC2" w:rsidRPr="00C6190E" w:rsidRDefault="001D0EC2" w:rsidP="00D14B6C">
            <w:pPr>
              <w:pStyle w:val="TableBody"/>
              <w:spacing w:after="0"/>
              <w:rPr>
                <w:rFonts w:ascii="Arial" w:eastAsia="Arial" w:hAnsi="Arial" w:cs="Arial"/>
                <w:szCs w:val="20"/>
              </w:rPr>
            </w:pPr>
            <w:r w:rsidRPr="001D0EC2">
              <w:t>Scenario-based curriculum built from prior-year root cause data. Agents trained on actual case types before handling live cases. Competency assessed before independent case handling. Returner agents serve as peer certifiers for new hires.</w:t>
            </w:r>
          </w:p>
        </w:tc>
      </w:tr>
      <w:tr w:rsidR="001D0EC2" w:rsidRPr="001D0EC2" w14:paraId="705D4480" w14:textId="77777777" w:rsidTr="00D14B6C">
        <w:tc>
          <w:tcPr>
            <w:tcW w:w="3595" w:type="dxa"/>
          </w:tcPr>
          <w:p w14:paraId="7DC9DAFB" w14:textId="77777777" w:rsidR="001D0EC2" w:rsidRPr="00C6190E" w:rsidRDefault="001D0EC2" w:rsidP="00D14B6C">
            <w:pPr>
              <w:pStyle w:val="TableBody"/>
              <w:spacing w:after="0"/>
              <w:rPr>
                <w:rFonts w:ascii="Arial" w:eastAsia="Arial" w:hAnsi="Arial" w:cs="Arial"/>
                <w:szCs w:val="20"/>
              </w:rPr>
            </w:pPr>
            <w:r w:rsidRPr="001D0EC2">
              <w:t>Reporting quality: descriptive monthly reports tell CMS what happened but not what to do about it</w:t>
            </w:r>
          </w:p>
        </w:tc>
        <w:tc>
          <w:tcPr>
            <w:tcW w:w="5755" w:type="dxa"/>
          </w:tcPr>
          <w:p w14:paraId="43E2D6F5" w14:textId="4BAA317E" w:rsidR="001D0EC2" w:rsidRPr="00C6190E" w:rsidRDefault="001D0EC2" w:rsidP="00D14B6C">
            <w:pPr>
              <w:pStyle w:val="TableBody"/>
              <w:spacing w:after="0"/>
              <w:rPr>
                <w:rFonts w:ascii="Arial" w:eastAsia="Arial" w:hAnsi="Arial" w:cs="Arial"/>
                <w:szCs w:val="20"/>
              </w:rPr>
            </w:pPr>
            <w:r w:rsidRPr="001D0EC2">
              <w:t>Every reporting deliverable closes with specific recommended actions drafted for CMS review.</w:t>
            </w:r>
            <w:r w:rsidRPr="00291589">
              <w:t xml:space="preserve"> </w:t>
            </w:r>
            <w:r w:rsidR="00686EA1" w:rsidRPr="00686EA1">
              <w:t xml:space="preserve">Monthly root cause analysis </w:t>
            </w:r>
            <w:r w:rsidR="00D7088B" w:rsidRPr="00D7088B">
              <w:t>goes further, closing</w:t>
            </w:r>
            <w:r w:rsidR="00686EA1" w:rsidRPr="00686EA1">
              <w:t xml:space="preserve"> each analytical category with a </w:t>
            </w:r>
            <w:r w:rsidR="00D7088B" w:rsidRPr="00D7088B">
              <w:t>prioritized</w:t>
            </w:r>
            <w:r w:rsidR="00686EA1" w:rsidRPr="00686EA1">
              <w:t xml:space="preserve"> action </w:t>
            </w:r>
            <w:r w:rsidR="00D7088B" w:rsidRPr="00D7088B">
              <w:t>and supporting evidence</w:t>
            </w:r>
            <w:r w:rsidRPr="001D0EC2">
              <w:t>. CMS receives a decision package, not a trend summary.</w:t>
            </w:r>
          </w:p>
        </w:tc>
      </w:tr>
      <w:tr w:rsidR="001D0EC2" w:rsidRPr="001D0EC2" w14:paraId="427D49D6" w14:textId="77777777" w:rsidTr="00D14B6C">
        <w:tc>
          <w:tcPr>
            <w:tcW w:w="3595" w:type="dxa"/>
          </w:tcPr>
          <w:p w14:paraId="4519D7FD" w14:textId="77777777" w:rsidR="001D0EC2" w:rsidRPr="00C6190E" w:rsidRDefault="001D0EC2" w:rsidP="00D14B6C">
            <w:pPr>
              <w:pStyle w:val="TableBody"/>
              <w:spacing w:after="0"/>
              <w:rPr>
                <w:rFonts w:ascii="Arial" w:eastAsia="Arial" w:hAnsi="Arial" w:cs="Arial"/>
                <w:szCs w:val="20"/>
              </w:rPr>
            </w:pPr>
            <w:r w:rsidRPr="001D0EC2">
              <w:t>Seasonal volume fluctuation: referral volume peaks during Open Enrollment and tax season, threatening quality and reporting timelines if only headcount is added</w:t>
            </w:r>
          </w:p>
        </w:tc>
        <w:tc>
          <w:tcPr>
            <w:tcW w:w="5755" w:type="dxa"/>
          </w:tcPr>
          <w:p w14:paraId="0B7FD78F" w14:textId="77777777" w:rsidR="001D0EC2" w:rsidRPr="00C6190E" w:rsidRDefault="001D0EC2" w:rsidP="00D14B6C">
            <w:pPr>
              <w:pStyle w:val="TableBody"/>
              <w:spacing w:after="0"/>
              <w:rPr>
                <w:rFonts w:ascii="Arial" w:eastAsia="Arial" w:hAnsi="Arial" w:cs="Arial"/>
                <w:szCs w:val="20"/>
              </w:rPr>
            </w:pPr>
            <w:r w:rsidRPr="001D0EC2">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3207A607" w14:textId="77777777" w:rsidTr="00D14B6C">
        <w:tc>
          <w:tcPr>
            <w:tcW w:w="3595" w:type="dxa"/>
          </w:tcPr>
          <w:p w14:paraId="5B867C1E" w14:textId="77777777" w:rsidR="001D0EC2" w:rsidRPr="00C6190E" w:rsidRDefault="001D0EC2" w:rsidP="00D14B6C">
            <w:pPr>
              <w:pStyle w:val="TableBody"/>
              <w:spacing w:after="0"/>
              <w:rPr>
                <w:rFonts w:ascii="Arial" w:eastAsia="Arial" w:hAnsi="Arial" w:cs="Arial"/>
                <w:szCs w:val="20"/>
              </w:rPr>
            </w:pPr>
            <w:r w:rsidRPr="001D0EC2">
              <w:t>Issuer non-compliance visibility: issuer patterns that drive CCHC cases may not be visible to issuers or CMS without structured analysis</w:t>
            </w:r>
          </w:p>
        </w:tc>
        <w:tc>
          <w:tcPr>
            <w:tcW w:w="5755" w:type="dxa"/>
          </w:tcPr>
          <w:p w14:paraId="515481E2" w14:textId="77777777" w:rsidR="001D0EC2" w:rsidRPr="00C6190E" w:rsidRDefault="001D0EC2" w:rsidP="00D14B6C">
            <w:pPr>
              <w:pStyle w:val="TableBody"/>
              <w:spacing w:after="0"/>
              <w:rPr>
                <w:rFonts w:ascii="Arial" w:eastAsia="Arial" w:hAnsi="Arial" w:cs="Arial"/>
                <w:szCs w:val="20"/>
              </w:rPr>
            </w:pPr>
            <w:r w:rsidRPr="001D0EC2">
              <w:t>Issuer coordination is pattern-driven, not case-by-case. Patterns identified at intake through metadata association. Deloitte drafts recommended issuer communications for CMS review and distribution through all-issuer webinars, REGTap, and CMSzONE.</w:t>
            </w:r>
          </w:p>
        </w:tc>
      </w:tr>
    </w:tbl>
    <w:p w14:paraId="180455B2" w14:textId="2DF64B82" w:rsidR="001D0EC2" w:rsidRPr="003414BC" w:rsidRDefault="001D0EC2" w:rsidP="725F7C5B">
      <w:pPr>
        <w:pStyle w:val="BodyText"/>
      </w:pPr>
    </w:p>
    <w:p w14:paraId="559A19B8" w14:textId="662A122B" w:rsidR="00A54BF5" w:rsidRDefault="00A54BF5" w:rsidP="00A54BF5">
      <w:pPr>
        <w:pStyle w:val="Heading3"/>
      </w:pPr>
      <w:bookmarkStart w:id="54" w:name="_Toc227883180"/>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bookmarkEnd w:id="54"/>
      <w:r w:rsidR="00806273">
        <w:t xml:space="preserve"> </w:t>
      </w:r>
      <w:r w:rsidR="00806273" w:rsidRPr="00806273">
        <w:rPr>
          <w:color w:val="FF0000"/>
        </w:rPr>
        <w:t>(</w:t>
      </w:r>
      <w:r w:rsidR="00806273">
        <w:rPr>
          <w:color w:val="FF0000"/>
        </w:rPr>
        <w:t>0</w:t>
      </w:r>
      <w:r w:rsidR="00806273" w:rsidRPr="00806273">
        <w:rPr>
          <w:color w:val="FF0000"/>
        </w:rPr>
        <w:t>.5 Pages)</w:t>
      </w:r>
    </w:p>
    <w:p w14:paraId="23473FBC" w14:textId="507ED1DA" w:rsidR="003414BC" w:rsidRPr="003414BC" w:rsidRDefault="3B978732" w:rsidP="003414BC">
      <w:pPr>
        <w:pStyle w:val="Subheading1"/>
      </w:pPr>
      <w:r>
        <w:t>Our Understanding</w:t>
      </w:r>
    </w:p>
    <w:p w14:paraId="798FFC79" w14:textId="41E0417C" w:rsidR="00B95B15" w:rsidRPr="003414BC" w:rsidRDefault="00627BD5" w:rsidP="00594470">
      <w:pPr>
        <w:pStyle w:val="BodyText"/>
      </w:pPr>
      <w:r w:rsidRPr="00627BD5">
        <w:lastRenderedPageBreak/>
        <w:t>FFE update accuracy is not a Task 5 function in isolation. It is the mechanism by which every dispute resolution in Tasks 2 and 3 actually takes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23D5B3C8" w14:textId="77777777" w:rsidR="00B95B15" w:rsidRPr="003414BC" w:rsidRDefault="00B95B15" w:rsidP="00594470">
      <w:pPr>
        <w:pStyle w:val="Subheading1"/>
      </w:pPr>
      <w:r>
        <w:t>Our Approach</w:t>
      </w:r>
    </w:p>
    <w:p w14:paraId="15F4A2F4" w14:textId="5D808428" w:rsidR="00627BD5" w:rsidRPr="00627BD5" w:rsidRDefault="00627BD5" w:rsidP="00594470">
      <w:pPr>
        <w:pStyle w:val="BodyText"/>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and those gaps are formalized before Deloitte takes ownership. The table below shows how Deloitte will manage each submission type, what CMS sees, and what the control </w:t>
      </w:r>
      <w:commentRangeStart w:id="55"/>
      <w:r w:rsidRPr="00627BD5">
        <w:t>is</w:t>
      </w:r>
      <w:commentRangeEnd w:id="55"/>
      <w:r w:rsidR="00A70C01" w:rsidRPr="00627BD5">
        <w:rPr>
          <w:rStyle w:val="CommentReference"/>
          <w:sz w:val="24"/>
          <w:szCs w:val="22"/>
        </w:rPr>
        <w:commentReference w:id="55"/>
      </w:r>
      <w:r w:rsidRPr="00627BD5">
        <w:t>.</w:t>
      </w:r>
    </w:p>
    <w:p w14:paraId="56671F9A" w14:textId="7E0F2A24" w:rsidR="00D14B6C" w:rsidRDefault="00D14B6C" w:rsidP="00D14B6C">
      <w:pPr>
        <w:pStyle w:val="TableTitle"/>
      </w:pPr>
      <w:r w:rsidRPr="006E03C0">
        <w:t>Table 1.2.4-1. FFE Submission Pipeline by Type.</w:t>
      </w:r>
      <w:r/>
    </w:p>
    <w:tbl>
      <w:tblPr>
        <w:tblStyle w:val="DeloitteTable2"/>
        <w:tblW w:w="5000" w:type="pct"/>
        <w:tblLook w:val="06A0" w:firstRow="1" w:lastRow="0" w:firstColumn="1" w:lastColumn="0" w:noHBand="1" w:noVBand="1"/>
      </w:tblPr>
      <w:tblGrid>
        <w:gridCol w:w="2425"/>
        <w:gridCol w:w="3870"/>
        <w:gridCol w:w="3055"/>
      </w:tblGrid>
      <w:tr w:rsidR="00627BD5" w:rsidRPr="00627BD5" w14:paraId="76AAA918"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651C2695" w14:textId="77777777" w:rsidR="00627BD5" w:rsidRPr="00627BD5" w:rsidRDefault="00627BD5" w:rsidP="002500DB">
            <w:pPr>
              <w:pStyle w:val="TableHeading"/>
              <w:rPr>
                <w:rFonts w:ascii="Times New Roman" w:eastAsia="Times New Roman" w:hAnsi="Times New Roman" w:cs="Times New Roman"/>
                <w:b w:val="0"/>
                <w:szCs w:val="24"/>
              </w:rPr>
            </w:pPr>
            <w:r w:rsidRPr="00627BD5">
              <w:t>Submission type</w:t>
            </w:r>
          </w:p>
        </w:tc>
        <w:tc>
          <w:tcPr>
            <w:tcW w:w="3870" w:type="dxa"/>
          </w:tcPr>
          <w:p w14:paraId="040107F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How Deloitte manages it</w:t>
            </w:r>
          </w:p>
        </w:tc>
        <w:tc>
          <w:tcPr>
            <w:tcW w:w="3055" w:type="dxa"/>
          </w:tcPr>
          <w:p w14:paraId="369B1613"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What CMS sees</w:t>
            </w:r>
          </w:p>
        </w:tc>
      </w:tr>
      <w:tr w:rsidR="00627BD5" w:rsidRPr="00627BD5" w14:paraId="51753C2D"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0C2607E4" w14:textId="77777777" w:rsidR="00627BD5" w:rsidRPr="00C6190E" w:rsidRDefault="00627BD5" w:rsidP="00D14B6C">
            <w:pPr>
              <w:pStyle w:val="TableRowHeading"/>
              <w:rPr>
                <w:rFonts w:ascii="Arial" w:eastAsia="Arial" w:hAnsi="Arial" w:cs="Arial"/>
                <w:szCs w:val="20"/>
              </w:rPr>
            </w:pPr>
            <w:r w:rsidRPr="00627BD5">
              <w:t>Standard and non-standard BUU</w:t>
            </w:r>
          </w:p>
        </w:tc>
        <w:tc>
          <w:tcPr>
            <w:tcW w:w="3870" w:type="dxa"/>
          </w:tcPr>
          <w:p w14:paraId="2A096735"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Compiled against each of ~22 Correction Cycles and the monthly Recon Run Calendar. Internal pre-validation completed before any file reaches the OA Contractor.</w:t>
            </w:r>
          </w:p>
        </w:tc>
        <w:tc>
          <w:tcPr>
            <w:tcW w:w="3055" w:type="dxa"/>
          </w:tcPr>
          <w:p w14:paraId="45C92AA1"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Cycle-level status dashboard: compiled, validated, submitted, confirmed -- updated after each stage</w:t>
            </w:r>
          </w:p>
        </w:tc>
      </w:tr>
      <w:tr w:rsidR="00627BD5" w:rsidRPr="00627BD5" w14:paraId="538EAC8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19927473" w14:textId="77777777" w:rsidR="00627BD5" w:rsidRPr="00C6190E" w:rsidRDefault="00627BD5" w:rsidP="00D14B6C">
            <w:pPr>
              <w:pStyle w:val="TableRowHeading"/>
              <w:rPr>
                <w:rFonts w:ascii="Arial" w:eastAsia="Arial" w:hAnsi="Arial" w:cs="Arial"/>
                <w:szCs w:val="20"/>
              </w:rPr>
            </w:pPr>
            <w:r w:rsidRPr="00627BD5">
              <w:t>Hard Case updates</w:t>
            </w:r>
          </w:p>
        </w:tc>
        <w:tc>
          <w:tcPr>
            <w:tcW w:w="3870" w:type="dxa"/>
          </w:tcPr>
          <w:p w14:paraId="228A1B0C"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Scheduled into the same correction cycle calendar as standard BUU. Not treated as ad hoc exceptions.</w:t>
            </w:r>
          </w:p>
        </w:tc>
        <w:tc>
          <w:tcPr>
            <w:tcW w:w="3055" w:type="dxa"/>
          </w:tcPr>
          <w:p w14:paraId="273C68D6"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Hard Case volume and disposition tracked in the same weekly report as standard submissions</w:t>
            </w:r>
          </w:p>
        </w:tc>
      </w:tr>
      <w:tr w:rsidR="00627BD5" w:rsidRPr="00627BD5" w14:paraId="0826C9A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237DF8F6" w14:textId="77777777" w:rsidR="00627BD5" w:rsidRPr="00C6190E" w:rsidRDefault="00627BD5" w:rsidP="00D14B6C">
            <w:pPr>
              <w:pStyle w:val="TableRowHeading"/>
              <w:rPr>
                <w:rFonts w:ascii="Arial" w:eastAsia="Arial" w:hAnsi="Arial" w:cs="Arial"/>
                <w:szCs w:val="20"/>
              </w:rPr>
            </w:pPr>
            <w:r w:rsidRPr="00627BD5">
              <w:t>Update Policy API (Rejected Enrollment, Undetected Overlap)</w:t>
            </w:r>
          </w:p>
        </w:tc>
        <w:tc>
          <w:tcPr>
            <w:tcW w:w="3870" w:type="dxa"/>
          </w:tcPr>
          <w:p w14:paraId="32C4AC24"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Pre-validation completed before API submission. Confirmation logged before associated case is closed.</w:t>
            </w:r>
          </w:p>
        </w:tc>
        <w:tc>
          <w:tcPr>
            <w:tcW w:w="3055" w:type="dxa"/>
          </w:tcPr>
          <w:p w14:paraId="3E0CB273"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API submission outcomes included in the weekly corrections report</w:t>
            </w:r>
          </w:p>
        </w:tc>
      </w:tr>
      <w:tr w:rsidR="00627BD5" w:rsidRPr="00627BD5" w14:paraId="6A000C22"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31310BD" w14:textId="77777777" w:rsidR="00627BD5" w:rsidRPr="00C6190E" w:rsidRDefault="00627BD5" w:rsidP="00D14B6C">
            <w:pPr>
              <w:pStyle w:val="TableRowHeading"/>
              <w:rPr>
                <w:rFonts w:ascii="Arial" w:eastAsia="Arial" w:hAnsi="Arial" w:cs="Arial"/>
                <w:szCs w:val="20"/>
              </w:rPr>
            </w:pPr>
            <w:r w:rsidRPr="00627BD5">
              <w:t>Retroactive adjustments</w:t>
            </w:r>
          </w:p>
        </w:tc>
        <w:tc>
          <w:tcPr>
            <w:tcW w:w="3870" w:type="dxa"/>
          </w:tcPr>
          <w:p w14:paraId="1D761348"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Downstream consequence mapped before submission: correction cycle, 1095-A impact, segment submission order. Sequencing errors caught at compilation.</w:t>
            </w:r>
          </w:p>
        </w:tc>
        <w:tc>
          <w:tcPr>
            <w:tcW w:w="3055" w:type="dxa"/>
          </w:tcPr>
          <w:p w14:paraId="55CE64DB"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Exception report when a submission requires resequencing, with root cause and resolution path</w:t>
            </w:r>
          </w:p>
        </w:tc>
      </w:tr>
    </w:tbl>
    <w:p w14:paraId="190955DD" w14:textId="77777777" w:rsidR="00627BD5" w:rsidRPr="003414BC" w:rsidDel="00B95B15" w:rsidRDefault="00627BD5" w:rsidP="00D14B6C">
      <w:pPr>
        <w:pStyle w:val="ParagraphSpacer"/>
      </w:pPr>
    </w:p>
    <w:p w14:paraId="13D98B47" w14:textId="58DA0D43" w:rsidR="00A54BF5" w:rsidRDefault="00A54BF5" w:rsidP="00A54BF5">
      <w:pPr>
        <w:pStyle w:val="Heading3"/>
      </w:pPr>
      <w:bookmarkStart w:id="56" w:name="_Toc227883181"/>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bookmarkEnd w:id="56"/>
      <w:r w:rsidR="00806273">
        <w:t xml:space="preserve"> </w:t>
      </w:r>
      <w:r w:rsidR="00806273" w:rsidRPr="00806273">
        <w:rPr>
          <w:color w:val="FF0000"/>
        </w:rPr>
        <w:t>(</w:t>
      </w:r>
      <w:r w:rsidR="00806273">
        <w:rPr>
          <w:color w:val="FF0000"/>
        </w:rPr>
        <w:t>0</w:t>
      </w:r>
      <w:r w:rsidR="00806273" w:rsidRPr="00806273">
        <w:rPr>
          <w:color w:val="FF0000"/>
        </w:rPr>
        <w:t>.5 Pages)</w:t>
      </w:r>
    </w:p>
    <w:p w14:paraId="33F4B90F" w14:textId="6E74118D" w:rsidR="003414BC" w:rsidRPr="003414BC" w:rsidRDefault="2E3BCAED" w:rsidP="00D55FDC">
      <w:pPr>
        <w:pStyle w:val="Subheading1"/>
      </w:pPr>
      <w:r>
        <w:t>Our Understanding</w:t>
      </w:r>
    </w:p>
    <w:p w14:paraId="10851458" w14:textId="520D692B" w:rsidR="00CA5372" w:rsidRDefault="00CA5372" w:rsidP="00D55FDC">
      <w:pPr>
        <w:pStyle w:val="BodyText"/>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w:t>
      </w:r>
      <w:r>
        <w:lastRenderedPageBreak/>
        <w:t>forms. They are the communications that accompany or explain program decisions, and their accuracy, timing, and language compliance matter because consumers act on them.</w:t>
      </w:r>
    </w:p>
    <w:p w14:paraId="5C6A2040" w14:textId="77777777" w:rsidR="00CA5372" w:rsidRDefault="00CA5372" w:rsidP="00D55FDC">
      <w:pPr>
        <w:pStyle w:val="BodyText"/>
      </w:pPr>
      <w:r>
        <w:t>The work is primarily a pipeline execution and compliance function: merge consumer data into CMS-provided templates, transmit to the Federal Marketplace Print contractor via EFT, upload to DSRS, and confirm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71DAC2BE" w14:textId="77777777" w:rsidR="00990C0B" w:rsidRPr="003414BC" w:rsidRDefault="00990C0B" w:rsidP="00D55FDC">
      <w:pPr>
        <w:pStyle w:val="Subheading1"/>
      </w:pPr>
      <w:r>
        <w:t>Our Approach</w:t>
      </w:r>
    </w:p>
    <w:p w14:paraId="14834925" w14:textId="77777777" w:rsidR="00AE23C1" w:rsidRPr="00D14B6C" w:rsidRDefault="00AE23C1" w:rsidP="00D55FDC">
      <w:pPr>
        <w:pStyle w:val="BodyText"/>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B99CA5D" w14:textId="48C1951A" w:rsidR="00AE23C1" w:rsidRPr="00D14B6C" w:rsidRDefault="00AE23C1" w:rsidP="00D55FDC">
      <w:pPr>
        <w:pStyle w:val="BodyText"/>
      </w:pPr>
      <w:r w:rsidRPr="00D14B6C">
        <w:t>In steady-state, Deloitte manages the pipeline through a simple operating discipline: validate before generating, confirm before closing. No notice file is transmitted without a successful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54F6F11" w14:textId="3ABD418D" w:rsidR="00D14B6C" w:rsidRPr="00D14B6C" w:rsidRDefault="00D14B6C" w:rsidP="00D14B6C">
      <w:pPr>
        <w:pStyle w:val="TableTitle"/>
      </w:pPr>
      <w:r w:rsidRPr="006E03C0">
        <w:t>Table 1.2.5-1. Notice Generation Pipeline Controls.</w:t>
      </w:r>
      <w:r/>
    </w:p>
    <w:tbl>
      <w:tblPr>
        <w:tblStyle w:val="DeloitteTable2"/>
        <w:tblW w:w="5000" w:type="pct"/>
        <w:tblLook w:val="0620" w:firstRow="1" w:lastRow="0" w:firstColumn="0" w:lastColumn="0" w:noHBand="1" w:noVBand="1"/>
      </w:tblPr>
      <w:tblGrid>
        <w:gridCol w:w="2764"/>
        <w:gridCol w:w="3073"/>
        <w:gridCol w:w="3513"/>
      </w:tblGrid>
      <w:tr w:rsidR="00CB47AD" w14:paraId="72AB1968"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2764" w:type="dxa"/>
          </w:tcPr>
          <w:p w14:paraId="61FCA945" w14:textId="55C9CEFC" w:rsidR="00CB47AD" w:rsidRPr="00AE23C1" w:rsidRDefault="00CB47AD" w:rsidP="00CB47AD">
            <w:pPr>
              <w:pStyle w:val="TableHeading"/>
              <w:rPr>
                <w:rFonts w:ascii="Times New Roman" w:eastAsia="Times New Roman" w:hAnsi="Times New Roman" w:cs="Times New Roman"/>
                <w:b w:val="0"/>
                <w:szCs w:val="24"/>
              </w:rPr>
            </w:pPr>
            <w:r w:rsidRPr="00F322CE">
              <w:t>What Deloitte tracks</w:t>
            </w:r>
          </w:p>
        </w:tc>
        <w:tc>
          <w:tcPr>
            <w:tcW w:w="3073" w:type="dxa"/>
          </w:tcPr>
          <w:p w14:paraId="599926D6" w14:textId="3A167AA8" w:rsidR="00CB47AD" w:rsidRPr="00AE23C1" w:rsidRDefault="00CB47AD" w:rsidP="00CB47AD">
            <w:pPr>
              <w:pStyle w:val="TableHeading"/>
              <w:rPr>
                <w:rFonts w:ascii="Times New Roman" w:eastAsia="Times New Roman" w:hAnsi="Times New Roman" w:cs="Times New Roman"/>
                <w:b w:val="0"/>
                <w:szCs w:val="24"/>
              </w:rPr>
            </w:pPr>
            <w:r w:rsidRPr="00F322CE">
              <w:t>Reported to CMS</w:t>
            </w:r>
          </w:p>
        </w:tc>
        <w:tc>
          <w:tcPr>
            <w:tcW w:w="3513" w:type="dxa"/>
          </w:tcPr>
          <w:p w14:paraId="34F6947C" w14:textId="53305BFF" w:rsidR="00CB47AD" w:rsidRPr="00AE23C1" w:rsidRDefault="00CB47AD" w:rsidP="00CB47AD">
            <w:pPr>
              <w:pStyle w:val="TableHeading"/>
              <w:rPr>
                <w:rFonts w:ascii="Times New Roman" w:eastAsia="Times New Roman" w:hAnsi="Times New Roman" w:cs="Times New Roman"/>
                <w:b w:val="0"/>
                <w:szCs w:val="24"/>
              </w:rPr>
            </w:pPr>
            <w:r w:rsidRPr="00F322CE">
              <w:t>Escalation trigger</w:t>
            </w:r>
          </w:p>
        </w:tc>
      </w:tr>
      <w:tr w:rsidR="00CB47AD" w14:paraId="070ACCD7" w14:textId="77777777" w:rsidTr="00CB47AD">
        <w:tc>
          <w:tcPr>
            <w:tcW w:w="2764" w:type="dxa"/>
          </w:tcPr>
          <w:p w14:paraId="28FAAC1C" w14:textId="5017604C" w:rsidR="00CB47AD" w:rsidRPr="00C6190E" w:rsidRDefault="00D14B6C">
            <w:pPr>
              <w:pStyle w:val="TableBody"/>
              <w:spacing w:after="0"/>
              <w:rPr>
                <w:rFonts w:ascii="Arial" w:eastAsia="Arial" w:hAnsi="Arial" w:cs="Arial"/>
                <w:szCs w:val="20"/>
              </w:rPr>
            </w:pPr>
            <w:r w:rsidRPr="007D4C32">
              <w:t>Data merge validation against source records</w:t>
            </w:r>
          </w:p>
        </w:tc>
        <w:tc>
          <w:tcPr>
            <w:tcW w:w="3073" w:type="dxa"/>
          </w:tcPr>
          <w:p w14:paraId="4722EDA6" w14:textId="77D95530" w:rsidR="00CB47AD" w:rsidRPr="00D129A4" w:rsidRDefault="00D14B6C">
            <w:pPr>
              <w:pStyle w:val="TableBody"/>
              <w:spacing w:after="0"/>
            </w:pPr>
            <w:r w:rsidRPr="00532853">
              <w:t>Pre-generation status per notice type</w:t>
            </w:r>
          </w:p>
        </w:tc>
        <w:tc>
          <w:tcPr>
            <w:tcW w:w="3513" w:type="dxa"/>
          </w:tcPr>
          <w:p w14:paraId="33A9756E" w14:textId="60CBF2D8" w:rsidR="00CB47AD" w:rsidRPr="00C6190E" w:rsidRDefault="00D14B6C">
            <w:pPr>
              <w:pStyle w:val="TableBody"/>
              <w:spacing w:after="0"/>
              <w:rPr>
                <w:rFonts w:ascii="Arial" w:eastAsia="Arial" w:hAnsi="Arial" w:cs="Arial"/>
                <w:szCs w:val="20"/>
              </w:rPr>
            </w:pPr>
            <w:r w:rsidRPr="004D3E5B">
              <w:t>Missing fields or data anomalies caught before file generation</w:t>
            </w:r>
          </w:p>
        </w:tc>
      </w:tr>
      <w:tr w:rsidR="00CB47AD" w14:paraId="6184EAA2" w14:textId="77777777" w:rsidTr="00CB47AD">
        <w:tc>
          <w:tcPr>
            <w:tcW w:w="2764" w:type="dxa"/>
          </w:tcPr>
          <w:p w14:paraId="4460F958" w14:textId="2BD6156F" w:rsidR="00CB47AD" w:rsidRPr="00C6190E" w:rsidRDefault="00D14B6C">
            <w:pPr>
              <w:pStyle w:val="TableBody"/>
              <w:spacing w:after="0"/>
              <w:rPr>
                <w:rFonts w:ascii="Arial" w:eastAsia="Arial" w:hAnsi="Arial" w:cs="Arial"/>
                <w:szCs w:val="20"/>
              </w:rPr>
            </w:pPr>
            <w:r w:rsidRPr="007D4C32">
              <w:t>EFT transmission confirmation</w:t>
            </w:r>
          </w:p>
        </w:tc>
        <w:tc>
          <w:tcPr>
            <w:tcW w:w="3073" w:type="dxa"/>
          </w:tcPr>
          <w:p w14:paraId="094327CA" w14:textId="67A60BF8" w:rsidR="00CB47AD" w:rsidRPr="00D129A4" w:rsidRDefault="00D14B6C">
            <w:pPr>
              <w:pStyle w:val="TableBody"/>
              <w:spacing w:after="0"/>
            </w:pPr>
            <w:r w:rsidRPr="00532853">
              <w:t>Transmission status and timestamp per batch</w:t>
            </w:r>
          </w:p>
        </w:tc>
        <w:tc>
          <w:tcPr>
            <w:tcW w:w="3513" w:type="dxa"/>
          </w:tcPr>
          <w:p w14:paraId="574A895F" w14:textId="0B303232" w:rsidR="00CB47AD" w:rsidRPr="00C6190E" w:rsidRDefault="00D14B6C">
            <w:pPr>
              <w:pStyle w:val="TableBody"/>
              <w:spacing w:after="0"/>
              <w:rPr>
                <w:rFonts w:ascii="Arial" w:eastAsia="Arial" w:hAnsi="Arial" w:cs="Arial"/>
                <w:szCs w:val="20"/>
              </w:rPr>
            </w:pPr>
            <w:r w:rsidRPr="004D3E5B">
              <w:t>Failure triggers same-day CMS notification and remediation path</w:t>
            </w:r>
          </w:p>
        </w:tc>
      </w:tr>
      <w:tr w:rsidR="00CB47AD" w14:paraId="2D21BDB9" w14:textId="77777777" w:rsidTr="00CB47AD">
        <w:tc>
          <w:tcPr>
            <w:tcW w:w="2764" w:type="dxa"/>
          </w:tcPr>
          <w:p w14:paraId="432A42FC" w14:textId="4F010449" w:rsidR="00CB47AD" w:rsidRPr="00C6190E" w:rsidRDefault="00D14B6C">
            <w:pPr>
              <w:pStyle w:val="TableBody"/>
              <w:spacing w:after="0"/>
              <w:rPr>
                <w:rFonts w:ascii="Arial" w:eastAsia="Arial" w:hAnsi="Arial" w:cs="Arial"/>
                <w:szCs w:val="20"/>
              </w:rPr>
            </w:pPr>
            <w:r w:rsidRPr="007D4C32">
              <w:t>DSRS upload confirmation</w:t>
            </w:r>
          </w:p>
        </w:tc>
        <w:tc>
          <w:tcPr>
            <w:tcW w:w="3073" w:type="dxa"/>
          </w:tcPr>
          <w:p w14:paraId="47DE631D" w14:textId="68261AE8" w:rsidR="00CB47AD" w:rsidRPr="00D129A4" w:rsidRDefault="00D14B6C">
            <w:pPr>
              <w:pStyle w:val="TableBody"/>
              <w:spacing w:after="0"/>
            </w:pPr>
            <w:r w:rsidRPr="00532853">
              <w:t>Upload completion and file count per batch</w:t>
            </w:r>
          </w:p>
        </w:tc>
        <w:tc>
          <w:tcPr>
            <w:tcW w:w="3513" w:type="dxa"/>
          </w:tcPr>
          <w:p w14:paraId="47589A3C" w14:textId="530266F4" w:rsidR="00CB47AD" w:rsidRPr="00C6190E" w:rsidRDefault="00D14B6C">
            <w:pPr>
              <w:pStyle w:val="TableBody"/>
              <w:spacing w:after="0"/>
              <w:rPr>
                <w:rFonts w:ascii="Arial" w:eastAsia="Arial" w:hAnsi="Arial" w:cs="Arial"/>
                <w:szCs w:val="20"/>
              </w:rPr>
            </w:pPr>
            <w:r w:rsidRPr="004D3E5B">
              <w:t>Failure triggers immediate remediation before batch is closed</w:t>
            </w:r>
          </w:p>
        </w:tc>
      </w:tr>
      <w:tr w:rsidR="00CB47AD" w14:paraId="6650B38B" w14:textId="77777777" w:rsidTr="00CB47AD">
        <w:tc>
          <w:tcPr>
            <w:tcW w:w="2764" w:type="dxa"/>
          </w:tcPr>
          <w:p w14:paraId="02783874" w14:textId="750E50DD" w:rsidR="00CB47AD" w:rsidRPr="00C6190E" w:rsidRDefault="00D14B6C">
            <w:pPr>
              <w:pStyle w:val="TableBody"/>
              <w:spacing w:after="0"/>
              <w:rPr>
                <w:rFonts w:ascii="Arial" w:eastAsia="Arial" w:hAnsi="Arial" w:cs="Arial"/>
                <w:szCs w:val="20"/>
              </w:rPr>
            </w:pPr>
            <w:r w:rsidRPr="007D4C32">
              <w:t>Translation currency per notice and language</w:t>
            </w:r>
          </w:p>
        </w:tc>
        <w:tc>
          <w:tcPr>
            <w:tcW w:w="3073" w:type="dxa"/>
          </w:tcPr>
          <w:p w14:paraId="2E4D687D" w14:textId="18E3331D" w:rsidR="00CB47AD" w:rsidRPr="00D129A4" w:rsidRDefault="00D14B6C">
            <w:pPr>
              <w:pStyle w:val="TableBody"/>
              <w:spacing w:after="0"/>
            </w:pPr>
            <w:r w:rsidRPr="00532853">
              <w:t>Translation status in standing notice report</w:t>
            </w:r>
          </w:p>
        </w:tc>
        <w:tc>
          <w:tcPr>
            <w:tcW w:w="3513" w:type="dxa"/>
          </w:tcPr>
          <w:p w14:paraId="591A703D" w14:textId="1E3480B9" w:rsidR="00CB47AD" w:rsidRPr="00C6190E" w:rsidRDefault="00D14B6C">
            <w:pPr>
              <w:pStyle w:val="TableBody"/>
              <w:spacing w:after="0"/>
              <w:rPr>
                <w:rFonts w:ascii="Arial" w:eastAsia="Arial" w:hAnsi="Arial" w:cs="Arial"/>
                <w:szCs w:val="20"/>
              </w:rPr>
            </w:pPr>
            <w:r w:rsidRPr="004D3E5B">
              <w:t>Content change without confirmed translation update escalated before production</w:t>
            </w:r>
          </w:p>
        </w:tc>
      </w:tr>
      <w:tr w:rsidR="00D14B6C" w14:paraId="3AF84604" w14:textId="77777777" w:rsidTr="00CB47AD">
        <w:tc>
          <w:tcPr>
            <w:tcW w:w="2764" w:type="dxa"/>
          </w:tcPr>
          <w:p w14:paraId="53A860EC" w14:textId="41412127" w:rsidR="00D14B6C" w:rsidRPr="00C6190E" w:rsidRDefault="00D14B6C" w:rsidP="00D14B6C">
            <w:pPr>
              <w:pStyle w:val="TableBody"/>
              <w:spacing w:after="0"/>
              <w:rPr>
                <w:rFonts w:ascii="Arial" w:eastAsia="Arial" w:hAnsi="Arial" w:cs="Arial"/>
                <w:szCs w:val="20"/>
              </w:rPr>
            </w:pPr>
            <w:r w:rsidRPr="007D4C32">
              <w:t>508 compliance per notice update</w:t>
            </w:r>
          </w:p>
        </w:tc>
        <w:tc>
          <w:tcPr>
            <w:tcW w:w="3073" w:type="dxa"/>
          </w:tcPr>
          <w:p w14:paraId="7D9B29A1" w14:textId="5F2CAA89" w:rsidR="00D14B6C" w:rsidRPr="00D129A4" w:rsidRDefault="00D14B6C" w:rsidP="00D14B6C">
            <w:pPr>
              <w:pStyle w:val="TableBody"/>
              <w:spacing w:after="0"/>
            </w:pPr>
            <w:r w:rsidRPr="00532853">
              <w:t>Compliance confirmation per design change</w:t>
            </w:r>
          </w:p>
        </w:tc>
        <w:tc>
          <w:tcPr>
            <w:tcW w:w="3513" w:type="dxa"/>
          </w:tcPr>
          <w:p w14:paraId="4498F4E8" w14:textId="5F3B0A21" w:rsidR="00D14B6C" w:rsidRPr="00C6190E" w:rsidRDefault="00D14B6C" w:rsidP="00D14B6C">
            <w:pPr>
              <w:pStyle w:val="TableBody"/>
              <w:spacing w:after="0"/>
              <w:rPr>
                <w:rFonts w:ascii="Arial" w:eastAsia="Arial" w:hAnsi="Arial" w:cs="Arial"/>
                <w:szCs w:val="20"/>
              </w:rPr>
            </w:pPr>
            <w:r w:rsidRPr="004D3E5B">
              <w:t>Design-stage failure escalated before the notice enters the production queue</w:t>
            </w:r>
          </w:p>
        </w:tc>
      </w:tr>
    </w:tbl>
    <w:p w14:paraId="775CF989" w14:textId="77777777" w:rsidR="00823CB5" w:rsidRPr="003414BC" w:rsidRDefault="00823CB5" w:rsidP="00D14B6C">
      <w:pPr>
        <w:pStyle w:val="ParagraphSpacer"/>
      </w:pPr>
    </w:p>
    <w:p w14:paraId="0D19DD1D" w14:textId="0B480CD7" w:rsidR="00403FEC" w:rsidRDefault="00CB47AD" w:rsidP="00CB47AD">
      <w:pPr>
        <w:pStyle w:val="TableTitle"/>
      </w:pPr>
      <w:r w:rsidRPr="006E03C0">
        <w:t>Table 1.2.5-2. Task 6 Challenges and Mitigations.</w:t>
      </w:r>
      <w:r/>
    </w:p>
    <w:tbl>
      <w:tblPr>
        <w:tblStyle w:val="DeloitteTable2"/>
        <w:tblW w:w="5000" w:type="pct"/>
        <w:tblLook w:val="0620" w:firstRow="1" w:lastRow="0" w:firstColumn="0" w:lastColumn="0" w:noHBand="1" w:noVBand="1"/>
      </w:tblPr>
      <w:tblGrid>
        <w:gridCol w:w="3955"/>
        <w:gridCol w:w="5395"/>
      </w:tblGrid>
      <w:tr w:rsidR="00403FEC" w14:paraId="41DD4837"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3955" w:type="dxa"/>
          </w:tcPr>
          <w:p w14:paraId="0F7F7380" w14:textId="77777777" w:rsidR="00403FEC" w:rsidRPr="00823CB5" w:rsidRDefault="00403FEC" w:rsidP="00403FEC">
            <w:pPr>
              <w:pStyle w:val="TableHeading"/>
              <w:rPr>
                <w:rFonts w:ascii="Times New Roman" w:eastAsia="Times New Roman" w:hAnsi="Times New Roman" w:cs="Times New Roman"/>
                <w:b w:val="0"/>
                <w:szCs w:val="24"/>
              </w:rPr>
            </w:pPr>
            <w:r w:rsidRPr="004A4BC1">
              <w:t>Challenge</w:t>
            </w:r>
          </w:p>
        </w:tc>
        <w:tc>
          <w:tcPr>
            <w:tcW w:w="5395" w:type="dxa"/>
          </w:tcPr>
          <w:p w14:paraId="277EADC6" w14:textId="77777777" w:rsidR="00403FEC" w:rsidRPr="00823CB5" w:rsidRDefault="00403FEC" w:rsidP="00403FEC">
            <w:pPr>
              <w:pStyle w:val="TableHeading"/>
              <w:rPr>
                <w:rFonts w:ascii="Times New Roman" w:eastAsia="Times New Roman" w:hAnsi="Times New Roman" w:cs="Times New Roman"/>
                <w:b w:val="0"/>
                <w:szCs w:val="24"/>
              </w:rPr>
            </w:pPr>
            <w:r w:rsidRPr="004A4BC1">
              <w:t>Deloitte mitigation</w:t>
            </w:r>
          </w:p>
        </w:tc>
      </w:tr>
      <w:tr w:rsidR="00CB47AD" w14:paraId="092EB06B" w14:textId="77777777" w:rsidTr="00CB47AD">
        <w:tc>
          <w:tcPr>
            <w:tcW w:w="3955" w:type="dxa"/>
          </w:tcPr>
          <w:p w14:paraId="6128442A" w14:textId="77777777" w:rsidR="00CB47AD" w:rsidRPr="00C6190E" w:rsidRDefault="00CB47AD" w:rsidP="00CB47AD">
            <w:pPr>
              <w:pStyle w:val="TableBody"/>
              <w:spacing w:after="0"/>
              <w:rPr>
                <w:rFonts w:ascii="Arial" w:eastAsia="Arial" w:hAnsi="Arial" w:cs="Arial"/>
                <w:szCs w:val="20"/>
              </w:rPr>
            </w:pPr>
            <w:r w:rsidRPr="001E14DB">
              <w:t>Translation dependencies are not always triggered when English content changes, creating out-of-sync translated notices that may not surface until a consumer complaint</w:t>
            </w:r>
          </w:p>
        </w:tc>
        <w:tc>
          <w:tcPr>
            <w:tcW w:w="5395" w:type="dxa"/>
          </w:tcPr>
          <w:p w14:paraId="60CBE575" w14:textId="77777777" w:rsidR="00CB47AD" w:rsidRPr="00C6190E" w:rsidRDefault="00CB47AD" w:rsidP="00CB47AD">
            <w:pPr>
              <w:pStyle w:val="TableBody"/>
              <w:spacing w:after="0"/>
              <w:rPr>
                <w:rFonts w:ascii="Arial" w:eastAsia="Arial" w:hAnsi="Arial" w:cs="Arial"/>
                <w:szCs w:val="20"/>
              </w:rPr>
            </w:pPr>
            <w:r w:rsidRPr="00D129A4">
              <w:t>Translation update trigger built into the notice change workflow. Every content change initiates a translation review before production. Translated notices confirmed accurate before EFT transmission.</w:t>
            </w:r>
          </w:p>
        </w:tc>
      </w:tr>
      <w:tr w:rsidR="00CB47AD" w14:paraId="78646AFD" w14:textId="77777777" w:rsidTr="00CB47AD">
        <w:tc>
          <w:tcPr>
            <w:tcW w:w="3955" w:type="dxa"/>
          </w:tcPr>
          <w:p w14:paraId="5F32B676" w14:textId="77777777" w:rsidR="00CB47AD" w:rsidRPr="00C6190E" w:rsidRDefault="00CB47AD" w:rsidP="00CB47AD">
            <w:pPr>
              <w:pStyle w:val="TableBody"/>
              <w:spacing w:after="0"/>
              <w:rPr>
                <w:rFonts w:ascii="Arial" w:eastAsia="Arial" w:hAnsi="Arial" w:cs="Arial"/>
                <w:szCs w:val="20"/>
              </w:rPr>
            </w:pPr>
            <w:r w:rsidRPr="001E14DB">
              <w:t>Print vendor specification mismatches discovered at transmission cause rework and delay consumer delivery</w:t>
            </w:r>
          </w:p>
        </w:tc>
        <w:tc>
          <w:tcPr>
            <w:tcW w:w="5395" w:type="dxa"/>
          </w:tcPr>
          <w:p w14:paraId="378EB28C" w14:textId="77777777" w:rsidR="00CB47AD" w:rsidRPr="00C6190E" w:rsidRDefault="00CB47AD" w:rsidP="00CB47AD">
            <w:pPr>
              <w:pStyle w:val="TableBody"/>
              <w:spacing w:after="0"/>
              <w:rPr>
                <w:rFonts w:ascii="Arial" w:eastAsia="Arial" w:hAnsi="Arial" w:cs="Arial"/>
                <w:szCs w:val="20"/>
              </w:rPr>
            </w:pPr>
            <w:r w:rsidRPr="00D129A4">
              <w:t>Transition-in pipeline audit validates current print specifications and identifies pending spec changes before Deloitte generates its first notice. Spec changes managed through a documented workflow before production.</w:t>
            </w:r>
          </w:p>
        </w:tc>
      </w:tr>
      <w:tr w:rsidR="00CB47AD" w14:paraId="214507A4" w14:textId="77777777" w:rsidTr="00CB47AD">
        <w:tc>
          <w:tcPr>
            <w:tcW w:w="3955" w:type="dxa"/>
          </w:tcPr>
          <w:p w14:paraId="3F696CB6" w14:textId="77777777" w:rsidR="00CB47AD" w:rsidRPr="00C6190E" w:rsidRDefault="00CB47AD" w:rsidP="00CB47AD">
            <w:pPr>
              <w:pStyle w:val="TableBody"/>
              <w:spacing w:after="0"/>
              <w:rPr>
                <w:rFonts w:ascii="Arial" w:eastAsia="Arial" w:hAnsi="Arial" w:cs="Arial"/>
                <w:szCs w:val="20"/>
              </w:rPr>
            </w:pPr>
            <w:r w:rsidRPr="001E14DB">
              <w:lastRenderedPageBreak/>
              <w:t>Approximately 40 annual notice updates create compression risk when multiple notices update simultaneously near a filing deadline</w:t>
            </w:r>
          </w:p>
        </w:tc>
        <w:tc>
          <w:tcPr>
            <w:tcW w:w="5395" w:type="dxa"/>
          </w:tcPr>
          <w:p w14:paraId="4A7C653F" w14:textId="77777777" w:rsidR="00CB47AD" w:rsidRPr="00C6190E" w:rsidRDefault="00CB47AD" w:rsidP="00CB47AD">
            <w:pPr>
              <w:pStyle w:val="TableBody"/>
              <w:spacing w:after="0"/>
              <w:rPr>
                <w:rFonts w:ascii="Arial" w:eastAsia="Arial" w:hAnsi="Arial" w:cs="Arial"/>
                <w:szCs w:val="20"/>
              </w:rPr>
            </w:pPr>
            <w:r w:rsidRPr="00D129A4">
              <w:t>Annual update schedule tracked against Correction Cycle and consumer filing deadlines from contract start. Updates sequenced to avoid compression near high-impact windows.</w:t>
            </w:r>
          </w:p>
        </w:tc>
      </w:tr>
      <w:tr w:rsidR="00CB47AD" w14:paraId="1FE3467A" w14:textId="77777777" w:rsidTr="00CB47AD">
        <w:tc>
          <w:tcPr>
            <w:tcW w:w="3955" w:type="dxa"/>
          </w:tcPr>
          <w:p w14:paraId="7042EBAD" w14:textId="77777777" w:rsidR="00CB47AD" w:rsidRPr="00C6190E" w:rsidRDefault="00CB47AD" w:rsidP="00CB47AD">
            <w:pPr>
              <w:pStyle w:val="TableBody"/>
              <w:spacing w:after="0"/>
              <w:rPr>
                <w:rFonts w:ascii="Arial" w:eastAsia="Arial" w:hAnsi="Arial" w:cs="Arial"/>
                <w:szCs w:val="20"/>
              </w:rPr>
            </w:pPr>
            <w:r w:rsidRPr="001E14DB">
              <w:t>DSRS upload failures may not be discovered until a consumer or issuer attempts to retrieve a notice</w:t>
            </w:r>
          </w:p>
        </w:tc>
        <w:tc>
          <w:tcPr>
            <w:tcW w:w="5395" w:type="dxa"/>
          </w:tcPr>
          <w:p w14:paraId="52584887" w14:textId="77777777" w:rsidR="00CB47AD" w:rsidRPr="00C6190E" w:rsidRDefault="00CB47AD" w:rsidP="00CB47AD">
            <w:pPr>
              <w:pStyle w:val="TableBody"/>
              <w:spacing w:after="0"/>
              <w:rPr>
                <w:rFonts w:ascii="Arial" w:eastAsia="Arial" w:hAnsi="Arial" w:cs="Arial"/>
                <w:szCs w:val="20"/>
              </w:rPr>
            </w:pPr>
            <w:r w:rsidRPr="00D129A4">
              <w:t>DSRS upload confirmation logged per notice file before batch closes. Failures trigger immediate remediation, not next-day discovery.</w:t>
            </w:r>
          </w:p>
        </w:tc>
      </w:tr>
    </w:tbl>
    <w:p w14:paraId="042A55D9" w14:textId="77777777" w:rsidR="00663C10" w:rsidRPr="003414BC" w:rsidRDefault="00663C10" w:rsidP="00CB47AD">
      <w:pPr>
        <w:pStyle w:val="ParagraphSpacer"/>
      </w:pPr>
    </w:p>
    <w:p w14:paraId="07DE88E8" w14:textId="5432BF75" w:rsidR="00663C10" w:rsidRPr="005D763D" w:rsidRDefault="00361A32" w:rsidP="005D763D">
      <w:pPr>
        <w:pStyle w:val="BodyText"/>
      </w:pPr>
      <w:r w:rsidRPr="005D763D">
        <w:t xml:space="preserve">During CA SBM take over, </w:t>
      </w:r>
      <w:r w:rsidR="008D5EA2" w:rsidRPr="005D763D">
        <w:t xml:space="preserve">we took over the notice generation from the incumbent’s print vendor to a </w:t>
      </w:r>
      <w:r w:rsidR="00444D9D" w:rsidRPr="005D763D">
        <w:t xml:space="preserve">high volume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1BC0D7B2" w14:textId="0B59285B" w:rsidR="00A54BF5" w:rsidRDefault="003414BC" w:rsidP="00A54BF5">
      <w:pPr>
        <w:pStyle w:val="Heading3"/>
      </w:pPr>
      <w:bookmarkStart w:id="57" w:name="_Toc227883182"/>
      <w:commentRangeStart w:id="58"/>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bookmarkEnd w:id="57"/>
      <w:r w:rsidR="00806273">
        <w:t xml:space="preserve"> </w:t>
      </w:r>
      <w:r w:rsidR="00806273" w:rsidRPr="00806273">
        <w:rPr>
          <w:color w:val="FF0000"/>
        </w:rPr>
        <w:t>(2 Pages)</w:t>
      </w:r>
      <w:commentRangeEnd w:id="58"/>
      <w:r w:rsidR="00F44734">
        <w:rPr>
          <w:rStyle w:val="CommentReference"/>
          <w:sz w:val="24"/>
          <w:szCs w:val="26"/>
        </w:rPr>
        <w:commentReference w:id="58"/>
      </w:r>
    </w:p>
    <w:p w14:paraId="0FCD52AE" w14:textId="09F37755" w:rsidR="001B024F" w:rsidRPr="00AF4AB8" w:rsidRDefault="1140EB1A" w:rsidP="005D763D">
      <w:pPr>
        <w:pStyle w:val="BodyTextBulletIntro"/>
      </w:pPr>
      <w:r w:rsidRPr="00AF4AB8">
        <w:t>Task 7 is a multi-stakeholder, multi-channel resolution function that serves as the connected front door for stakeholder engagement across ER&amp;R, not a generic contact center. It supports consumers, issuers, Federally-facilitated Exchange (FFE) staff, State-based Exchanges (SBEs), employers, and related Marketplace partners through coordinated inbound and outbound calls, voicemail, issuer email support, and written correspondence. These channels are designed to move cases toward resolution with consistency, visibility, compliance, and continuous improvement. In this role, Task 7 helps CMS maintain trusted core operations while strengthening program performance over time through efficient workflows, deep Marketplace coordination, and integrity-embedded controls.</w:t>
      </w:r>
      <w:r w:rsidR="0006071A" w:rsidRPr="00AF4AB8"/>
      <w:r w:rsidR="00304F34" w:rsidRPr="00AF4AB8"/>
      <w:r w:rsidR="002440D5" w:rsidRPr="00AF4AB8"/>
      <w:r w:rsidR="00304F34" w:rsidRPr="00AF4AB8"/>
    </w:p>
    <w:p w14:paraId="31153E0E" w14:textId="5A66DADE" w:rsidR="00C14ED2" w:rsidRPr="00DD6CAA" w:rsidRDefault="008B3B3A" w:rsidP="005D763D">
      <w:pPr>
        <w:pStyle w:val="Bulletlevel1"/>
      </w:pPr>
      <w:r w:rsidRPr="005D763D">
        <w:rPr>
          <w:rStyle w:val="CharacterBold"/>
        </w:rPr>
        <w:t>Case resolution</w:t>
      </w:r>
      <w:r w:rsidR="001B024F" w:rsidRPr="005D763D">
        <w:rPr>
          <w:rStyle w:val="CharacterBold"/>
        </w:rPr>
        <w:t xml:space="preserve"> across a complex Marketplace ecosystem.</w:t>
      </w:r>
      <w:r w:rsidR="001B024F" w:rsidRPr="00DD6CAA">
        <w:t xml:space="preserve"> </w:t>
      </w:r>
      <w:r w:rsidR="00E02C30" w:rsidRPr="00DD6CAA">
        <w:t xml:space="preserve">The SOW requires support for consumers, issuers, FFE staff, and SBEs, with direct handling of phone inquiries, voicemail, issuer call and email support, and outbound outreach where it can significantly expedite resolution. This requires end-to-end understanding of how consumer disputes, issuer coordination, Form 1095-A casework, Exchange Call Center interactions, system-enabled research, and </w:t>
      </w:r>
      <w:r w:rsidR="00C14ED2" w:rsidRPr="00DD6CAA">
        <w:t xml:space="preserve">written correspondence intersect </w:t>
      </w:r>
      <w:r w:rsidR="00627892" w:rsidRPr="00DD6CAA">
        <w:t>within the resolution lifecy</w:t>
      </w:r>
      <w:r w:rsidR="00C1424F" w:rsidRPr="00DD6CAA">
        <w:t>cle</w:t>
      </w:r>
      <w:r w:rsidR="00C14ED2" w:rsidRPr="00DD6CAA">
        <w:t>.</w:t>
      </w:r>
    </w:p>
    <w:p w14:paraId="7930D89C" w14:textId="3AF0EA5E" w:rsidR="001B024F" w:rsidRPr="001B024F" w:rsidRDefault="008B3B3A" w:rsidP="005D763D">
      <w:pPr>
        <w:pStyle w:val="Bulletlevel1"/>
      </w:pPr>
      <w:r w:rsidRPr="005D763D">
        <w:rPr>
          <w:rStyle w:val="CharacterBold"/>
        </w:rPr>
        <w:t>M</w:t>
      </w:r>
      <w:r w:rsidR="001B024F" w:rsidRPr="005D763D">
        <w:rPr>
          <w:rStyle w:val="CharacterBold"/>
        </w:rPr>
        <w:t>ulti-stakeholder by design</w:t>
      </w:r>
      <w:r w:rsidR="00667EB1" w:rsidRPr="005D763D">
        <w:rPr>
          <w:rStyle w:val="CharacterBold"/>
        </w:rPr>
        <w:t xml:space="preserve"> with necessary coordinated handoffs</w:t>
      </w:r>
      <w:r w:rsidR="001B024F" w:rsidRPr="005D763D">
        <w:rPr>
          <w:rStyle w:val="CharacterBold"/>
        </w:rPr>
        <w:t>.</w:t>
      </w:r>
      <w:r w:rsidR="001B024F" w:rsidRPr="001B024F">
        <w:t xml:space="preserve"> </w:t>
      </w:r>
      <w:r w:rsidR="00F72E63">
        <w:t xml:space="preserve">Stakeholders include </w:t>
      </w:r>
      <w:r w:rsidR="00F72E63" w:rsidRPr="00F72E63">
        <w:t>CMS, issuers, states, the Exchange Call Center, the Eligibility Support contractor, the Print contractor, FMPS, and other Marketplace support teams.</w:t>
      </w:r>
      <w:r w:rsidR="001B024F" w:rsidRPr="001B024F">
        <w:t xml:space="preserve"> </w:t>
      </w:r>
      <w:r w:rsidR="0089511F" w:rsidRPr="0089511F">
        <w:t xml:space="preserve">Consumers need clear, plain-language support and sensitive handling of enrollment and eligibility issues. Issuers need precise operational coordination, documented communications, and timely follow-up. FFE staff, SBEs, and other partners need clear </w:t>
      </w:r>
      <w:r w:rsidR="00F72E63" w:rsidRPr="00F72E63">
        <w:t>transfers</w:t>
      </w:r>
      <w:r w:rsidR="0089511F" w:rsidRPr="0089511F">
        <w:t>, current case status, and dependable follow-through across organizational boundaries.</w:t>
      </w:r>
    </w:p>
    <w:p w14:paraId="7C5EC0D7" w14:textId="77777777" w:rsidR="00DB56E8" w:rsidRPr="00DB56E8" w:rsidRDefault="008B3B3A" w:rsidP="005D763D">
      <w:pPr>
        <w:pStyle w:val="Bulletlevel1"/>
      </w:pPr>
      <w:r w:rsidRPr="005D763D">
        <w:rPr>
          <w:rStyle w:val="CharacterBold"/>
        </w:rPr>
        <w:t>C</w:t>
      </w:r>
      <w:r w:rsidR="001B024F" w:rsidRPr="005D763D">
        <w:rPr>
          <w:rStyle w:val="CharacterBold"/>
        </w:rPr>
        <w:t>losed-loop support workflow, not a set of disconnected channels.</w:t>
      </w:r>
      <w:r w:rsidR="001B024F" w:rsidRPr="001B024F">
        <w:t xml:space="preserve"> </w:t>
      </w:r>
      <w:r w:rsidR="00DB56E8" w:rsidRPr="00DB56E8">
        <w:t>Calls, voicemails, issuer emails, and written correspondence operate as a single integrated workflow so that each interaction advances the case, contributes to one visible case history, and supports downstream actions, formal decisions, and accurate status communication.</w:t>
      </w:r>
    </w:p>
    <w:p w14:paraId="17198048" w14:textId="5A19057E" w:rsidR="00EE51A7" w:rsidRPr="00EE51A7" w:rsidRDefault="001B024F" w:rsidP="005D763D">
      <w:pPr>
        <w:pStyle w:val="Bulletlevel1"/>
      </w:pPr>
      <w:r w:rsidRPr="005D763D">
        <w:rPr>
          <w:rStyle w:val="CharacterBold"/>
        </w:rPr>
        <w:t>Outbound support is a proactive resolution lever</w:t>
      </w:r>
      <w:r w:rsidR="00B348BC" w:rsidRPr="005D763D">
        <w:rPr>
          <w:rStyle w:val="CharacterBold"/>
        </w:rPr>
        <w:t>.</w:t>
      </w:r>
      <w:r w:rsidR="00EE51A7">
        <w:rPr>
          <w:b/>
          <w:bCs/>
        </w:rPr>
        <w:t xml:space="preserve"> </w:t>
      </w:r>
      <w:r w:rsidR="00AC1FEA" w:rsidRPr="00AC1FEA">
        <w:t xml:space="preserve">When live outreach can resolve missing information, confirm next steps, or unblock action faster than waiting for additional inbound contacts or written exchanges, Deloitte will use outbound support to reduce avoidable repeat effort for CMS, other contractor teams, issuers, consumers, and federal and state partners while improving speed to closure and </w:t>
      </w:r>
      <w:r w:rsidR="00144A2F">
        <w:t>overall</w:t>
      </w:r>
      <w:r w:rsidR="00EE51A7" w:rsidRPr="00EE51A7">
        <w:t xml:space="preserve"> </w:t>
      </w:r>
      <w:r w:rsidR="00AC1FEA" w:rsidRPr="00AC1FEA">
        <w:t>stakeholder experience</w:t>
      </w:r>
      <w:r w:rsidR="00EE51A7" w:rsidRPr="00EE51A7">
        <w:t>.</w:t>
      </w:r>
    </w:p>
    <w:p w14:paraId="2992D527" w14:textId="5B72ABAA" w:rsidR="001B024F" w:rsidRPr="00181397" w:rsidRDefault="00181397" w:rsidP="005D763D">
      <w:pPr>
        <w:pStyle w:val="Bulletlevel1"/>
      </w:pPr>
      <w:r w:rsidRPr="005D763D">
        <w:rPr>
          <w:rStyle w:val="CharacterBold"/>
        </w:rPr>
        <w:lastRenderedPageBreak/>
        <w:t>Voicemail is a managed intake and follow-up channel, not overflow coverage.</w:t>
      </w:r>
      <w:r w:rsidRPr="00181397">
        <w:rPr>
          <w:b/>
          <w:bCs/>
        </w:rPr>
        <w:t xml:space="preserve"> </w:t>
      </w:r>
      <w:r w:rsidRPr="00181397">
        <w:t>CMS requires direct phone numbers with voicemail for after-hours, weekend, and holiday contacts, with response within one business day. That makes clear ownership, prioritization, age tracking, and timely follow-up important to performance</w:t>
      </w:r>
      <w:r w:rsidR="001B024F" w:rsidRPr="00181397">
        <w:t>.</w:t>
      </w:r>
    </w:p>
    <w:p w14:paraId="0107FB7C" w14:textId="2A4C8E4B" w:rsidR="001B024F" w:rsidRPr="001B024F" w:rsidRDefault="001B024F" w:rsidP="005D763D">
      <w:pPr>
        <w:pStyle w:val="Bulletlevel1"/>
      </w:pPr>
      <w:r w:rsidRPr="005D763D">
        <w:rPr>
          <w:rStyle w:val="CharacterBold"/>
        </w:rPr>
        <w:t>Issuer support is a distinct operating lane.</w:t>
      </w:r>
      <w:r w:rsidRPr="001B024F">
        <w:t xml:space="preserve"> </w:t>
      </w:r>
      <w:r w:rsidR="00D23922" w:rsidRPr="00825C68">
        <w:t>The contractor must provide issuer call and email support through the ER&amp;R Support Center, document communications in Enrollment Community, support mass issuer communications, and provide recommendations and testing support for enhancements tied to Enrollment Data Alignment</w:t>
      </w:r>
      <w:r w:rsidR="00E9069C" w:rsidRPr="00825C68">
        <w:t>.</w:t>
      </w:r>
    </w:p>
    <w:p w14:paraId="2A476E02" w14:textId="1D546518" w:rsidR="001B024F" w:rsidRPr="001B024F" w:rsidRDefault="001B024F" w:rsidP="005D763D">
      <w:pPr>
        <w:pStyle w:val="Bulletlevel1"/>
      </w:pPr>
      <w:r w:rsidRPr="005D763D">
        <w:rPr>
          <w:rStyle w:val="CharacterBold"/>
        </w:rPr>
        <w:t>Workforce management (WFM), quality assurance (QA), and training are core delivery enablers.</w:t>
      </w:r>
      <w:r w:rsidRPr="001B024F">
        <w:t xml:space="preserve"> </w:t>
      </w:r>
      <w:r w:rsidR="001C478E" w:rsidRPr="00825C68">
        <w:t>Because volumes fluctuate, policy direction evolves, and case complexity varies by stakeholder, Deloitte will use forecasting, scheduling, QA monitoring, script adherence, refresh training, and knowledge updates</w:t>
      </w:r>
      <w:r w:rsidR="00B80B34" w:rsidRPr="00825C68">
        <w:t xml:space="preserve"> to sustain performance</w:t>
      </w:r>
      <w:r w:rsidR="00E9069C" w:rsidRPr="00825C68">
        <w:t>.</w:t>
      </w:r>
    </w:p>
    <w:p w14:paraId="162DF907" w14:textId="17FE3C3B" w:rsidR="00A95AB5" w:rsidRPr="00A95AB5" w:rsidRDefault="001B024F" w:rsidP="005D763D">
      <w:pPr>
        <w:pStyle w:val="Bulletlevel1"/>
      </w:pPr>
      <w:r w:rsidRPr="005D763D">
        <w:rPr>
          <w:rStyle w:val="CharacterBold"/>
        </w:rPr>
        <w:t>Training, scripts, SOPs, and QRGs are control points for consistency</w:t>
      </w:r>
      <w:r w:rsidR="00EE51A7" w:rsidRPr="005D763D">
        <w:rPr>
          <w:rStyle w:val="CharacterBold"/>
        </w:rPr>
        <w:t>, compliance,</w:t>
      </w:r>
      <w:r w:rsidRPr="005D763D">
        <w:rPr>
          <w:rStyle w:val="CharacterBold"/>
        </w:rPr>
        <w:t xml:space="preserve"> and program integrity.</w:t>
      </w:r>
      <w:r w:rsidRPr="001B024F">
        <w:t xml:space="preserve"> </w:t>
      </w:r>
      <w:r w:rsidR="0036309D" w:rsidRPr="00825C68">
        <w:t>The SOW requires representatives to follow CMS-approved scripts and SOPs, recei</w:t>
      </w:r>
      <w:r w:rsidR="0079356F" w:rsidRPr="00825C68">
        <w:t>ve</w:t>
      </w:r>
      <w:r w:rsidR="0036309D" w:rsidRPr="00825C68">
        <w:t xml:space="preserve"> additional training as direction changes, and maintain </w:t>
      </w:r>
      <w:r w:rsidR="003C5484" w:rsidRPr="00825C68">
        <w:t xml:space="preserve">supporting </w:t>
      </w:r>
      <w:r w:rsidR="0036309D" w:rsidRPr="00825C68">
        <w:t>job aids and reference materials. Deloitte pair</w:t>
      </w:r>
      <w:r w:rsidR="00630A7B" w:rsidRPr="00825C68">
        <w:t>s</w:t>
      </w:r>
      <w:r w:rsidR="0036309D" w:rsidRPr="00825C68">
        <w:t xml:space="preserve"> these controls with efficient review and update processes </w:t>
      </w:r>
      <w:r w:rsidR="00A95AB5" w:rsidRPr="00825C68">
        <w:t>to keep the operation current without slowing delivery, while strengthening auditability, exception management, and prevention of process error and fraud, waste, and abuse risk</w:t>
      </w:r>
      <w:r w:rsidR="00A95AB5" w:rsidRPr="00A95AB5">
        <w:t>.</w:t>
      </w:r>
    </w:p>
    <w:p w14:paraId="411082ED" w14:textId="2D2E6281" w:rsidR="009702F9" w:rsidRPr="005D763D" w:rsidRDefault="009942F7" w:rsidP="005D763D">
      <w:pPr>
        <w:pStyle w:val="BodyText"/>
      </w:pPr>
      <w:r w:rsidRPr="005D763D">
        <w:rPr>
          <w:rStyle w:val="CharacterBold"/>
        </w:rPr>
        <w:t>I</w:t>
      </w:r>
      <w:r w:rsidR="009702F9" w:rsidRPr="005D763D">
        <w:rPr>
          <w:rStyle w:val="CharacterBold"/>
        </w:rPr>
        <w:t>mprovement engine and operational hub</w:t>
      </w:r>
      <w:r w:rsidR="009702F9" w:rsidRPr="005D763D">
        <w:t xml:space="preserve"> for the broader scope. Because it sits at the intersection of stakeholder contact, case status, recurring issues, and written communications, it </w:t>
      </w:r>
      <w:r w:rsidR="00F20F18" w:rsidRPr="005D763D">
        <w:t>provides</w:t>
      </w:r>
      <w:r w:rsidR="009702F9" w:rsidRPr="005D763D">
        <w:t xml:space="preserve"> CMS </w:t>
      </w:r>
      <w:r w:rsidR="002931EE" w:rsidRPr="005D763D">
        <w:t>with</w:t>
      </w:r>
      <w:r w:rsidR="009702F9" w:rsidRPr="005D763D">
        <w:t xml:space="preserve"> a practical mechanism to identify trends, recommend script and workflow refinements, improve stakeholder outreach</w:t>
      </w:r>
      <w:r w:rsidR="00F06EA5" w:rsidRPr="005D763D">
        <w:t xml:space="preserve"> effectiveness</w:t>
      </w:r>
      <w:r w:rsidR="009702F9" w:rsidRPr="005D763D">
        <w:t>, and inform system-support enhancements while maintaining stable day-to-day operations</w:t>
      </w:r>
      <w:r w:rsidR="0036309D" w:rsidRPr="005D763D">
        <w:t>.</w:t>
      </w:r>
    </w:p>
    <w:p w14:paraId="5DDC57AF" w14:textId="7D74441D" w:rsidR="0036309D" w:rsidRPr="005D763D" w:rsidRDefault="0036309D" w:rsidP="005D763D">
      <w:pPr>
        <w:pStyle w:val="BodyText"/>
      </w:pPr>
      <w:r w:rsidRPr="005D763D">
        <w:t xml:space="preserve">Taken together, Task 7 is best understood as an integrated contact and correspondence resolution hub with built-in improvement levers, helping CMS maintain accurate, compliant, and responsive Marketplace operations at scale for stakeholders across the country. </w:t>
      </w:r>
    </w:p>
    <w:p w14:paraId="2EE697C5" w14:textId="08E62817" w:rsidR="003C67C8" w:rsidRPr="00F45B3A" w:rsidRDefault="00214A20" w:rsidP="00F45B3A">
      <w:pPr>
        <w:pStyle w:val="Subheading1"/>
      </w:pPr>
      <w:r w:rsidRPr="00F45B3A">
        <w:t>Our Approach</w:t>
      </w:r>
    </w:p>
    <w:p w14:paraId="6D935309" w14:textId="77777777" w:rsidR="005D763D" w:rsidRPr="005D763D" w:rsidRDefault="00540A35" w:rsidP="005D763D">
      <w:pPr>
        <w:pStyle w:val="Subheading1"/>
      </w:pPr>
      <w:r w:rsidRPr="005D763D">
        <w:t>Positioning</w:t>
      </w:r>
    </w:p>
    <w:p w14:paraId="73E20146" w14:textId="33DAD7BE" w:rsidR="00FD35AC" w:rsidRDefault="0036309D" w:rsidP="005D763D">
      <w:pPr>
        <w:pStyle w:val="BodyText"/>
      </w:pPr>
      <w:r w:rsidRPr="00F45B3A">
        <w:t xml:space="preserve">Deloitte will provide a connected, integrated, and CMS-compliant multi-channel stakeholder support operation that accelerates resolution, improves stakeholder experience, and embeds program integrity into every interaction. </w:t>
      </w:r>
      <w:r w:rsidR="00FD35AC" w:rsidRPr="00F45B3A">
        <w:t>Calls</w:t>
      </w:r>
      <w:r w:rsidRPr="00F45B3A">
        <w:t xml:space="preserve">, voicemails, emails, written correspondence, and follow-up actions </w:t>
      </w:r>
      <w:r w:rsidR="00FD35AC" w:rsidRPr="00F45B3A">
        <w:t xml:space="preserve">will </w:t>
      </w:r>
      <w:r w:rsidRPr="00F45B3A">
        <w:t>contribute to one coordinated resolution path</w:t>
      </w:r>
      <w:r w:rsidR="00FD35AC" w:rsidRPr="00F45B3A">
        <w:t xml:space="preserve">, while </w:t>
      </w:r>
      <w:r w:rsidR="00533905" w:rsidRPr="00F45B3A">
        <w:t>Task 7 serves as connective tissue across written correspondence, CMS-provided case systems, SOP and QA governance, issuer coordination, Exchange Call Center interactions, and special-project support under the broader SOW</w:t>
      </w:r>
      <w:r w:rsidR="00FD35AC" w:rsidRPr="00F45B3A">
        <w:t>.</w:t>
      </w:r>
    </w:p>
    <w:p w14:paraId="70346DDA" w14:textId="5ABE7AA3" w:rsidR="0021148E" w:rsidRPr="005D763D" w:rsidRDefault="0021148E" w:rsidP="005D763D">
      <w:pPr>
        <w:pStyle w:val="BodyText"/>
      </w:pPr>
      <w:r w:rsidRPr="005D763D">
        <w:t>Task 7 will be delivered through a controlled, closed</w:t>
      </w:r>
      <w:r w:rsidRPr="005D763D">
        <w:rPr>
          <w:rFonts w:ascii="Cambria Math" w:hAnsi="Cambria Math" w:cs="Cambria Math"/>
        </w:rPr>
        <w:t>‑</w:t>
      </w:r>
      <w:r w:rsidRPr="005D763D">
        <w:t>loop resolution model that (1) governs stakeholder contact through CMS</w:t>
      </w:r>
      <w:r w:rsidRPr="005D763D">
        <w:rPr>
          <w:rFonts w:ascii="Cambria Math" w:hAnsi="Cambria Math" w:cs="Cambria Math"/>
        </w:rPr>
        <w:t>‑</w:t>
      </w:r>
      <w:r w:rsidRPr="005D763D">
        <w:t>approved scripts and workflows, (2) integrates multi</w:t>
      </w:r>
      <w:r w:rsidRPr="005D763D">
        <w:rPr>
          <w:rFonts w:ascii="Cambria Math" w:hAnsi="Cambria Math" w:cs="Cambria Math"/>
        </w:rPr>
        <w:t>‑</w:t>
      </w:r>
      <w:r w:rsidRPr="005D763D">
        <w:t>channel interactions into a single, traceable case flow, and (3) uses operational insight to inform continuous, CMS</w:t>
      </w:r>
      <w:r w:rsidRPr="005D763D">
        <w:rPr>
          <w:rFonts w:ascii="Cambria Math" w:hAnsi="Cambria Math" w:cs="Cambria Math"/>
        </w:rPr>
        <w:t>‑</w:t>
      </w:r>
      <w:r w:rsidRPr="005D763D">
        <w:t>aligned improvement.</w:t>
      </w:r>
    </w:p>
    <w:p w14:paraId="78A09CC6" w14:textId="6486B5E7" w:rsidR="008104BC" w:rsidRPr="008104BC" w:rsidRDefault="00EF6AFB" w:rsidP="008B5695">
      <w:pPr>
        <w:pStyle w:val="BodyText"/>
        <w:spacing w:after="120"/>
        <w:rPr>
          <w:b/>
        </w:rPr>
      </w:pPr>
      <w:r w:rsidRPr="008B5695">
        <w:rPr>
          <w:rStyle w:val="CharacterBold"/>
        </w:rPr>
        <w:t xml:space="preserve">1. </w:t>
      </w:r>
      <w:r w:rsidR="008104BC" w:rsidRPr="008B5695">
        <w:rPr>
          <w:b/>
        </w:rPr>
        <w:t xml:space="preserve">Operate </w:t>
      </w:r>
      <w:r w:rsidR="008104BC" w:rsidRPr="008104BC">
        <w:rPr>
          <w:b/>
        </w:rPr>
        <w:t>as a stakeholder-based resolution function</w:t>
      </w:r>
    </w:p>
    <w:p w14:paraId="684C76F6" w14:textId="08F445F1" w:rsidR="004E7BE1" w:rsidRPr="005D763D" w:rsidRDefault="008104BC" w:rsidP="005D763D">
      <w:pPr>
        <w:pStyle w:val="BodyText"/>
      </w:pPr>
      <w:r w:rsidRPr="005D763D">
        <w:lastRenderedPageBreak/>
        <w:t>We will organize Task 7 by stakeholder and case type, not just by channel, because consumers, issuers, FFE staff, SBEs, and related partners bring different questions, dependencies, documentation standards, escalation paths, and sensitivities. That stakeholder-aware model will allow Deloitte to tailor triage, routing, outreach, and communications while maintaining consistent controls across the operation</w:t>
      </w:r>
      <w:r w:rsidR="00ED6B9B" w:rsidRPr="005D763D">
        <w:t>.</w:t>
      </w:r>
    </w:p>
    <w:p w14:paraId="4039DD35" w14:textId="77777777" w:rsidR="00ED6B9B" w:rsidRPr="000F5AC7" w:rsidRDefault="008104BC" w:rsidP="000F5AC7">
      <w:pPr>
        <w:pStyle w:val="BodyText"/>
        <w:rPr>
          <w:b/>
        </w:rPr>
      </w:pPr>
      <w:r w:rsidRPr="000F5AC7">
        <w:rPr>
          <w:rStyle w:val="CharacterBold"/>
        </w:rPr>
        <w:t>2. Run a unified multi-channel workflow with closed-loop case visibility</w:t>
      </w:r>
    </w:p>
    <w:p w14:paraId="4B3994A9" w14:textId="5A7FA69A" w:rsidR="004E7BE1" w:rsidRPr="005D763D" w:rsidRDefault="008104BC" w:rsidP="005D763D">
      <w:pPr>
        <w:pStyle w:val="BodyText"/>
      </w:pPr>
      <w:r w:rsidRPr="005D763D">
        <w:t xml:space="preserve">We will integrate inbound calls, outbound calls, voicemail, issuer email support, and written correspondence so each touch advances resolution and contributes to one traceable case history. Interactions will be documented in </w:t>
      </w:r>
      <w:r w:rsidR="00443C59" w:rsidRPr="005D763D">
        <w:t>CERR</w:t>
      </w:r>
      <w:r w:rsidR="00393181" w:rsidRPr="005D763D">
        <w:t>S</w:t>
      </w:r>
      <w:r w:rsidRPr="005D763D">
        <w:t xml:space="preserve"> to support case status visibility, downstream processing, formal actions, and </w:t>
      </w:r>
      <w:r w:rsidR="00C347CE" w:rsidRPr="005D763D">
        <w:t xml:space="preserve">stakeholder </w:t>
      </w:r>
      <w:r w:rsidRPr="005D763D">
        <w:t>communications</w:t>
      </w:r>
      <w:r w:rsidR="00C347CE" w:rsidRPr="005D763D">
        <w:t>.</w:t>
      </w:r>
      <w:r w:rsidR="00EE7D8F" w:rsidRPr="005D763D">
        <w:t xml:space="preserve"> This closed-loop model supports Task 6 written correspondence, Task 8 system-enabled case research and tracking, Task 9 SOP and QA governance, and Task 10 helpdesk and special-project activities. In all telephone and correspondence support, Deloitte will follow CMS-approved SOPs and use </w:t>
      </w:r>
      <w:r w:rsidR="00DB6DD3" w:rsidRPr="005D763D">
        <w:t>CERRS</w:t>
      </w:r>
      <w:r w:rsidR="00393181" w:rsidRPr="005D763D">
        <w:t xml:space="preserve"> and </w:t>
      </w:r>
      <w:r w:rsidR="00667EB1" w:rsidRPr="005D763D">
        <w:t>integrated systems</w:t>
      </w:r>
      <w:r w:rsidR="00EE7D8F" w:rsidRPr="005D763D">
        <w:t xml:space="preserve"> to record communications, generate responses, and trigger formal decisions or planned actions so correspondence remains current, accurate, traceable, and governance-aligned.</w:t>
      </w:r>
    </w:p>
    <w:p w14:paraId="3CE0DA93" w14:textId="77777777" w:rsidR="008104BC" w:rsidRPr="008104BC" w:rsidRDefault="008104BC" w:rsidP="001F6229">
      <w:pPr>
        <w:pStyle w:val="BodyText"/>
        <w:rPr>
          <w:b/>
        </w:rPr>
      </w:pPr>
      <w:r w:rsidRPr="001F6229">
        <w:rPr>
          <w:rStyle w:val="CharacterBold"/>
        </w:rPr>
        <w:t>3. Use outbound support proactively to improve speed, efficiency, and experience</w:t>
      </w:r>
    </w:p>
    <w:p w14:paraId="75F4EFED" w14:textId="010EFC4E" w:rsidR="004E7BE1" w:rsidRPr="005D763D" w:rsidRDefault="008104BC" w:rsidP="005D763D">
      <w:pPr>
        <w:pStyle w:val="BodyText"/>
      </w:pPr>
      <w:r w:rsidRPr="005D763D">
        <w:t>We will treat outbound support as a proactive resolution lever, not just reactive follow-up. When live outreach can resolve missing information, confirm next steps, reduce back-and-forth, or unblock a case faster than written exchanges alone, Deloitte will prioritize outbound calls to reduce overall effort across consumers, issuers, CMS, and partner organizations while improving speed to closure and stakeholder experienc</w:t>
      </w:r>
      <w:r w:rsidR="00ED6B9B" w:rsidRPr="005D763D">
        <w:t>e.</w:t>
      </w:r>
    </w:p>
    <w:p w14:paraId="15BF390E" w14:textId="77777777" w:rsidR="008104BC" w:rsidRPr="008104BC" w:rsidRDefault="008104BC" w:rsidP="001F6229">
      <w:pPr>
        <w:pStyle w:val="BodyText"/>
        <w:rPr>
          <w:b/>
        </w:rPr>
      </w:pPr>
      <w:r w:rsidRPr="001F6229">
        <w:rPr>
          <w:rStyle w:val="CharacterBold"/>
        </w:rPr>
        <w:t>4. Manage voicemail as an SLA-driven workflow with AI-assisted triage opportunities</w:t>
      </w:r>
    </w:p>
    <w:p w14:paraId="66E39752" w14:textId="29760CC0" w:rsidR="00897913" w:rsidRPr="008104BC" w:rsidRDefault="008104BC" w:rsidP="001F6229">
      <w:pPr>
        <w:pStyle w:val="BodyText"/>
      </w:pPr>
      <w:r w:rsidRPr="008104BC">
        <w:t xml:space="preserve">We will manage voicemail as an active intake and follow-up queue with clear ownership, age tracking, prioritization, and one-business-day response compliance. Where approved by CMS, Deloitte </w:t>
      </w:r>
      <w:r w:rsidR="00897913" w:rsidRPr="00897913">
        <w:t>may</w:t>
      </w:r>
      <w:r w:rsidRPr="008104BC">
        <w:t xml:space="preserve"> apply </w:t>
      </w:r>
      <w:r w:rsidR="00897913" w:rsidRPr="00897913">
        <w:t>approved automation capabilities, such as</w:t>
      </w:r>
      <w:r w:rsidRPr="008104BC">
        <w:t xml:space="preserve"> transcription</w:t>
      </w:r>
      <w:r w:rsidR="00897913" w:rsidRPr="00897913">
        <w:t xml:space="preserve"> and </w:t>
      </w:r>
      <w:r w:rsidRPr="008104BC">
        <w:t>categorization, to help staff route messages faster, identify urgent or complex issues sooner, and improve responsiveness while preserving human oversight</w:t>
      </w:r>
      <w:r w:rsidR="00897913" w:rsidRPr="00897913">
        <w:t xml:space="preserve"> and </w:t>
      </w:r>
      <w:r w:rsidRPr="008104BC">
        <w:t>script compliance</w:t>
      </w:r>
      <w:r w:rsidR="00897913" w:rsidRPr="00897913">
        <w:t>.</w:t>
      </w:r>
    </w:p>
    <w:p w14:paraId="69D5198B" w14:textId="77777777" w:rsidR="008104BC" w:rsidRPr="008104BC" w:rsidRDefault="008104BC" w:rsidP="001F6229">
      <w:pPr>
        <w:pStyle w:val="BodyText"/>
        <w:rPr>
          <w:b/>
        </w:rPr>
      </w:pPr>
      <w:r w:rsidRPr="001F6229">
        <w:rPr>
          <w:rStyle w:val="CharacterBold"/>
        </w:rPr>
        <w:t>5. Deliver a distinct issuer-support operating lane</w:t>
      </w:r>
    </w:p>
    <w:p w14:paraId="5D62023A" w14:textId="1ECAE81A" w:rsidR="004E7BE1" w:rsidRPr="005D763D" w:rsidRDefault="008104BC" w:rsidP="001F6229">
      <w:pPr>
        <w:pStyle w:val="BodyText"/>
        <w:rPr>
          <w:rStyle w:val="CharacterBold"/>
          <w:b w:val="0"/>
        </w:rPr>
      </w:pPr>
      <w:r w:rsidRPr="008104BC">
        <w:t>We will provide a dedicated issuer-support workflow through the ER&amp;R Support Center for issuer calls and emails, documentation in Enrollment Community, coordinated mass issuer communications, and support for testing and recommending technical enhancements that improve Enrollment Data Alignment. This will help CMS address issuer needs with greater consistency, speed, and operational visibility</w:t>
      </w:r>
      <w:r w:rsidR="00ED6B9B">
        <w:t>.</w:t>
      </w:r>
    </w:p>
    <w:p w14:paraId="09C72238" w14:textId="77777777" w:rsidR="008104BC" w:rsidRPr="008104BC" w:rsidRDefault="008104BC" w:rsidP="001F6229">
      <w:pPr>
        <w:pStyle w:val="BodyText"/>
        <w:rPr>
          <w:b/>
        </w:rPr>
      </w:pPr>
      <w:r w:rsidRPr="001F6229">
        <w:rPr>
          <w:rStyle w:val="CharacterBold"/>
        </w:rPr>
        <w:t>6. Embed WFM, QA, training, and knowledge management into daily delivery</w:t>
      </w:r>
    </w:p>
    <w:p w14:paraId="133B0F39" w14:textId="3AD4F883" w:rsidR="004E7BE1" w:rsidRPr="008104BC" w:rsidRDefault="008104BC" w:rsidP="001F6229">
      <w:pPr>
        <w:pStyle w:val="BodyText"/>
      </w:pPr>
      <w:r w:rsidRPr="008104BC">
        <w:t xml:space="preserve">We will use WFM to forecast demand, align staffing to seasonal and intraday volume patterns, and maintain service continuity as volumes rise and fall. We will use QA to monitor call quality, script adherence, documentation accuracy, and stakeholder experience. We will use training and knowledge management to keep representatives current on Exchange policy, enrollment and eligibility processes, </w:t>
      </w:r>
      <w:r w:rsidRPr="008104BC">
        <w:lastRenderedPageBreak/>
        <w:t>script changes, SOP updates, and improvement actions so support remains consistent and compliant over time</w:t>
      </w:r>
      <w:r w:rsidR="00ED6B9B">
        <w:t>.</w:t>
      </w:r>
    </w:p>
    <w:p w14:paraId="224EBB7D" w14:textId="77777777" w:rsidR="008104BC" w:rsidRPr="008104BC" w:rsidRDefault="008104BC" w:rsidP="001F6229">
      <w:pPr>
        <w:pStyle w:val="BodyText"/>
        <w:rPr>
          <w:b/>
        </w:rPr>
      </w:pPr>
      <w:r w:rsidRPr="001F6229">
        <w:rPr>
          <w:rStyle w:val="CharacterBold"/>
        </w:rPr>
        <w:t>7. Coordinate handoffs across the Marketplace ecosystem</w:t>
      </w:r>
    </w:p>
    <w:p w14:paraId="498DD12F" w14:textId="21CA299C" w:rsidR="004E7BE1" w:rsidRPr="008104BC" w:rsidRDefault="008104BC" w:rsidP="001F6229">
      <w:pPr>
        <w:pStyle w:val="BodyText"/>
      </w:pPr>
      <w:r w:rsidRPr="008104BC">
        <w:t>We will manage a handoff-heavy operating environment with explicit ownership, standard transfer points, escalation triggers, and shared status visibility across CMS, issuers, states, SBEs, the Exchange Call Center, and related contractors. This will reduce rework, shorten cycle times, and lower the risk of dropped transfers or inconsistent stakeholder guidance</w:t>
      </w:r>
      <w:r w:rsidR="00ED6B9B">
        <w:t>.</w:t>
      </w:r>
      <w:r w:rsidR="00C512BA">
        <w:t xml:space="preserve"> </w:t>
      </w:r>
      <w:r w:rsidR="00B70E26" w:rsidRPr="00B70E26">
        <w:t>This</w:t>
      </w:r>
      <w:r w:rsidR="00C512BA" w:rsidRPr="00C512BA">
        <w:t xml:space="preserve"> model also supports casework originating in other tasks, where issuer disputes, Form 1095-A consumer disputes, complex case referrals, FFE updates, and ad hoc stakeholder needs require coordinated contact, follow-up, and documented status communication.</w:t>
      </w:r>
    </w:p>
    <w:p w14:paraId="391A8D9B" w14:textId="77777777" w:rsidR="008104BC" w:rsidRPr="008104BC" w:rsidRDefault="008104BC" w:rsidP="001F6229">
      <w:pPr>
        <w:pStyle w:val="BodyText"/>
        <w:rPr>
          <w:b/>
        </w:rPr>
      </w:pPr>
      <w:r w:rsidRPr="001F6229">
        <w:rPr>
          <w:rStyle w:val="CharacterBold"/>
        </w:rPr>
        <w:t>8. Pair operations with continuous improvement</w:t>
      </w:r>
    </w:p>
    <w:p w14:paraId="433745C5" w14:textId="3C7C3315" w:rsidR="004E7BE1" w:rsidRPr="008104BC" w:rsidRDefault="008104BC" w:rsidP="005D763D">
      <w:pPr>
        <w:pStyle w:val="BodyText"/>
      </w:pPr>
      <w:r w:rsidRPr="008104BC">
        <w:t>Using trends from calls, voicemails, issuer inquiries, escalations, and case activity, Deloitte will help CMS identify recurring pain points, recommend script updates, propose workflow refinements, and support practical system and process improvements. We will treat Task 7 as both a service-delivery function and a source of insight to improve Marketplace operations over time</w:t>
      </w:r>
      <w:r w:rsidR="00ED6B9B">
        <w:t>.</w:t>
      </w:r>
    </w:p>
    <w:p w14:paraId="18DC9EEF" w14:textId="0A25769A" w:rsidR="008104BC" w:rsidRPr="00806D2C" w:rsidRDefault="00806D2C" w:rsidP="005D763D">
      <w:pPr>
        <w:pStyle w:val="Subheading1"/>
        <w:rPr>
          <w:b w:val="0"/>
        </w:rPr>
      </w:pPr>
      <w:commentRangeStart w:id="59"/>
      <w:commentRangeStart w:id="60"/>
      <w:r w:rsidRPr="005D763D">
        <w:t>Stakeholder-based operating model</w:t>
      </w:r>
      <w:commentRangeEnd w:id="59"/>
      <w:r w:rsidR="00E72CE8" w:rsidRPr="00806D2C">
        <w:rPr>
          <w:rStyle w:val="CommentReference"/>
          <w:b w:val="0"/>
          <w:sz w:val="24"/>
          <w:szCs w:val="22"/>
        </w:rPr>
        <w:commentReference w:id="59"/>
      </w:r>
      <w:commentRangeEnd w:id="60"/>
      <w:r w:rsidRPr="00806D2C">
        <w:rPr>
          <w:rStyle w:val="CommentReference"/>
          <w:b w:val="0"/>
          <w:sz w:val="24"/>
          <w:szCs w:val="22"/>
        </w:rPr>
        <w:commentReference w:id="60"/>
      </w:r>
    </w:p>
    <w:p w14:paraId="06CD3736" w14:textId="126B5606" w:rsidR="004B7925" w:rsidRPr="004B7925" w:rsidRDefault="004B7925" w:rsidP="00F23ABD">
      <w:pPr>
        <w:pStyle w:val="Bulletlevel1"/>
      </w:pPr>
      <w:r w:rsidRPr="004B7925">
        <w:rPr>
          <w:b/>
          <w:bCs/>
        </w:rPr>
        <w:t xml:space="preserve">Consumers: </w:t>
      </w:r>
      <w:r w:rsidRPr="004B7925">
        <w:t>plain-language support, efficient follow-up, sensitivity to complex eligibility and enrollment issues, surge readiness for dispute periods and seasonal spikes</w:t>
      </w:r>
      <w:r w:rsidR="00E72CE8">
        <w:t>.</w:t>
      </w:r>
    </w:p>
    <w:p w14:paraId="09CBD50B" w14:textId="38ED4869" w:rsidR="004B7925" w:rsidRPr="004B7925" w:rsidRDefault="004B7925" w:rsidP="00F23ABD">
      <w:pPr>
        <w:pStyle w:val="Bulletlevel1"/>
      </w:pPr>
      <w:r w:rsidRPr="004B7925">
        <w:rPr>
          <w:b/>
          <w:bCs/>
        </w:rPr>
        <w:t xml:space="preserve">Issuers: </w:t>
      </w:r>
      <w:r w:rsidR="000D1764">
        <w:rPr>
          <w:b/>
          <w:bCs/>
        </w:rPr>
        <w:t xml:space="preserve"> </w:t>
      </w:r>
      <w:r w:rsidR="000D1764" w:rsidRPr="000D1764">
        <w:t>O</w:t>
      </w:r>
      <w:r w:rsidRPr="000D1764">
        <w:t xml:space="preserve">perationally </w:t>
      </w:r>
      <w:r w:rsidRPr="004B7925">
        <w:t>precise coordination, documented communications, targeted outreach, issue pattern analysis, and collective communications where recurring issues emerge</w:t>
      </w:r>
      <w:r w:rsidR="00E72CE8">
        <w:t>.</w:t>
      </w:r>
    </w:p>
    <w:p w14:paraId="6BB8CE96" w14:textId="7498315F" w:rsidR="004B7925" w:rsidRPr="004B7925" w:rsidRDefault="004B7925" w:rsidP="00F23ABD">
      <w:pPr>
        <w:pStyle w:val="Bulletlevel1"/>
      </w:pPr>
      <w:r w:rsidRPr="004B7925">
        <w:rPr>
          <w:b/>
          <w:bCs/>
        </w:rPr>
        <w:t xml:space="preserve">FFE staff / CMS partners: </w:t>
      </w:r>
      <w:r w:rsidRPr="004B7925">
        <w:t>escalation discipline, status visibility, clear transfers, and timely follow-through</w:t>
      </w:r>
      <w:r w:rsidR="00E72CE8">
        <w:t>.</w:t>
      </w:r>
    </w:p>
    <w:p w14:paraId="2BDA52E8" w14:textId="469B0F10" w:rsidR="004B7925" w:rsidRPr="004B7925" w:rsidRDefault="004B7925" w:rsidP="00F23ABD">
      <w:pPr>
        <w:pStyle w:val="Bulletlevel1"/>
      </w:pPr>
      <w:r w:rsidRPr="004B7925">
        <w:rPr>
          <w:b/>
          <w:bCs/>
        </w:rPr>
        <w:t>SBEs / state partners / related contractors</w:t>
      </w:r>
      <w:r>
        <w:t>:</w:t>
      </w:r>
      <w:r w:rsidRPr="004B7925">
        <w:t xml:space="preserve"> coordination across different resolution paths, documented interactions, and dependable turnaroun</w:t>
      </w:r>
      <w:r w:rsidR="00E72CE8">
        <w:t>d.</w:t>
      </w:r>
    </w:p>
    <w:p w14:paraId="0A64ED26" w14:textId="35424CAE" w:rsidR="008104BC" w:rsidRPr="004E7BE1" w:rsidRDefault="004B7925" w:rsidP="00F23ABD">
      <w:pPr>
        <w:pStyle w:val="Bulletlevel1"/>
      </w:pPr>
      <w:r w:rsidRPr="004B7925">
        <w:rPr>
          <w:b/>
          <w:bCs/>
        </w:rPr>
        <w:t xml:space="preserve">Employer-related stakeholders under Task 10: </w:t>
      </w:r>
      <w:r w:rsidRPr="004B7925">
        <w:t>call-center support, script-governed inquiries, transfers, triage, and recurring reporting</w:t>
      </w:r>
      <w:r>
        <w:t>.</w:t>
      </w:r>
    </w:p>
    <w:p w14:paraId="1BABF67C" w14:textId="77777777" w:rsidR="00753C8C" w:rsidRPr="00753C8C" w:rsidRDefault="00753C8C" w:rsidP="005D763D">
      <w:pPr>
        <w:pStyle w:val="Subheading1"/>
      </w:pPr>
      <w:r w:rsidRPr="00753C8C">
        <w:t>Key differentiators</w:t>
      </w:r>
    </w:p>
    <w:p w14:paraId="7083A5A5" w14:textId="3E6FA78C" w:rsidR="008A2CD3" w:rsidRPr="008A2CD3" w:rsidRDefault="008A2CD3" w:rsidP="00F23ABD">
      <w:pPr>
        <w:pStyle w:val="Bulletlevel1"/>
      </w:pPr>
      <w:r w:rsidRPr="008A2CD3">
        <w:rPr>
          <w:b/>
          <w:bCs/>
        </w:rPr>
        <w:t>Multi-stakeholder support model</w:t>
      </w:r>
      <w:r w:rsidRPr="008A2CD3">
        <w:t xml:space="preserve"> tailored to the Marketplace ecosystem, not generic queue management</w:t>
      </w:r>
      <w:r>
        <w:t>.</w:t>
      </w:r>
    </w:p>
    <w:p w14:paraId="0576A4C7" w14:textId="5E9FAEE9" w:rsidR="008A2CD3" w:rsidRPr="008A2CD3" w:rsidRDefault="008A2CD3" w:rsidP="00F23ABD">
      <w:pPr>
        <w:pStyle w:val="Bulletlevel1"/>
      </w:pPr>
      <w:r w:rsidRPr="008A2CD3">
        <w:rPr>
          <w:b/>
          <w:bCs/>
        </w:rPr>
        <w:t>Proactive outbound resolution</w:t>
      </w:r>
      <w:r w:rsidRPr="008A2CD3">
        <w:t xml:space="preserve"> used to reduce cycle time, repeat contacts, and stakeholder burden</w:t>
      </w:r>
      <w:r>
        <w:t>.</w:t>
      </w:r>
    </w:p>
    <w:p w14:paraId="339C2742" w14:textId="1FC973CE" w:rsidR="008A2CD3" w:rsidRPr="008A2CD3" w:rsidRDefault="008A2CD3" w:rsidP="00F23ABD">
      <w:pPr>
        <w:pStyle w:val="Bulletlevel1"/>
      </w:pPr>
      <w:r w:rsidRPr="008A2CD3">
        <w:rPr>
          <w:b/>
          <w:bCs/>
        </w:rPr>
        <w:t>Unified contact and correspondence workflow</w:t>
      </w:r>
      <w:r w:rsidRPr="008A2CD3">
        <w:t xml:space="preserve"> with full documentation and auditability</w:t>
      </w:r>
      <w:r>
        <w:t>.</w:t>
      </w:r>
    </w:p>
    <w:p w14:paraId="089AD4F7" w14:textId="730CBC77" w:rsidR="008A2CD3" w:rsidRPr="008A2CD3" w:rsidRDefault="008A2CD3" w:rsidP="00F23ABD">
      <w:pPr>
        <w:pStyle w:val="Bulletlevel1"/>
      </w:pPr>
      <w:r w:rsidRPr="008A2CD3">
        <w:rPr>
          <w:b/>
          <w:bCs/>
        </w:rPr>
        <w:t>Formal script, SOP, QA, and training governance</w:t>
      </w:r>
      <w:r w:rsidRPr="008A2CD3">
        <w:t xml:space="preserve"> tied to CMS-approved processes</w:t>
      </w:r>
      <w:r>
        <w:t>.</w:t>
      </w:r>
    </w:p>
    <w:p w14:paraId="197F6F53" w14:textId="4E92C706" w:rsidR="004E7BE1" w:rsidRPr="00F23ABD" w:rsidRDefault="008A2CD3" w:rsidP="00F23ABD">
      <w:pPr>
        <w:pStyle w:val="Bulletlevel1"/>
      </w:pPr>
      <w:r w:rsidRPr="008A2CD3">
        <w:rPr>
          <w:b/>
          <w:bCs/>
        </w:rPr>
        <w:t>Continuous-improvement engine</w:t>
      </w:r>
      <w:r w:rsidRPr="008A2CD3">
        <w:t xml:space="preserve"> that turns contact trends into better scripts, communications, and workflows</w:t>
      </w:r>
      <w:r>
        <w:t>.</w:t>
      </w:r>
    </w:p>
    <w:p w14:paraId="49C9197E" w14:textId="3EC7F6C1" w:rsidR="008A2CD3" w:rsidRDefault="007F098A" w:rsidP="00F23ABD">
      <w:pPr>
        <w:pStyle w:val="Subheading1"/>
        <w:rPr>
          <w:b w:val="0"/>
        </w:rPr>
      </w:pPr>
      <w:r w:rsidRPr="007F098A">
        <w:t>Illustrative metrics aligned to SOW reporting and KPI expectations</w:t>
      </w:r>
      <w:r w:rsidR="004E7BE1">
        <w:t>.</w:t>
      </w:r>
      <w:commentRangeStart w:id="61"/>
      <w:commentRangeStart w:id="62"/>
      <w:commentRangeEnd w:id="61"/>
      <w:r w:rsidR="004E7BE1">
        <w:rPr>
          <w:rStyle w:val="CommentReference"/>
          <w:b w:val="0"/>
          <w:sz w:val="24"/>
          <w:szCs w:val="22"/>
        </w:rPr>
        <w:commentReference w:id="61"/>
      </w:r>
      <w:commentRangeEnd w:id="62"/>
      <w:r>
        <w:rPr>
          <w:rStyle w:val="CommentReference"/>
          <w:b w:val="0"/>
          <w:sz w:val="24"/>
          <w:szCs w:val="22"/>
        </w:rPr>
        <w:commentReference w:id="62"/>
      </w:r>
    </w:p>
    <w:p w14:paraId="3A4A55B9" w14:textId="0478325A" w:rsidR="004E7BE1" w:rsidRPr="004E7BE1" w:rsidRDefault="004E7BE1" w:rsidP="004E7BE1">
      <w:pPr>
        <w:spacing w:after="0"/>
        <w:rPr>
          <w:rFonts w:ascii="Arial Narrow" w:hAnsi="Arial Narrow"/>
          <w:b/>
          <w:bCs/>
        </w:rPr>
      </w:pPr>
      <w:r>
        <w:rPr>
          <w:rFonts w:ascii="Arial Narrow" w:hAnsi="Arial Narrow"/>
          <w:b/>
          <w:bCs/>
        </w:rPr>
        <w:t>A</w:t>
      </w:r>
      <w:r w:rsidRPr="004E7BE1">
        <w:rPr>
          <w:rFonts w:ascii="Arial Narrow" w:hAnsi="Arial Narrow"/>
          <w:b/>
          <w:bCs/>
        </w:rPr>
        <w:t>ccess and responsiveness</w:t>
      </w:r>
    </w:p>
    <w:p w14:paraId="50C76AC1" w14:textId="77777777" w:rsidR="004E7BE1" w:rsidRPr="004E7BE1" w:rsidRDefault="004E7BE1" w:rsidP="00A557DC">
      <w:pPr>
        <w:pStyle w:val="Bulletlevel1"/>
      </w:pPr>
      <w:r w:rsidRPr="004E7BE1">
        <w:t>Speed to answer</w:t>
      </w:r>
    </w:p>
    <w:p w14:paraId="0D575212" w14:textId="77777777" w:rsidR="004E7BE1" w:rsidRPr="004E7BE1" w:rsidRDefault="004E7BE1" w:rsidP="00A557DC">
      <w:pPr>
        <w:pStyle w:val="Bulletlevel1"/>
      </w:pPr>
      <w:r w:rsidRPr="004E7BE1">
        <w:t>Abandon rate</w:t>
      </w:r>
    </w:p>
    <w:p w14:paraId="69F43BDA" w14:textId="77777777" w:rsidR="004E7BE1" w:rsidRPr="004E7BE1" w:rsidRDefault="004E7BE1" w:rsidP="00A557DC">
      <w:pPr>
        <w:pStyle w:val="Bulletlevel1"/>
      </w:pPr>
      <w:r w:rsidRPr="004E7BE1">
        <w:t>Voicemail response timeliness</w:t>
      </w:r>
    </w:p>
    <w:p w14:paraId="59A906B1" w14:textId="77777777" w:rsidR="004E7BE1" w:rsidRPr="004E7BE1" w:rsidRDefault="004E7BE1" w:rsidP="00A557DC">
      <w:pPr>
        <w:pStyle w:val="Bulletlevel1"/>
      </w:pPr>
      <w:r w:rsidRPr="004E7BE1">
        <w:t>Service level</w:t>
      </w:r>
    </w:p>
    <w:p w14:paraId="44728EBD" w14:textId="77777777" w:rsidR="004E7BE1" w:rsidRPr="004E7BE1" w:rsidRDefault="004E7BE1" w:rsidP="004E7BE1">
      <w:pPr>
        <w:spacing w:after="0"/>
        <w:rPr>
          <w:rFonts w:ascii="Arial Narrow" w:hAnsi="Arial Narrow"/>
          <w:b/>
          <w:bCs/>
        </w:rPr>
      </w:pPr>
      <w:r w:rsidRPr="004E7BE1">
        <w:rPr>
          <w:rFonts w:ascii="Arial Narrow" w:hAnsi="Arial Narrow"/>
          <w:b/>
          <w:bCs/>
        </w:rPr>
        <w:lastRenderedPageBreak/>
        <w:t>Resolution</w:t>
      </w:r>
    </w:p>
    <w:p w14:paraId="79DACBB6" w14:textId="77777777" w:rsidR="004E7BE1" w:rsidRPr="004E7BE1" w:rsidRDefault="004E7BE1" w:rsidP="00A557DC">
      <w:pPr>
        <w:pStyle w:val="Bulletlevel1"/>
      </w:pPr>
      <w:r w:rsidRPr="004E7BE1">
        <w:t>First-contact resolution</w:t>
      </w:r>
    </w:p>
    <w:p w14:paraId="59C60A43" w14:textId="77777777" w:rsidR="004E7BE1" w:rsidRPr="004E7BE1" w:rsidRDefault="004E7BE1" w:rsidP="00A557DC">
      <w:pPr>
        <w:pStyle w:val="Bulletlevel1"/>
      </w:pPr>
      <w:r w:rsidRPr="004E7BE1">
        <w:t>Average days to case closure</w:t>
      </w:r>
    </w:p>
    <w:p w14:paraId="1D84A401" w14:textId="77777777" w:rsidR="004E7BE1" w:rsidRPr="004E7BE1" w:rsidRDefault="004E7BE1" w:rsidP="00A557DC">
      <w:pPr>
        <w:pStyle w:val="Bulletlevel1"/>
      </w:pPr>
      <w:r w:rsidRPr="004E7BE1">
        <w:t>Aging backlog by stakeholder and issue type</w:t>
      </w:r>
    </w:p>
    <w:p w14:paraId="049470EA" w14:textId="77777777" w:rsidR="004E7BE1" w:rsidRPr="004E7BE1" w:rsidRDefault="004E7BE1" w:rsidP="00A557DC">
      <w:pPr>
        <w:pStyle w:val="Bulletlevel1"/>
      </w:pPr>
      <w:r w:rsidRPr="004E7BE1">
        <w:t>Outbound contact success rate</w:t>
      </w:r>
    </w:p>
    <w:p w14:paraId="4DBC7D79" w14:textId="77777777" w:rsidR="004E7BE1" w:rsidRPr="004E7BE1" w:rsidRDefault="004E7BE1" w:rsidP="004E7BE1">
      <w:pPr>
        <w:spacing w:after="0"/>
        <w:rPr>
          <w:rFonts w:ascii="Arial Narrow" w:hAnsi="Arial Narrow"/>
          <w:b/>
          <w:bCs/>
        </w:rPr>
      </w:pPr>
      <w:r w:rsidRPr="004E7BE1">
        <w:rPr>
          <w:rFonts w:ascii="Arial Narrow" w:hAnsi="Arial Narrow"/>
          <w:b/>
          <w:bCs/>
        </w:rPr>
        <w:t>Quality and compliance</w:t>
      </w:r>
    </w:p>
    <w:p w14:paraId="53267B33" w14:textId="77777777" w:rsidR="004E7BE1" w:rsidRPr="004E7BE1" w:rsidRDefault="004E7BE1" w:rsidP="00A557DC">
      <w:pPr>
        <w:pStyle w:val="Bulletlevel1"/>
      </w:pPr>
      <w:r w:rsidRPr="004E7BE1">
        <w:t>QA accuracy</w:t>
      </w:r>
    </w:p>
    <w:p w14:paraId="0651311E" w14:textId="77777777" w:rsidR="004E7BE1" w:rsidRPr="004E7BE1" w:rsidRDefault="004E7BE1" w:rsidP="00A557DC">
      <w:pPr>
        <w:pStyle w:val="Bulletlevel1"/>
      </w:pPr>
      <w:r w:rsidRPr="004E7BE1">
        <w:t>Script adherence</w:t>
      </w:r>
    </w:p>
    <w:p w14:paraId="73D5FA5A" w14:textId="77777777" w:rsidR="004E7BE1" w:rsidRPr="004E7BE1" w:rsidRDefault="004E7BE1" w:rsidP="00A557DC">
      <w:pPr>
        <w:pStyle w:val="Bulletlevel1"/>
      </w:pPr>
      <w:r w:rsidRPr="004E7BE1">
        <w:t>Documentation completeness</w:t>
      </w:r>
    </w:p>
    <w:p w14:paraId="72F24035" w14:textId="77777777" w:rsidR="004E7BE1" w:rsidRPr="004E7BE1" w:rsidRDefault="004E7BE1" w:rsidP="00A557DC">
      <w:pPr>
        <w:pStyle w:val="Bulletlevel1"/>
      </w:pPr>
      <w:r w:rsidRPr="004E7BE1">
        <w:t>Training completion / refresh timeliness</w:t>
      </w:r>
    </w:p>
    <w:p w14:paraId="529638A6" w14:textId="77777777" w:rsidR="004E7BE1" w:rsidRPr="004E7BE1" w:rsidRDefault="004E7BE1" w:rsidP="004E7BE1">
      <w:pPr>
        <w:spacing w:after="0"/>
        <w:rPr>
          <w:rFonts w:ascii="Arial Narrow" w:hAnsi="Arial Narrow"/>
          <w:b/>
          <w:bCs/>
        </w:rPr>
      </w:pPr>
      <w:r w:rsidRPr="004E7BE1">
        <w:rPr>
          <w:rFonts w:ascii="Arial Narrow" w:hAnsi="Arial Narrow"/>
          <w:b/>
          <w:bCs/>
        </w:rPr>
        <w:t>Stakeholder service</w:t>
      </w:r>
    </w:p>
    <w:p w14:paraId="68081AD5" w14:textId="77777777" w:rsidR="004E7BE1" w:rsidRPr="004E7BE1" w:rsidRDefault="004E7BE1" w:rsidP="00A557DC">
      <w:pPr>
        <w:pStyle w:val="Bulletlevel1"/>
      </w:pPr>
      <w:r w:rsidRPr="004E7BE1">
        <w:t>Issuer inquiry turnaround</w:t>
      </w:r>
    </w:p>
    <w:p w14:paraId="19FA581D" w14:textId="77777777" w:rsidR="004E7BE1" w:rsidRPr="004E7BE1" w:rsidRDefault="004E7BE1" w:rsidP="00A557DC">
      <w:pPr>
        <w:pStyle w:val="Bulletlevel1"/>
      </w:pPr>
      <w:r w:rsidRPr="004E7BE1">
        <w:t>Correspondence timeliness</w:t>
      </w:r>
    </w:p>
    <w:p w14:paraId="3413183E" w14:textId="77777777" w:rsidR="004E7BE1" w:rsidRPr="004E7BE1" w:rsidRDefault="004E7BE1" w:rsidP="00A557DC">
      <w:pPr>
        <w:pStyle w:val="Bulletlevel1"/>
      </w:pPr>
      <w:r w:rsidRPr="004E7BE1">
        <w:t>Escalation volume and aging</w:t>
      </w:r>
    </w:p>
    <w:p w14:paraId="5B95D5D8" w14:textId="77777777" w:rsidR="004E7BE1" w:rsidRPr="004E7BE1" w:rsidRDefault="004E7BE1" w:rsidP="00A557DC">
      <w:pPr>
        <w:pStyle w:val="Bulletlevel1"/>
      </w:pPr>
      <w:r w:rsidRPr="004E7BE1">
        <w:t>Trend-to-action closure rate</w:t>
      </w:r>
    </w:p>
    <w:p w14:paraId="2CABAA50" w14:textId="20961AE7" w:rsidR="009D64BC" w:rsidRPr="009D64BC" w:rsidRDefault="00A557DC" w:rsidP="00A557DC">
      <w:pPr>
        <w:pStyle w:val="List1"/>
      </w:pPr>
      <w:r w:rsidRPr="00A557DC">
        <w:t>1</w:t>
      </w:r>
      <w:r>
        <w:tab/>
      </w:r>
      <w:r w:rsidR="009D64BC" w:rsidRPr="009D64BC">
        <w:rPr>
          <w:b/>
          <w:bCs/>
        </w:rPr>
        <w:t>Challenge: fragmented systems and swivel-chair work</w:t>
      </w:r>
      <w:r w:rsidR="009D64BC" w:rsidRPr="009D64BC">
        <w:br/>
      </w:r>
      <w:r w:rsidR="009D64BC" w:rsidRPr="009D64BC">
        <w:rPr>
          <w:b/>
          <w:bCs/>
        </w:rPr>
        <w:t>Mitigation:</w:t>
      </w:r>
      <w:r w:rsidR="009D64BC" w:rsidRPr="009D64BC">
        <w:t xml:space="preserve"> standard workflows, clear ownership, unified documentation, and visible case status across channels and handoffs</w:t>
      </w:r>
      <w:r w:rsidR="009D64BC">
        <w:t>.</w:t>
      </w:r>
    </w:p>
    <w:p w14:paraId="50B17B01" w14:textId="3518AEBA" w:rsidR="009D64BC" w:rsidRPr="009D64BC" w:rsidRDefault="00A557DC" w:rsidP="00A557DC">
      <w:pPr>
        <w:pStyle w:val="List1"/>
      </w:pPr>
      <w:r w:rsidRPr="00A557DC">
        <w:t>2</w:t>
      </w:r>
      <w:r>
        <w:tab/>
      </w:r>
      <w:r w:rsidR="009D64BC" w:rsidRPr="009D64BC">
        <w:rPr>
          <w:b/>
          <w:bCs/>
        </w:rPr>
        <w:t>Challenge: multiple handoffs across CMS, issuers, states, SBEs, and contractors</w:t>
      </w:r>
      <w:r w:rsidR="009D64BC" w:rsidRPr="009D64BC">
        <w:br/>
      </w:r>
      <w:r w:rsidR="009D64BC" w:rsidRPr="009D64BC">
        <w:rPr>
          <w:b/>
          <w:bCs/>
        </w:rPr>
        <w:t>Mitigation:</w:t>
      </w:r>
      <w:r w:rsidR="009D64BC" w:rsidRPr="009D64BC">
        <w:t xml:space="preserve"> defined transfer points, escalation rules, closed-loop follow-up</w:t>
      </w:r>
      <w:r w:rsidR="00B36C20" w:rsidRPr="00B36C20">
        <w:t xml:space="preserve">, and </w:t>
      </w:r>
      <w:r w:rsidR="009D64BC" w:rsidRPr="009D64BC">
        <w:t>case aging visibility</w:t>
      </w:r>
      <w:r w:rsidR="00B36C20" w:rsidRPr="00B36C20">
        <w:t>, supported by an integrated</w:t>
      </w:r>
      <w:r w:rsidR="00DB0485">
        <w:t xml:space="preserve"> QA model </w:t>
      </w:r>
      <w:r w:rsidR="00B36C20" w:rsidRPr="00B36C20">
        <w:t>that identifies cross-stakeholder improvement</w:t>
      </w:r>
      <w:r w:rsidR="00DB0485">
        <w:t xml:space="preserve"> </w:t>
      </w:r>
      <w:r w:rsidR="00811BEA">
        <w:t>opportunities</w:t>
      </w:r>
      <w:r w:rsidR="00B36C20" w:rsidRPr="00B36C20">
        <w:t>, routes</w:t>
      </w:r>
      <w:r w:rsidR="00DB0485">
        <w:t xml:space="preserve"> </w:t>
      </w:r>
      <w:r w:rsidR="00811BEA">
        <w:t xml:space="preserve">updates to CMS partners, and </w:t>
      </w:r>
      <w:r w:rsidR="00B36C20" w:rsidRPr="00B36C20">
        <w:t>tracks</w:t>
      </w:r>
      <w:r w:rsidR="00811BEA">
        <w:t xml:space="preserve"> review and concurrence through completion.</w:t>
      </w:r>
    </w:p>
    <w:p w14:paraId="43C8BB31" w14:textId="0DBB6F42" w:rsidR="009D64BC" w:rsidRPr="009D64BC" w:rsidRDefault="00A557DC" w:rsidP="00A557DC">
      <w:pPr>
        <w:pStyle w:val="List1"/>
      </w:pPr>
      <w:r w:rsidRPr="00A557DC">
        <w:t>3</w:t>
      </w:r>
      <w:r>
        <w:tab/>
      </w:r>
      <w:r w:rsidR="009D64BC" w:rsidRPr="009D64BC">
        <w:rPr>
          <w:b/>
          <w:bCs/>
        </w:rPr>
        <w:t>Challenge: evolving policy, process, and script direction</w:t>
      </w:r>
      <w:r w:rsidR="009D64BC" w:rsidRPr="009D64BC">
        <w:br/>
      </w:r>
      <w:r w:rsidR="009D64BC" w:rsidRPr="009D64BC">
        <w:rPr>
          <w:b/>
          <w:bCs/>
        </w:rPr>
        <w:t>Mitigation:</w:t>
      </w:r>
      <w:r w:rsidR="009D64BC" w:rsidRPr="009D64BC">
        <w:t xml:space="preserve"> governed knowledge management, refresh training, QA monitoring, and controlled script updates</w:t>
      </w:r>
      <w:r w:rsidR="009D64BC">
        <w:t>.</w:t>
      </w:r>
    </w:p>
    <w:p w14:paraId="06C21AE0" w14:textId="49518682" w:rsidR="009D64BC" w:rsidRPr="009D64BC" w:rsidRDefault="00A557DC" w:rsidP="00A557DC">
      <w:pPr>
        <w:pStyle w:val="List1"/>
      </w:pPr>
      <w:r w:rsidRPr="00A557DC">
        <w:t>4</w:t>
      </w:r>
      <w:r>
        <w:tab/>
      </w:r>
      <w:r w:rsidR="009D64BC" w:rsidRPr="009D64BC">
        <w:rPr>
          <w:b/>
          <w:bCs/>
        </w:rPr>
        <w:t>Challenge: seasonal surges and uneven demand</w:t>
      </w:r>
      <w:r w:rsidR="009D64BC" w:rsidRPr="009D64BC">
        <w:br/>
      </w:r>
      <w:r w:rsidR="009D64BC" w:rsidRPr="009D64BC">
        <w:rPr>
          <w:b/>
          <w:bCs/>
        </w:rPr>
        <w:t>Mitigation:</w:t>
      </w:r>
      <w:r w:rsidR="009D64BC" w:rsidRPr="009D64BC">
        <w:t xml:space="preserve"> WFM forecasting, flexible staffing, targeted outbound campaigns, and queue monitoring to maintain service continuity</w:t>
      </w:r>
      <w:r w:rsidR="009D64BC">
        <w:t>.</w:t>
      </w:r>
    </w:p>
    <w:p w14:paraId="099AE6E8" w14:textId="0322AE39" w:rsidR="000958FF" w:rsidRPr="003414BC" w:rsidRDefault="00A557DC" w:rsidP="00A557DC">
      <w:pPr>
        <w:pStyle w:val="List1"/>
      </w:pPr>
      <w:r w:rsidRPr="00A557DC">
        <w:t>5</w:t>
      </w:r>
      <w:r>
        <w:tab/>
      </w:r>
      <w:r w:rsidR="009D64BC" w:rsidRPr="009D64BC">
        <w:rPr>
          <w:b/>
          <w:bCs/>
        </w:rPr>
        <w:t>Challenge: need for compliant innovation without operational disruption</w:t>
      </w:r>
      <w:r w:rsidR="009D64BC" w:rsidRPr="009D64BC">
        <w:br/>
      </w:r>
      <w:r w:rsidR="009D64BC" w:rsidRPr="009D64BC">
        <w:rPr>
          <w:b/>
          <w:bCs/>
        </w:rPr>
        <w:t>Mitigation:</w:t>
      </w:r>
      <w:r w:rsidR="009D64BC" w:rsidRPr="009D64BC">
        <w:t xml:space="preserve"> CMS-approved pilots, human-in-the-loop AI-assisted triage, and transparent documentation of technical solutions and use cases</w:t>
      </w:r>
      <w:r w:rsidR="009D64BC">
        <w:t>.</w:t>
      </w:r>
    </w:p>
    <w:p w14:paraId="4B3D7BA5" w14:textId="62F558DE" w:rsidR="00CD5459" w:rsidRPr="00CD5459" w:rsidRDefault="00CD5459" w:rsidP="00A557DC">
      <w:pPr>
        <w:pStyle w:val="Bulletlevel1"/>
        <w:rPr>
          <w:color w:val="FF0000"/>
        </w:rPr>
      </w:pPr>
      <w:commentRangeStart w:id="69"/>
      <w:r w:rsidRPr="00C2036A">
        <w:rPr>
          <w:b/>
          <w:bCs/>
        </w:rPr>
        <w:t>Covered</w:t>
      </w:r>
      <w:commentRangeEnd w:id="69"/>
      <w:r w:rsidRPr="00C2036A">
        <w:rPr>
          <w:rStyle w:val="CommentReference"/>
          <w:b/>
          <w:bCs/>
          <w:sz w:val="24"/>
          <w:szCs w:val="22"/>
        </w:rPr>
        <w:commentReference w:id="69"/>
      </w:r>
      <w:r w:rsidRPr="00C2036A">
        <w:rPr>
          <w:b/>
          <w:bCs/>
        </w:rPr>
        <w:t xml:space="preserve"> California Health Insurance Exchange Contact Center.</w:t>
      </w:r>
      <w:r>
        <w:t xml:space="preserve"> Deloitte stood up Amazon Connect in about 40 hours during annual enrollment, when contact volume peaks near 300,000 contacts per month. Deloitte provided project management, engineering, testing, training, and hypercare, led go-live and SSO migration with zero critical or high-impact issues, and continues to support enhancements such as courtesy callback, post-call survey, conversational IVR, custom agent desktop, and advanced </w:t>
      </w:r>
      <w:r>
        <w:lastRenderedPageBreak/>
        <w:t xml:space="preserve">reporting. </w:t>
      </w:r>
      <w:r w:rsidRPr="00C2036A">
        <w:rPr>
          <w:color w:val="FF0000"/>
        </w:rPr>
        <w:t>Proof for: digital exchange support, continuity under load, and practical contact-center modernization.</w:t>
      </w:r>
    </w:p>
    <w:p w14:paraId="4921D7EE" w14:textId="71545493" w:rsidR="00D031A5" w:rsidRPr="00D031A5" w:rsidRDefault="00D031A5" w:rsidP="00A557DC">
      <w:pPr>
        <w:pStyle w:val="Bulletlevel1"/>
        <w:rPr>
          <w:color w:val="FF0000"/>
        </w:rPr>
      </w:pPr>
      <w:r w:rsidRPr="00D031A5">
        <w:rPr>
          <w:b/>
          <w:bCs/>
          <w:color w:val="000000" w:themeColor="text1"/>
        </w:rPr>
        <w:t>CDC Vaccine Administration Management System (VAMS).</w:t>
      </w:r>
      <w:r w:rsidRPr="00D031A5">
        <w:rPr>
          <w:color w:val="000000" w:themeColor="text1"/>
        </w:rPr>
        <w:t xml:space="preserve"> Deloitte supported CDC’s national VAMS environment and rapidly deployed an AWS Connect-based call center to support end users, jurisdictions, and clinics when high call volume accompanied system rollout. Deloitte provided call center oversight, reporting, SLA monitoring, training, knowledge management, continuous process improvement, and centralized QA reporting across five workstreams, while building a Salesforce-based knowledge repository with 300+ artifacts. The effort supported a multi-tier call center solution used in administering 9.5M vaccines.</w:t>
      </w:r>
      <w:r w:rsidRPr="00D031A5">
        <w:rPr>
          <w:color w:val="FF0000"/>
        </w:rPr>
        <w:t xml:space="preserve"> Proof for: federal stakeholder support, high-volume contact center oversight, training and QA governance, and knowledge-management-enabled continuous improvement.</w:t>
      </w:r>
    </w:p>
    <w:p w14:paraId="770D7CF7" w14:textId="40805D11" w:rsidR="00095BFA" w:rsidRPr="00095BFA" w:rsidRDefault="00095BFA" w:rsidP="00A557DC">
      <w:pPr>
        <w:pStyle w:val="Bulletlevel1"/>
        <w:rPr>
          <w:color w:val="FF0000"/>
        </w:rPr>
      </w:pPr>
      <w:r w:rsidRPr="00095BFA">
        <w:rPr>
          <w:b/>
          <w:bCs/>
          <w:color w:val="000000" w:themeColor="text1"/>
        </w:rPr>
        <w:t xml:space="preserve">Financial Crimes Enforcement Network (FinCEN) Beneficial Ownership Contact Center. </w:t>
      </w:r>
      <w:r w:rsidRPr="00095BFA">
        <w:rPr>
          <w:color w:val="000000" w:themeColor="text1"/>
        </w:rPr>
        <w:t xml:space="preserve">Deloitte stood up and operates a federal compliance-oriented contact center built on Salesforce Government Cloud Plus, Amazon Connect, and AWS Lex in a FedRAMP High environment. The team launched command center operations, deployed chatbot capabilities, supported outbound calls and web-to-case inquiries, published 141 business and 86 technical knowledge articles, ran a QA program for outbound calls and </w:t>
      </w:r>
      <w:r w:rsidR="00AC2B57">
        <w:rPr>
          <w:color w:val="000000" w:themeColor="text1"/>
        </w:rPr>
        <w:t>web-to-case</w:t>
      </w:r>
      <w:r w:rsidRPr="00095BFA">
        <w:rPr>
          <w:color w:val="000000" w:themeColor="text1"/>
        </w:rPr>
        <w:t xml:space="preserve"> responses, and used dashboards to monitor daily performance, schedules, and productivity. Results include eliminating a 5K-case backlog within three months, closing 350K+ cases to date, conducting 23K+ outbound calls, auditing 11K+ cases at an average score of 96%, and reducing closure time to within a day of receipt by July 2025.</w:t>
      </w:r>
      <w:r>
        <w:rPr>
          <w:color w:val="000000" w:themeColor="text1"/>
        </w:rPr>
        <w:t xml:space="preserve"> </w:t>
      </w:r>
      <w:r w:rsidRPr="00095BFA">
        <w:rPr>
          <w:color w:val="FF0000"/>
        </w:rPr>
        <w:t>Proof for: federal case-management operations, outbound support, dashboard-driven performance management, quality auditing, and knowledge-centered service delivery.</w:t>
      </w:r>
    </w:p>
    <w:p w14:paraId="1EBDFFFF" w14:textId="0E9158C7" w:rsidR="00470E02" w:rsidRPr="00095BFA" w:rsidRDefault="00715790" w:rsidP="00A557DC">
      <w:pPr>
        <w:pStyle w:val="Bulletlevel1"/>
        <w:rPr>
          <w:color w:val="FF0000"/>
        </w:rPr>
      </w:pPr>
      <w:r w:rsidRPr="00715790">
        <w:rPr>
          <w:b/>
          <w:bCs/>
          <w:color w:val="000000" w:themeColor="text1"/>
        </w:rPr>
        <w:t>United States Navy MyNavy Career Center (MNCC).</w:t>
      </w:r>
      <w:r w:rsidRPr="00715790">
        <w:rPr>
          <w:color w:val="000000" w:themeColor="text1"/>
        </w:rPr>
        <w:t xml:space="preserve"> Deloitte helped the Navy redesign and modernize a tiered omnichannel HR service-delivery model supporting 330,000+ Sailors, including Salesforce CRM, Cisco telephony, IVR, post-call survey capabilities, command center development, and implementation of WFM, QA, and reporting and analytics. Deloitte also conducted contact-driver analysis, recommended a content-management approach, created knowledge materials, established a maintenance model for the knowledge base, and helped shift lower-complexity work to the left. The resulting model supports 36,000+ contacts per month and has enabled the creation and resolution of 1.5M customer requests and inquiries since launch. </w:t>
      </w:r>
      <w:r w:rsidRPr="00715790">
        <w:rPr>
          <w:color w:val="FF0000"/>
        </w:rPr>
        <w:t>Proof for: federal omnichannel operating-model design, command-center integration, contact-driver analysis, knowledge management, and scalable service-delivery improvement.</w:t>
      </w:r>
    </w:p>
    <w:p w14:paraId="735E49B0" w14:textId="7232E065" w:rsidR="004F3326" w:rsidRPr="00492B1F" w:rsidRDefault="004F3326" w:rsidP="00A557DC">
      <w:pPr>
        <w:pStyle w:val="Bulletlevel1"/>
      </w:pPr>
      <w:r w:rsidRPr="004F3326">
        <w:rPr>
          <w:b/>
          <w:bCs/>
        </w:rPr>
        <w:t xml:space="preserve">State health and human services contact center operations. </w:t>
      </w:r>
      <w:r>
        <w:t xml:space="preserve">Deloitte rapidly mobilized and stabilized state contact center operations supporting time-sensitive public health and benefits programs. In New York, Deloitte took over an overwhelmed vaccine hotline, deployed 4,000+ surge support agents, handled 5M+ calls including 100K+ per day at peak, and improved performance through QA, WFM, reporting, knowledge management, and micro-learning, contributing to a 53% reduction in hold time and a 75% reduction in Tier 2 escalations. In the District of Columbia, Deloitte launched a contact center in 25 days, implemented a cloud-based solution in five weeks, handled nearly 24,000 calls, and supported an end-to-end managed service model with QA, command center oversight, and reporting. </w:t>
      </w:r>
      <w:r w:rsidRPr="004F3326">
        <w:rPr>
          <w:color w:val="FF0000"/>
        </w:rPr>
        <w:t>Proof for: rapid mobilization, surge operations, disciplined service delivery, and government contact center execution.</w:t>
      </w:r>
    </w:p>
    <w:p w14:paraId="501F8448" w14:textId="323B2692" w:rsidR="00A54BF5" w:rsidRDefault="003414BC" w:rsidP="00A54BF5">
      <w:pPr>
        <w:pStyle w:val="Heading3"/>
      </w:pPr>
      <w:bookmarkStart w:id="70" w:name="_Toc227883183"/>
      <w:r>
        <w:lastRenderedPageBreak/>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bookmarkEnd w:id="70"/>
      <w:r w:rsidR="00806273">
        <w:t xml:space="preserve"> </w:t>
      </w:r>
      <w:r w:rsidR="004F360B" w:rsidRPr="00806273">
        <w:rPr>
          <w:color w:val="FF0000"/>
        </w:rPr>
        <w:t>(5 Pages)</w:t>
      </w:r>
    </w:p>
    <w:p w14:paraId="2847AAC0" w14:textId="77777777" w:rsidR="00C6190E" w:rsidRPr="00C6190E" w:rsidRDefault="00C6190E" w:rsidP="00554536">
      <w:pPr>
        <w:pStyle w:val="Subheading1"/>
        <w:rPr>
          <w:rFonts w:ascii="Arial" w:eastAsia="Arial" w:hAnsi="Arial" w:cs="Arial"/>
          <w:b w:val="0"/>
          <w:color w:val="174F36"/>
          <w:sz w:val="26"/>
          <w:szCs w:val="26"/>
        </w:rPr>
      </w:pPr>
      <w:r w:rsidRPr="00E06780">
        <w:t>Our Understanding</w:t>
      </w:r>
    </w:p>
    <w:p w14:paraId="606E4B69" w14:textId="77777777" w:rsidR="00C6190E" w:rsidRPr="00C6190E" w:rsidRDefault="00C6190E" w:rsidP="008D7792">
      <w:pPr>
        <w:pStyle w:val="BodyText"/>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48A55A1A" w14:textId="19CBC6D2" w:rsidR="00420545" w:rsidRDefault="00554536" w:rsidP="00420545">
      <w:pPr>
        <w:pStyle w:val="FigureTitle"/>
      </w:pPr>
      <w:r>
        <w:t>Figure 1.2.7-1. [Deloitte to populate: figure title and graphic].</w:t>
      </w:r>
      <w:r w:rsidR="00420545" w:rsidRPr="00420545"/>
      <w:r w:rsidR="00420545"/>
    </w:p>
    <w:p w14:paraId="4BCA37CC" w14:textId="63E8EB88" w:rsidR="00C6190E" w:rsidRPr="00420545" w:rsidRDefault="00C6190E" w:rsidP="00420545">
      <w:pPr>
        <w:pStyle w:val="FigureGraphic"/>
        <w:rPr>
          <w:rFonts w:ascii="Arial Narrow" w:hAnsi="Arial Narrow"/>
          <w:sz w:val="24"/>
        </w:rPr>
      </w:pPr>
      <w:commentRangeStart w:id="71"/>
      <w:commentRangeEnd w:id="71"/>
      <w:r>
        <w:rPr>
          <w:rStyle w:val="CommentReference"/>
          <w:rFonts w:ascii="Arial Narrow" w:hAnsi="Arial Narrow"/>
          <w:noProof/>
          <w:sz w:val="24"/>
          <w:szCs w:val="22"/>
        </w:rPr>
        <w:commentReference w:id="71"/>
      </w:r>
      <w:r w:rsidR="00420545">
        <w:rPr>
          <w:rFonts w:ascii="Arial Narrow" w:hAnsi="Arial Narrow"/>
          <w:noProof/>
          <w:sz w:val="24"/>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401CCDC1" w14:textId="77777777" w:rsidR="00C6190E" w:rsidRDefault="00C6190E" w:rsidP="00420545">
      <w:pPr>
        <w:pStyle w:val="ParagraphSpacer"/>
      </w:pPr>
    </w:p>
    <w:p w14:paraId="3BCB0EB5" w14:textId="583C8691" w:rsidR="00C6190E" w:rsidRPr="00C6190E" w:rsidRDefault="00C6190E" w:rsidP="00420545">
      <w:pPr>
        <w:pStyle w:val="BodyText"/>
      </w:pPr>
      <w:r w:rsidRPr="00C6190E">
        <w:t>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multi-factor authentication through Okta Authenticator. Each of these dependencies must be maintained, monitored, and validated across every release cycle.</w:t>
      </w:r>
    </w:p>
    <w:p w14:paraId="780004CD" w14:textId="77777777" w:rsidR="00C6190E" w:rsidRPr="00C6190E" w:rsidRDefault="00C6190E" w:rsidP="00420545">
      <w:pPr>
        <w:pStyle w:val="BodyText"/>
      </w:pPr>
      <w:r w:rsidRPr="00C6190E">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33C51E84" w14:textId="77777777" w:rsidR="00C6190E" w:rsidRPr="00C6190E" w:rsidRDefault="00C6190E" w:rsidP="00420545">
      <w:pPr>
        <w:pStyle w:val="Subheading1"/>
        <w:rPr>
          <w:rFonts w:ascii="Arial" w:eastAsia="Arial" w:hAnsi="Arial" w:cs="Arial"/>
          <w:b w:val="0"/>
          <w:color w:val="174F36"/>
          <w:sz w:val="26"/>
          <w:szCs w:val="26"/>
        </w:rPr>
      </w:pPr>
      <w:r w:rsidRPr="00E06780">
        <w:t>Our Approach</w:t>
      </w:r>
    </w:p>
    <w:p w14:paraId="59BCEC1C" w14:textId="1E2085D6" w:rsidR="00C6190E" w:rsidRPr="00C6190E" w:rsidRDefault="00C6190E" w:rsidP="00420545">
      <w:pPr>
        <w:pStyle w:val="BodyText"/>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w:t>
      </w:r>
      <w:r w:rsidRPr="00C6190E">
        <w:lastRenderedPageBreak/>
        <w:t>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3FBAE070" w14:textId="77777777" w:rsidR="00C6190E" w:rsidRDefault="00C6190E" w:rsidP="00420545">
      <w:pPr>
        <w:pStyle w:val="BodyText"/>
      </w:pPr>
      <w:r w:rsidRPr="00C6190E">
        <w:t>These two objectives are not sequential in a strict sense. Operations and improvement run in parallel. Each phase builds on the one before it and delivers value before the next begins in full.</w:t>
      </w:r>
    </w:p>
    <w:p w14:paraId="7F410299" w14:textId="628E7251" w:rsidR="00C6190E" w:rsidRDefault="00420545" w:rsidP="00BD6E33">
      <w:pPr>
        <w:pStyle w:val="FigureTitle"/>
      </w:pPr>
      <w:r w:rsidRPr="00420545">
        <w:t>Figure 1.2.7-2. [Deloitte to populate: figure title and graphic].</w:t>
      </w:r>
      <w:r/>
      <w:r w:rsidRPr="00420545"/>
    </w:p>
    <w:p w14:paraId="1CFF2014" w14:textId="2031A746"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7C0DA695" w14:textId="59F8E28A" w:rsidR="00C6190E" w:rsidRDefault="00C6190E" w:rsidP="00BD6E33">
      <w:pPr>
        <w:pStyle w:val="ParagraphSpacer"/>
      </w:pPr>
    </w:p>
    <w:p w14:paraId="32BC9DD6" w14:textId="77777777" w:rsidR="00C6190E" w:rsidRPr="00C6190E" w:rsidRDefault="00C6190E" w:rsidP="00BD6E33">
      <w:pPr>
        <w:pStyle w:val="BodyText"/>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08FFF064" w14:textId="6C1F6BB4" w:rsidR="00C6190E" w:rsidRPr="00C6190E" w:rsidRDefault="00557A4F" w:rsidP="00BD6E33">
      <w:pPr>
        <w:pStyle w:val="Subheading1"/>
        <w:rPr>
          <w:rFonts w:ascii="Arial" w:eastAsia="Arial" w:hAnsi="Arial" w:cs="Arial"/>
          <w:b w:val="0"/>
          <w:color w:val="1F6B4A"/>
          <w:sz w:val="22"/>
        </w:rPr>
      </w:pPr>
      <w:r>
        <w:t>P</w:t>
      </w:r>
      <w:r w:rsidRPr="00F64B08">
        <w:t>hase</w:t>
      </w:r>
      <w:r w:rsidR="00C6190E" w:rsidRPr="00F64B08">
        <w:t xml:space="preserve"> 1: Operational Continuity</w:t>
      </w:r>
    </w:p>
    <w:p w14:paraId="6E4A9F96" w14:textId="1B555A4A" w:rsidR="00BD6E33" w:rsidRPr="00BD6E33" w:rsidRDefault="00BD6E33" w:rsidP="00BD6E33">
      <w:pPr>
        <w:pStyle w:val="Subheading2"/>
      </w:pPr>
      <w:r w:rsidRPr="00BD6E33">
        <w:t>Operational Continuity — Assuming Responsibility Without Disruption</w:t>
      </w:r>
    </w:p>
    <w:p w14:paraId="545EDF28" w14:textId="77777777" w:rsidR="00C6190E" w:rsidRPr="00C6190E" w:rsidRDefault="00C6190E" w:rsidP="00BD6E33">
      <w:pPr>
        <w:pStyle w:val="BodyText"/>
      </w:pPr>
      <w:r w:rsidRPr="00C6190E">
        <w:t>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Modernization team owns planned change: bi-weekly releases, quarterly rule updates, annual form changes, code modernization, and CMS-prioritized improvements. Both teams operate under one integrated delivery framework, so work is coordinated, not siloed.</w:t>
      </w:r>
    </w:p>
    <w:p w14:paraId="56A3D2AD" w14:textId="77777777" w:rsidR="00C6190E" w:rsidRPr="00C6190E" w:rsidRDefault="00C6190E" w:rsidP="00BD6E33">
      <w:pPr>
        <w:pStyle w:val="BodyText"/>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6469F225" w14:textId="77777777" w:rsidR="00C6190E" w:rsidRPr="00C6190E" w:rsidRDefault="00C6190E" w:rsidP="00BD6E33">
      <w:pPr>
        <w:pStyle w:val="BodyTextBulletIntro"/>
      </w:pPr>
      <w:r w:rsidRPr="00C6190E">
        <w:lastRenderedPageBreak/>
        <w:t>From day one, Deloitte manages the following recurring obligations across all systems:</w:t>
      </w:r>
    </w:p>
    <w:p w14:paraId="4F7B64EF" w14:textId="77777777" w:rsidR="00C6190E" w:rsidRPr="00C6190E" w:rsidRDefault="00C6190E" w:rsidP="00BD6E33">
      <w:pPr>
        <w:pStyle w:val="Bulletlevel1"/>
      </w:pPr>
      <w:r w:rsidRPr="00C6190E">
        <w:t>Bi-weekly sprint releases and Change Control Board coordination across CERRS, MCR, SEED, HICS, and EDA CORE</w:t>
      </w:r>
    </w:p>
    <w:p w14:paraId="4BDC0974" w14:textId="77777777" w:rsidR="00C6190E" w:rsidRPr="00C6190E" w:rsidRDefault="00C6190E" w:rsidP="00BD6E33">
      <w:pPr>
        <w:pStyle w:val="Bulletlevel1"/>
      </w:pPr>
      <w:r w:rsidRPr="00C6190E">
        <w:t>SAFE Agile PI Planning participation quarterly</w:t>
      </w:r>
    </w:p>
    <w:p w14:paraId="53637ECE" w14:textId="77777777" w:rsidR="00C6190E" w:rsidRPr="00C6190E" w:rsidRDefault="00C6190E" w:rsidP="00BD6E33">
      <w:pPr>
        <w:pStyle w:val="Bulletlevel1"/>
      </w:pPr>
      <w:r w:rsidRPr="00C6190E">
        <w:t>TRB preparation, presentation, and findings remediation</w:t>
      </w:r>
    </w:p>
    <w:p w14:paraId="2B04929C" w14:textId="77777777" w:rsidR="00C6190E" w:rsidRPr="00C6190E" w:rsidRDefault="00C6190E" w:rsidP="00BD6E33">
      <w:pPr>
        <w:pStyle w:val="Bulletlevel1"/>
      </w:pPr>
      <w:r w:rsidRPr="00C6190E">
        <w:t>After-hours data loads, file ingestion monitoring, data remediation, cleansing, and file scanning</w:t>
      </w:r>
    </w:p>
    <w:p w14:paraId="6979221E" w14:textId="77777777" w:rsidR="00C6190E" w:rsidRPr="00C6190E" w:rsidRDefault="00C6190E" w:rsidP="00BD6E33">
      <w:pPr>
        <w:pStyle w:val="Bulletlevel1"/>
      </w:pPr>
      <w:r w:rsidRPr="00C6190E">
        <w:t>Annual Enrollment Dispute Form updates and quarterly issuer dispute rule updates</w:t>
      </w:r>
    </w:p>
    <w:p w14:paraId="671EC29F" w14:textId="77777777" w:rsidR="00C6190E" w:rsidRPr="00C6190E" w:rsidRDefault="00C6190E" w:rsidP="00BD6E33">
      <w:pPr>
        <w:pStyle w:val="Bulletlevel1"/>
      </w:pPr>
      <w:r w:rsidRPr="00C6190E">
        <w:t>Annual documentation suite updates — ICD, DDD, SDD, RTM, Testing SOP</w:t>
      </w:r>
    </w:p>
    <w:p w14:paraId="221D32EB" w14:textId="77777777" w:rsidR="00C6190E" w:rsidRPr="00C6190E" w:rsidRDefault="00C6190E" w:rsidP="00BD6E33">
      <w:pPr>
        <w:pStyle w:val="Bulletlevel1"/>
      </w:pPr>
      <w:r w:rsidRPr="00C6190E">
        <w:t>CMS governance activities — penetration testing, ACT assessments, IV&amp;V support, FedRAMP sponsorship for Snowflake</w:t>
      </w:r>
    </w:p>
    <w:p w14:paraId="55371D17" w14:textId="77777777" w:rsidR="00C6190E" w:rsidRPr="00C6190E" w:rsidRDefault="00C6190E" w:rsidP="00BD6E33">
      <w:pPr>
        <w:pStyle w:val="Bulletlevel1"/>
      </w:pPr>
      <w:r w:rsidRPr="00C6190E">
        <w:t>508 compliance across all system documentation, issuer materials, and presentations</w:t>
      </w:r>
    </w:p>
    <w:p w14:paraId="24AC1845" w14:textId="429C7542" w:rsidR="006E03C0" w:rsidRDefault="006E03C0" w:rsidP="00D34E5C">
      <w:pPr>
        <w:pStyle w:val="TableTitle"/>
      </w:pPr>
      <w:r w:rsidRPr="006E03C0">
        <w:t>Table 1.2.7-1. AIOps Capabilities Across All Systems.</w:t>
      </w:r>
      <w:r w:rsidR="00D34E5C"/>
    </w:p>
    <w:tbl>
      <w:tblPr>
        <w:tblStyle w:val="DeloitteTable2"/>
        <w:tblW w:w="5000" w:type="pct"/>
        <w:tblLook w:val="06A0" w:firstRow="1" w:lastRow="0" w:firstColumn="1" w:lastColumn="0" w:noHBand="1" w:noVBand="1"/>
      </w:tblPr>
      <w:tblGrid>
        <w:gridCol w:w="2245"/>
        <w:gridCol w:w="3510"/>
        <w:gridCol w:w="3595"/>
      </w:tblGrid>
      <w:tr w:rsidR="00000966" w14:paraId="693DFCE3"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7C6DE194" w14:textId="77777777" w:rsidR="00000966" w:rsidRPr="00C6190E" w:rsidRDefault="00000966">
            <w:pPr>
              <w:pStyle w:val="TableHeading"/>
              <w:rPr>
                <w:rFonts w:ascii="Arial" w:eastAsia="Arial" w:hAnsi="Arial" w:cs="Arial"/>
                <w:szCs w:val="20"/>
              </w:rPr>
            </w:pPr>
            <w:r w:rsidRPr="00BE098B">
              <w:t>Capability</w:t>
            </w:r>
          </w:p>
        </w:tc>
        <w:tc>
          <w:tcPr>
            <w:tcW w:w="3510" w:type="dxa"/>
          </w:tcPr>
          <w:p w14:paraId="1E73D2B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5C66A7BE"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000966" w14:paraId="09098B55" w14:textId="77777777">
        <w:tc>
          <w:tcPr>
            <w:cnfStyle w:val="001000000000" w:firstRow="0" w:lastRow="0" w:firstColumn="1" w:lastColumn="0" w:oddVBand="0" w:evenVBand="0" w:oddHBand="0" w:evenHBand="0" w:firstRowFirstColumn="0" w:firstRowLastColumn="0" w:lastRowFirstColumn="0" w:lastRowLastColumn="0"/>
            <w:tcW w:w="2245" w:type="dxa"/>
          </w:tcPr>
          <w:p w14:paraId="0A1B7AA4" w14:textId="0574D680" w:rsidR="00635113" w:rsidRPr="00C6190E" w:rsidRDefault="00000966" w:rsidP="00000966">
            <w:pPr>
              <w:pStyle w:val="TableRowHeading"/>
              <w:rPr>
                <w:rFonts w:ascii="Arial" w:eastAsia="Arial" w:hAnsi="Arial" w:cs="Arial"/>
                <w:szCs w:val="20"/>
              </w:rPr>
            </w:pPr>
            <w:r w:rsidRPr="002D05CB">
              <w:t>Integrated Delivery Model</w:t>
            </w:r>
          </w:p>
        </w:tc>
        <w:tc>
          <w:tcPr>
            <w:tcW w:w="3510" w:type="dxa"/>
          </w:tcPr>
          <w:p w14:paraId="5B3CA7D0" w14:textId="6E3FE19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Two dedicated teams: Operations and Maintenance, and Enhancement and Modernization, both governed through shared intake and a single release framework.</w:t>
            </w:r>
          </w:p>
        </w:tc>
        <w:tc>
          <w:tcPr>
            <w:tcW w:w="3595" w:type="dxa"/>
          </w:tcPr>
          <w:p w14:paraId="40FEC648" w14:textId="7161CD53"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Both teams operate without competing for the same priorities or capacity.</w:t>
            </w:r>
          </w:p>
        </w:tc>
      </w:tr>
      <w:tr w:rsidR="00000966" w14:paraId="3457390B" w14:textId="77777777">
        <w:tc>
          <w:tcPr>
            <w:cnfStyle w:val="001000000000" w:firstRow="0" w:lastRow="0" w:firstColumn="1" w:lastColumn="0" w:oddVBand="0" w:evenVBand="0" w:oddHBand="0" w:evenHBand="0" w:firstRowFirstColumn="0" w:firstRowLastColumn="0" w:lastRowFirstColumn="0" w:lastRowLastColumn="0"/>
            <w:tcW w:w="2245" w:type="dxa"/>
          </w:tcPr>
          <w:p w14:paraId="4E32E0D1" w14:textId="655A31D4" w:rsidR="00000966" w:rsidRPr="00C6190E" w:rsidRDefault="00000966" w:rsidP="00000966">
            <w:pPr>
              <w:pStyle w:val="TableRowHeading"/>
              <w:rPr>
                <w:rFonts w:ascii="Arial" w:eastAsia="Arial" w:hAnsi="Arial" w:cs="Arial"/>
                <w:szCs w:val="20"/>
              </w:rPr>
            </w:pPr>
            <w:r w:rsidRPr="002D05CB">
              <w:t>Shared Intake and Prioritization</w:t>
            </w:r>
          </w:p>
        </w:tc>
        <w:tc>
          <w:tcPr>
            <w:tcW w:w="3510" w:type="dxa"/>
          </w:tcPr>
          <w:p w14:paraId="10E7A0D3" w14:textId="4609139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Single intake path for incidents, recurring updates, and approved enhancements across CERRS, SEED, HICS, and EDA CORE</w:t>
            </w:r>
          </w:p>
        </w:tc>
        <w:tc>
          <w:tcPr>
            <w:tcW w:w="3595" w:type="dxa"/>
          </w:tcPr>
          <w:p w14:paraId="21116B89" w14:textId="633E464B"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CMS has one visible queue for all Task 8 work; priorities are set once and honored across both teams</w:t>
            </w:r>
          </w:p>
        </w:tc>
      </w:tr>
      <w:tr w:rsidR="00000966" w14:paraId="5A99D9CA" w14:textId="77777777">
        <w:tc>
          <w:tcPr>
            <w:cnfStyle w:val="001000000000" w:firstRow="0" w:lastRow="0" w:firstColumn="1" w:lastColumn="0" w:oddVBand="0" w:evenVBand="0" w:oddHBand="0" w:evenHBand="0" w:firstRowFirstColumn="0" w:firstRowLastColumn="0" w:lastRowFirstColumn="0" w:lastRowLastColumn="0"/>
            <w:tcW w:w="2245" w:type="dxa"/>
          </w:tcPr>
          <w:p w14:paraId="11341F69" w14:textId="544A316B" w:rsidR="00000966" w:rsidRPr="00C6190E" w:rsidRDefault="00000966" w:rsidP="00000966">
            <w:pPr>
              <w:pStyle w:val="TableRowHeading"/>
              <w:rPr>
                <w:rFonts w:ascii="Arial" w:eastAsia="Arial" w:hAnsi="Arial" w:cs="Arial"/>
                <w:szCs w:val="20"/>
              </w:rPr>
            </w:pPr>
            <w:r w:rsidRPr="002D05CB">
              <w:t>Coordinated Release Management</w:t>
            </w:r>
          </w:p>
        </w:tc>
        <w:tc>
          <w:tcPr>
            <w:tcW w:w="3510" w:type="dxa"/>
          </w:tcPr>
          <w:p w14:paraId="17A5AC67" w14:textId="770E5A4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Integrated release calendar with cross-system dependency review before every deployment</w:t>
            </w:r>
          </w:p>
        </w:tc>
        <w:tc>
          <w:tcPr>
            <w:tcW w:w="3595" w:type="dxa"/>
          </w:tcPr>
          <w:p w14:paraId="49D3BA2B" w14:textId="26828685"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No release is approved without a validated view of downstream effects across all four systems and their interfaces</w:t>
            </w:r>
          </w:p>
        </w:tc>
      </w:tr>
      <w:tr w:rsidR="00000966" w14:paraId="35035D07" w14:textId="77777777">
        <w:tc>
          <w:tcPr>
            <w:cnfStyle w:val="001000000000" w:firstRow="0" w:lastRow="0" w:firstColumn="1" w:lastColumn="0" w:oddVBand="0" w:evenVBand="0" w:oddHBand="0" w:evenHBand="0" w:firstRowFirstColumn="0" w:firstRowLastColumn="0" w:lastRowFirstColumn="0" w:lastRowLastColumn="0"/>
            <w:tcW w:w="2245" w:type="dxa"/>
          </w:tcPr>
          <w:p w14:paraId="5B44EFE0" w14:textId="41C2293D" w:rsidR="00635113" w:rsidRPr="00C6190E" w:rsidRDefault="00000966" w:rsidP="00000966">
            <w:pPr>
              <w:pStyle w:val="TableRowHeading"/>
              <w:rPr>
                <w:rFonts w:ascii="Arial" w:eastAsia="Arial" w:hAnsi="Arial" w:cs="Arial"/>
                <w:szCs w:val="20"/>
              </w:rPr>
            </w:pPr>
            <w:r w:rsidRPr="002D05CB">
              <w:t>Documentation Embedded in Delivery</w:t>
            </w:r>
          </w:p>
        </w:tc>
        <w:tc>
          <w:tcPr>
            <w:tcW w:w="3510" w:type="dxa"/>
          </w:tcPr>
          <w:p w14:paraId="7EB347E0" w14:textId="1CD18BB0"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Runbooks, SOPs, and system documentation updated within the same release cycle that changes the behavior they describe</w:t>
            </w:r>
          </w:p>
        </w:tc>
        <w:tc>
          <w:tcPr>
            <w:tcW w:w="3595" w:type="dxa"/>
          </w:tcPr>
          <w:p w14:paraId="3ED964F8" w14:textId="6299C1CD"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Service desk staff and caseworkers always work from documentation that reflects the live environment</w:t>
            </w:r>
          </w:p>
        </w:tc>
      </w:tr>
      <w:tr w:rsidR="00000966" w14:paraId="608976E9" w14:textId="77777777">
        <w:tc>
          <w:tcPr>
            <w:cnfStyle w:val="001000000000" w:firstRow="0" w:lastRow="0" w:firstColumn="1" w:lastColumn="0" w:oddVBand="0" w:evenVBand="0" w:oddHBand="0" w:evenHBand="0" w:firstRowFirstColumn="0" w:firstRowLastColumn="0" w:lastRowFirstColumn="0" w:lastRowLastColumn="0"/>
            <w:tcW w:w="2245" w:type="dxa"/>
          </w:tcPr>
          <w:p w14:paraId="5D14B4B3" w14:textId="44BA9C97" w:rsidR="00635113" w:rsidRPr="00C6190E" w:rsidRDefault="00000966" w:rsidP="00000966">
            <w:pPr>
              <w:pStyle w:val="TableRowHeading"/>
              <w:rPr>
                <w:rFonts w:ascii="Arial" w:eastAsia="Arial" w:hAnsi="Arial" w:cs="Arial"/>
                <w:szCs w:val="20"/>
              </w:rPr>
            </w:pPr>
            <w:r w:rsidRPr="002D05CB">
              <w:t>Recurring Manual Operation Reduction</w:t>
            </w:r>
          </w:p>
        </w:tc>
        <w:tc>
          <w:tcPr>
            <w:tcW w:w="3510" w:type="dxa"/>
          </w:tcPr>
          <w:p w14:paraId="7E652B16" w14:textId="50D520B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Repeat manual activities identified and reduced through standardized procedures, automated alerting, and targeted engineering fixes</w:t>
            </w:r>
          </w:p>
        </w:tc>
        <w:tc>
          <w:tcPr>
            <w:tcW w:w="3595" w:type="dxa"/>
          </w:tcPr>
          <w:p w14:paraId="0A32F90F" w14:textId="63B3A959"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Operational labor cost decreases over the contract period as manual steps are replaced with governed automation</w:t>
            </w:r>
          </w:p>
        </w:tc>
      </w:tr>
    </w:tbl>
    <w:p w14:paraId="3BBFBFDD" w14:textId="77777777" w:rsidR="006E03C0" w:rsidRDefault="006E03C0" w:rsidP="00FC0D65">
      <w:pPr>
        <w:pStyle w:val="ParagraphSpacer"/>
      </w:pPr>
    </w:p>
    <w:p w14:paraId="2B595D5E" w14:textId="32EAB9A0" w:rsidR="00C6190E" w:rsidRPr="00C6190E" w:rsidRDefault="00C6190E" w:rsidP="00A557DC">
      <w:pPr>
        <w:pStyle w:val="Heading4"/>
        <w:rPr>
          <w:rFonts w:ascii="Arial" w:eastAsia="Arial" w:hAnsi="Arial" w:cs="Arial"/>
          <w:b/>
          <w:i w:val="0"/>
          <w:color w:val="174F36"/>
          <w:sz w:val="20"/>
          <w:szCs w:val="20"/>
        </w:rPr>
      </w:pPr>
      <w:r>
        <w:rPr>
          <w:rFonts w:eastAsia="Arial"/>
        </w:rPr>
        <w:t>1</w:t>
      </w:r>
      <w:r w:rsidR="00FC0D65">
        <w:rPr>
          <w:rFonts w:eastAsia="Arial"/>
        </w:rPr>
        <w:t>.2.7.1</w:t>
      </w:r>
      <w:r w:rsidR="00FC0D65">
        <w:rPr>
          <w:rFonts w:eastAsia="Arial"/>
        </w:rPr>
        <w:tab/>
      </w:r>
      <w:r w:rsidRPr="00C6190E">
        <w:rPr>
          <w:rFonts w:eastAsia="Arial"/>
        </w:rPr>
        <w:t>CERRS</w:t>
      </w:r>
      <w:r w:rsidRPr="00C6190E">
        <w:rPr>
          <w:rFonts w:ascii="Arial" w:eastAsia="Arial" w:hAnsi="Arial" w:cs="Arial"/>
          <w:b/>
          <w:color w:val="174F36"/>
          <w:sz w:val="20"/>
          <w:szCs w:val="20"/>
        </w:rPr>
        <w:t xml:space="preserve"> — CCIIO Enrollment Resolution and Reconciliation System</w:t>
      </w:r>
    </w:p>
    <w:p w14:paraId="73D5258F" w14:textId="5AEFECFE" w:rsidR="00FC0D65" w:rsidRPr="00FC0D65" w:rsidRDefault="00FC0D65" w:rsidP="00FC0D65">
      <w:pPr>
        <w:pStyle w:val="Subheading1"/>
      </w:pPr>
      <w:r w:rsidRPr="00FC0D65">
        <w:t>Microsoft Dynamics CRM | Azure Government | .NET | Custom APIs</w:t>
      </w:r>
    </w:p>
    <w:p w14:paraId="28C7525E" w14:textId="4ED1D6D4" w:rsidR="00C6190E" w:rsidRPr="00FC0D65" w:rsidRDefault="00C6190E" w:rsidP="00FC0D65">
      <w:pPr>
        <w:pStyle w:val="BodyText"/>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4C625D63" w14:textId="2BC4C16A" w:rsidR="00C6190E" w:rsidRPr="00FC0D65" w:rsidRDefault="00FC0D65" w:rsidP="00FC0D65">
      <w:pPr>
        <w:pStyle w:val="Subheading1"/>
        <w:rPr>
          <w:sz w:val="20"/>
          <w:szCs w:val="20"/>
        </w:rPr>
      </w:pPr>
      <w:r w:rsidRPr="00C6190E">
        <w:t>How Deloitte Will Operate C</w:t>
      </w:r>
      <w:r>
        <w:t>ERRS</w:t>
      </w:r>
    </w:p>
    <w:p w14:paraId="74A56A58" w14:textId="77777777" w:rsidR="00C6190E" w:rsidRPr="00C6190E" w:rsidRDefault="00C6190E" w:rsidP="00FC0D65">
      <w:pPr>
        <w:pStyle w:val="BodyText"/>
      </w:pPr>
      <w:r w:rsidRPr="00C6190E">
        <w:t>Deloitte will manage CERRS daily through platform monitoring, integration health, deployment discipline, and security operations, each running concurrently as standing obligations.</w:t>
      </w:r>
    </w:p>
    <w:p w14:paraId="08ED9879" w14:textId="77777777" w:rsidR="00C6190E" w:rsidRPr="00C6190E" w:rsidRDefault="00C6190E" w:rsidP="00FC0D65">
      <w:pPr>
        <w:pStyle w:val="BodyText"/>
      </w:pPr>
      <w:r w:rsidRPr="00C6190E">
        <w:lastRenderedPageBreak/>
        <w:t>Plugin execution logs will be reviewed daily for synchronous failures that block casework transactions in real time, asynchronous backlogs that delay case status updates, and workflow errors that stall dispute routing. CRM job queues will be actively managed against defined thresholds, so queue saturation is addressed before it affects casework throughput. Integration monitoring will cover the CERRS Connect interfaces to HICS, MIDAS, MCR, and the FFE with transaction logs reviewed daily for failed records, mapping errors, and timeout patterns. After-hours data loads will run against defined monitoring ownership, automated failure alerts, and documented escalation procedures so a failed load is identified, and recovery initiated within minutes, not at the start of the next business day.</w:t>
      </w:r>
    </w:p>
    <w:p w14:paraId="1DFF2004" w14:textId="77777777" w:rsidR="00C6190E" w:rsidRPr="00C6190E" w:rsidRDefault="00C6190E" w:rsidP="00FC0D65">
      <w:pPr>
        <w:pStyle w:val="BodyText"/>
      </w:pPr>
      <w:r w:rsidRPr="00C6190E">
        <w:t>Every CERRS release will follow managed solution discipline: customizations contained in properly structured solutions with publisher prefix controls, changes promoted through DEV, TEST, and PROD with configuration data migration handled separately from solution deployment, and rollback plans prepared before production deployment. Dynamics storage quotas and API rate limits will be monitored proactively because breaching either causes platform-wide impact, particularly during the concurrent high-volume periods of Open Enrollment and Form 1095-A season.</w:t>
      </w:r>
    </w:p>
    <w:p w14:paraId="3508A0E9" w14:textId="37AAF693" w:rsidR="00C6190E" w:rsidRPr="00FC0D65" w:rsidRDefault="00C6190E" w:rsidP="00FC0D65">
      <w:pPr>
        <w:pStyle w:val="BodyText"/>
      </w:pPr>
      <w:r w:rsidRPr="00C6190E">
        <w:t>Security operations will be maintained continuously. Role-based security profiles, field-level security for PII-containing casework fields, and team memberships will be updated as staff changes occur and as temporary analysts onboard during Form 1095-A ramps. Audit log compliance for sensitive fields will be a standing obligation, not a periodic review.</w:t>
      </w:r>
    </w:p>
    <w:p w14:paraId="2711E90E" w14:textId="32089A1F" w:rsidR="00C6190E" w:rsidRPr="00C6190E" w:rsidRDefault="00D34E5C" w:rsidP="00D34E5C">
      <w:pPr>
        <w:pStyle w:val="Heading5"/>
        <w:rPr>
          <w:rFonts w:ascii="Arial" w:eastAsia="Arial" w:hAnsi="Arial" w:cs="Arial"/>
          <w:i w:val="0"/>
          <w:color w:val="2E74B5"/>
          <w:sz w:val="20"/>
          <w:szCs w:val="20"/>
        </w:rPr>
      </w:pPr>
      <w:r w:rsidRPr="00D34E5C">
        <w:t>1.2.7.1.1</w:t>
      </w:r>
      <w:r w:rsidRPr="00D34E5C">
        <w:tab/>
      </w:r>
      <w:r w:rsidR="00C6190E" w:rsidRPr="00D34E5C">
        <w:t>MCR — Marketplace Consumer Record</w:t>
      </w:r>
    </w:p>
    <w:p w14:paraId="63DBB990" w14:textId="3EC8EA3D" w:rsidR="00C6190E" w:rsidRPr="00FC0D65" w:rsidRDefault="00C6190E" w:rsidP="00FC0D65">
      <w:pPr>
        <w:pStyle w:val="BodyText"/>
      </w:pPr>
      <w:r w:rsidRPr="00C6190E">
        <w:t>Deloitte will operate the MCR integration as a governed dependency within the CERRS release and monitoring framework. Daily monitoring will cover API response times, error rates, and timeout patterns across the consumer and enrollment data calls CERRS makes to support dispute research and casework resolution. Data mapping between MCR and CERRS will be maintained as a versioned artifact updated whenever either system changes, with integration regression tests validating field-level mapping accuracy, not just successful API responses, as part of every release cycle. As an MCR Data Contributor, Deloitte will govern consumer action and interaction data written back into MCR with automated confirmation monitoring, so contribution failures are detected before gaps accumulate and affect downstream case research.</w:t>
      </w:r>
    </w:p>
    <w:p w14:paraId="7F6AAE89" w14:textId="77777777" w:rsidR="00C6190E" w:rsidRPr="00C6190E" w:rsidRDefault="00C6190E" w:rsidP="00A557DC">
      <w:pPr>
        <w:pStyle w:val="Heading5"/>
        <w:rPr>
          <w:rFonts w:ascii="Arial" w:eastAsia="Arial" w:hAnsi="Arial" w:cs="Arial"/>
          <w:b/>
          <w:i w:val="0"/>
          <w:color w:val="174F36"/>
          <w:sz w:val="20"/>
          <w:szCs w:val="20"/>
        </w:rPr>
      </w:pPr>
      <w:r w:rsidRPr="00C6190E">
        <w:t>3.8.1.2 SEED</w:t>
      </w:r>
      <w:r w:rsidRPr="00C6190E">
        <w:rPr>
          <w:rFonts w:ascii="Arial" w:eastAsia="Arial" w:hAnsi="Arial" w:cs="Arial"/>
          <w:b/>
          <w:color w:val="174F36"/>
          <w:sz w:val="20"/>
          <w:szCs w:val="20"/>
        </w:rPr>
        <w:t xml:space="preserve"> — System of Exchange Enrollment Data</w:t>
      </w:r>
    </w:p>
    <w:p w14:paraId="5CAD3ED4" w14:textId="1D9E2D3F" w:rsidR="00A557DC" w:rsidRPr="00A557DC" w:rsidRDefault="00A557DC" w:rsidP="00A557DC">
      <w:pPr>
        <w:pStyle w:val="Subheading2"/>
      </w:pPr>
      <w:r w:rsidRPr="00A557DC">
        <w:t>.NET Application | CMS Enterprise Portal | Issuer-Facing | Real-Time FFE Data</w:t>
      </w:r>
    </w:p>
    <w:p w14:paraId="7A74E667" w14:textId="61EC7D70" w:rsidR="00C6190E" w:rsidRPr="00A557DC" w:rsidRDefault="00C6190E" w:rsidP="00A557DC">
      <w:pPr>
        <w:pStyle w:val="BodyText"/>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71B7FE4B" w14:textId="35B2A2C5" w:rsidR="00C6190E" w:rsidRPr="00C6190E" w:rsidRDefault="00A557DC" w:rsidP="00A557DC">
      <w:pPr>
        <w:pStyle w:val="Subheading1"/>
        <w:rPr>
          <w:sz w:val="20"/>
          <w:szCs w:val="20"/>
        </w:rPr>
      </w:pPr>
      <w:r w:rsidRPr="00C6190E">
        <w:t>How Deloitte Will Operate S</w:t>
      </w:r>
      <w:r>
        <w:t>EED</w:t>
      </w:r>
    </w:p>
    <w:p w14:paraId="2AA3CACE" w14:textId="77777777" w:rsidR="00C6190E" w:rsidRPr="00C6190E" w:rsidRDefault="00C6190E" w:rsidP="00A557DC">
      <w:pPr>
        <w:pStyle w:val="BodyText"/>
      </w:pPr>
      <w:r w:rsidRPr="00C6190E">
        <w:t>Deloitte will operate SEED across three concurrent responsibilities: application operations, issuer engagement delivery, and approver and user administration.</w:t>
      </w:r>
    </w:p>
    <w:p w14:paraId="68A81966" w14:textId="77777777" w:rsidR="00C6190E" w:rsidRPr="00C6190E" w:rsidRDefault="00C6190E" w:rsidP="00A557DC">
      <w:pPr>
        <w:pStyle w:val="BodyText"/>
      </w:pPr>
      <w:r w:rsidRPr="00C6190E">
        <w:lastRenderedPageBreak/>
        <w:t>On the application side, Deloitte will monitor SEED performance daily including portal response times, dispute submission success rates, API call volumes to the Enrollment Modernization APIs, and error patterns in the real-time FFE data retrieval layer. Submission path behavior will be validated against underlying API contracts before each release, specifically targeting dispute submission, status display, and approval workflow surfaces where misalignment generates the highest volume of issuer support demand. Release coordination will follow the same managed solution discipline applied across CERRS, with changes moving through DEV, TEST, and PROD and outage notifications issued to CMS and issuers in advance of any planned downtime.</w:t>
      </w:r>
    </w:p>
    <w:p w14:paraId="13E352B9" w14:textId="77777777" w:rsidR="00C6190E" w:rsidRPr="00C6190E" w:rsidRDefault="00C6190E" w:rsidP="00A557DC">
      <w:pPr>
        <w:pStyle w:val="BodyText"/>
      </w:pPr>
      <w:r w:rsidRPr="00C6190E">
        <w:t>Issuer engagement will be managed as a standing delivery commitment with defined ownership, not as an ad hoc activity. The four monthly slide presentations, two live issuer sessions with Q&amp;A, monthly CMS coordination meetings, and quarterly improvement recommendations will each have a designated owner, a preparation timeline, and a delivery standard. Issuer feedback captured through sessions and Q&amp;A will be documented and fed into the quarterly improvement recommendation cycle so CMS receives a structured view of issuer priorities rather than anecdotal input.</w:t>
      </w:r>
    </w:p>
    <w:p w14:paraId="16D29589" w14:textId="2AE9EA74" w:rsidR="00C6190E" w:rsidRPr="00A557DC" w:rsidRDefault="00C6190E" w:rsidP="00A557DC">
      <w:pPr>
        <w:pStyle w:val="BodyText"/>
      </w:pPr>
      <w:r w:rsidRPr="00C6190E">
        <w:t>Approver and user administration will be governed through a defined workflow with turnaround standards for each step. Issuer approver requests will be submitted to CMS within a defined timeframe of receipt, roster reconciliation will be performed on a regular cycle to identify and address access discrepancies, and offboarding will be completed promptly when issuer staff changes are reported. Administration will not be treated as a background task competing for engineering bandwidth.</w:t>
      </w:r>
    </w:p>
    <w:p w14:paraId="27BF63AA" w14:textId="4A8D53A3" w:rsidR="00C6190E" w:rsidRPr="00C6190E" w:rsidRDefault="00A557DC" w:rsidP="00A557DC">
      <w:pPr>
        <w:pStyle w:val="Heading4"/>
        <w:rPr>
          <w:rFonts w:ascii="Arial" w:eastAsia="Arial" w:hAnsi="Arial" w:cs="Arial"/>
          <w:i w:val="0"/>
          <w:color w:val="2E74B5"/>
          <w:sz w:val="20"/>
          <w:szCs w:val="20"/>
        </w:rPr>
      </w:pPr>
      <w:r w:rsidRPr="00A557DC">
        <w:t>1.2.7.2</w:t>
      </w:r>
      <w:r w:rsidRPr="00A557DC">
        <w:tab/>
      </w:r>
      <w:r w:rsidR="00C6190E" w:rsidRPr="00A557DC">
        <w:t xml:space="preserve"> HICS</w:t>
      </w:r>
      <w:r w:rsidR="00C6190E" w:rsidRPr="00C6190E">
        <w:rPr>
          <w:rFonts w:ascii="Arial" w:eastAsia="Arial" w:hAnsi="Arial" w:cs="Arial"/>
          <w:b/>
          <w:color w:val="174F36"/>
          <w:sz w:val="20"/>
          <w:szCs w:val="20"/>
        </w:rPr>
        <w:t xml:space="preserve"> — Health Insurance Casework System</w:t>
      </w:r>
    </w:p>
    <w:p w14:paraId="34A23F57" w14:textId="15E106DB" w:rsidR="00A557DC" w:rsidRPr="00A557DC" w:rsidRDefault="00A557DC" w:rsidP="00A557DC">
      <w:pPr>
        <w:pStyle w:val="Subheading2"/>
      </w:pPr>
      <w:r w:rsidRPr="00A557DC">
        <w:t>Custom .NET | Azure Government | Casework Routing | Stakeholder Integration</w:t>
      </w:r>
    </w:p>
    <w:p w14:paraId="313F40AA" w14:textId="03BA051C" w:rsidR="00C6190E" w:rsidRPr="00A557DC" w:rsidRDefault="00C6190E" w:rsidP="00A557DC">
      <w:pPr>
        <w:pStyle w:val="BodyText"/>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62A07F11" w14:textId="0B06045B" w:rsidR="00C6190E" w:rsidRPr="00C6190E" w:rsidRDefault="00A557DC" w:rsidP="00A557DC">
      <w:pPr>
        <w:pStyle w:val="Subheading1"/>
        <w:rPr>
          <w:sz w:val="20"/>
          <w:szCs w:val="20"/>
        </w:rPr>
      </w:pPr>
      <w:r w:rsidRPr="00C6190E">
        <w:t>How Deloitte Will Operate H</w:t>
      </w:r>
      <w:r>
        <w:t>ICS</w:t>
      </w:r>
    </w:p>
    <w:p w14:paraId="67AA0EF5" w14:textId="77777777" w:rsidR="00C6190E" w:rsidRPr="00C6190E" w:rsidRDefault="00C6190E" w:rsidP="00A557DC">
      <w:pPr>
        <w:pStyle w:val="BodyText"/>
      </w:pPr>
      <w:r w:rsidRPr="00C6190E">
        <w:t>Deloitte will operate HICS with particular focus on routing integrity, release validation, and service desk consistency — the three areas where HICS operational failures have the most direct downstream consequences for casework SLA performance.</w:t>
      </w:r>
    </w:p>
    <w:p w14:paraId="020CCE09" w14:textId="77777777" w:rsidR="00C6190E" w:rsidRPr="00C6190E" w:rsidRDefault="00C6190E" w:rsidP="00A557DC">
      <w:pPr>
        <w:pStyle w:val="BodyText"/>
      </w:pPr>
      <w:r w:rsidRPr="00C6190E">
        <w:t>Routing and queue health will be monitored daily. Deloitte will track case assignment accuracy, queue aging, and handoff completion rates across all active routing paths to identify misrouted cases, stalled queues, and failed CERRS handoffs before they age beyond SLA thresholds. When routing anomalies are detected, Deloitte will trace them to their origin — whether a routing rule, a status transition, a field value, or an integration failure with MIDAS, NGD, or CERRS — and remediate at the source rather than manually reassigning affected cases as a workaround.</w:t>
      </w:r>
    </w:p>
    <w:p w14:paraId="4048DA81" w14:textId="77777777" w:rsidR="00C6190E" w:rsidRPr="00C6190E" w:rsidRDefault="00C6190E" w:rsidP="00A557DC">
      <w:pPr>
        <w:pStyle w:val="BodyText"/>
      </w:pPr>
      <w:r w:rsidRPr="00C6190E">
        <w:t xml:space="preserve">Release validation for HICS will be more rigorous than for systems where errors are more easily contained. Because a routing rule change or intake field modification can silently misroute cases across all active </w:t>
      </w:r>
      <w:r w:rsidRPr="00C6190E">
        <w:lastRenderedPageBreak/>
        <w:t>queues, Deloitte will maintain regression test coverage mapped to every active routing path and handoff condition. No change affecting intake logic, queue configuration, or the CERRS handoff interface will be promoted to production without that coverage validated and signed off.</w:t>
      </w:r>
    </w:p>
    <w:p w14:paraId="45F35949" w14:textId="77777777" w:rsidR="00C6190E" w:rsidRPr="00C6190E" w:rsidRDefault="00C6190E" w:rsidP="00A557DC">
      <w:pPr>
        <w:pStyle w:val="BodyText"/>
      </w:pPr>
      <w:r w:rsidRPr="00C6190E">
        <w:t>Service desk operations across Tier 1, 2, and 3 will be governed through defined resolution timeframes, documented escalation criteria, and runbooks that are updated within the same release cycle that changes the HICS behavior they describe. Deloitte will track first contact resolution rates and escalation patterns by issue type so that recurring service desk issues are identified as candidates for permanent engineering fixes rather than repeated manual handling.</w:t>
      </w:r>
    </w:p>
    <w:p w14:paraId="78D3E352" w14:textId="6D103B5A" w:rsidR="00C6190E" w:rsidRPr="00C6190E" w:rsidRDefault="00A557DC" w:rsidP="00A557DC">
      <w:pPr>
        <w:pStyle w:val="Heading4"/>
        <w:rPr>
          <w:rFonts w:ascii="Arial" w:eastAsia="Arial" w:hAnsi="Arial" w:cs="Arial"/>
          <w:i w:val="0"/>
          <w:color w:val="2E74B5"/>
          <w:sz w:val="20"/>
          <w:szCs w:val="20"/>
        </w:rPr>
      </w:pPr>
      <w:r w:rsidRPr="00A557DC">
        <w:t>1.2.7.3</w:t>
      </w:r>
      <w:r w:rsidRPr="00A557DC">
        <w:tab/>
      </w:r>
      <w:r w:rsidR="00C6190E" w:rsidRPr="00A557DC">
        <w:t xml:space="preserve"> EDA CORE — Enrollment Data Alignment CERRS Operations Reporting Environment</w:t>
      </w:r>
    </w:p>
    <w:p w14:paraId="33FFDB5D" w14:textId="6E52598A" w:rsidR="00A557DC" w:rsidRPr="00A557DC" w:rsidRDefault="00A557DC" w:rsidP="00A557DC">
      <w:pPr>
        <w:pStyle w:val="Subheading2"/>
      </w:pPr>
      <w:r w:rsidRPr="00A557DC">
        <w:t>Snowflake | Azure Government | 834 Ingestion | Analytics | FedRAMP</w:t>
      </w:r>
    </w:p>
    <w:p w14:paraId="264C86AF" w14:textId="542C96BC" w:rsidR="00C6190E" w:rsidRPr="00A557DC" w:rsidRDefault="00C6190E" w:rsidP="00A557DC">
      <w:pPr>
        <w:pStyle w:val="BodyText"/>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60D7A217" w14:textId="02F4C78A" w:rsidR="00C6190E" w:rsidRPr="00C6190E" w:rsidRDefault="00635113" w:rsidP="00635113">
      <w:pPr>
        <w:pStyle w:val="Subheading1"/>
        <w:rPr>
          <w:sz w:val="20"/>
          <w:szCs w:val="20"/>
        </w:rPr>
      </w:pPr>
      <w:r w:rsidRPr="00C6190E">
        <w:t>How Deloitte Will Operate E</w:t>
      </w:r>
      <w:r>
        <w:t>DA</w:t>
      </w:r>
      <w:r w:rsidRPr="00C6190E">
        <w:t xml:space="preserve"> Core</w:t>
      </w:r>
    </w:p>
    <w:p w14:paraId="7A23C4CD" w14:textId="77777777" w:rsidR="00C6190E" w:rsidRPr="00C6190E" w:rsidRDefault="00C6190E" w:rsidP="00635113">
      <w:pPr>
        <w:pStyle w:val="BodyText"/>
      </w:pPr>
      <w:r w:rsidRPr="00C6190E">
        <w:t>Deloitte will operate EDA CORE across pipeline operations, data quality management, reporting delivery, and Snowflake platform administration as concurrent standing obligations.</w:t>
      </w:r>
    </w:p>
    <w:p w14:paraId="4941DDEA" w14:textId="77777777" w:rsidR="00C6190E" w:rsidRPr="00C6190E" w:rsidRDefault="00C6190E" w:rsidP="00635113">
      <w:pPr>
        <w:pStyle w:val="BodyText"/>
      </w:pPr>
      <w:r w:rsidRPr="00C6190E">
        <w:t>The 834 ingestion pipeline operations will be governed through automated job monitoring with defined failure detection thresholds, alerting, and escalation procedures for every scheduled load. During Open Enrollment when pipeline volumes reach thousands of transactions per hour, Deloitte will maintain heightened monitoring coverage with pre-positioned escalation contacts and documented recovery procedures for the most likely failure scenarios. Pipeline failures will be triaged to root cause — whether a source file format issue, a transformation logic error, a Snowflake loading failure, or an upstream MIDAS extraction problem — so remediation targets the origin rather than reprocessing data without understanding why it failed.</w:t>
      </w:r>
    </w:p>
    <w:p w14:paraId="7EEB3425" w14:textId="77777777" w:rsidR="00C6190E" w:rsidRPr="00C6190E" w:rsidRDefault="00C6190E" w:rsidP="00635113">
      <w:pPr>
        <w:pStyle w:val="BodyText"/>
      </w:pPr>
      <w:r w:rsidRPr="00C6190E">
        <w:t>Data quality will be managed through validation rules applied at ingestion that check 834 transaction completeness, field conformance, and referential integrity before data enters the EDA CORE transformation layer. Records failing validation will be quarantined, logged, and reported to CMS rather than silently dropped or passed through with errors. Deloitte will maintain data lineage documentation from source 834 file through each transformation step to every reporting output so that when a metric in an EAPS report or Account Manager Dashboard is questioned, the answer can be traced and provided quickly without manual reconstruction.</w:t>
      </w:r>
    </w:p>
    <w:p w14:paraId="203C5CFD" w14:textId="77777777" w:rsidR="00C6190E" w:rsidRPr="00C6190E" w:rsidRDefault="00C6190E" w:rsidP="00635113">
      <w:pPr>
        <w:pStyle w:val="BodyText"/>
      </w:pPr>
      <w:r w:rsidRPr="00C6190E">
        <w:t xml:space="preserve">Reporting delivery will be managed against defined production schedules. Monthly EAPS reports, Account Manager Dashboard updates, payment anomaly reports, and dispute processing reports will each have an owner, a production timeline, a quality review step, and a defined distribution process. Deloitte will maintain </w:t>
      </w:r>
      <w:r w:rsidRPr="00C6190E">
        <w:lastRenderedPageBreak/>
        <w:t>a shared metric definition library across all EDA CORE reporting outputs so that the same underlying data produces consistent results regardless of which report surface a stakeholder is viewing.</w:t>
      </w:r>
    </w:p>
    <w:p w14:paraId="0658C765" w14:textId="42E7D8E0" w:rsidR="00C6190E" w:rsidRPr="00635113" w:rsidRDefault="00C6190E" w:rsidP="00635113">
      <w:pPr>
        <w:pStyle w:val="BodyText"/>
      </w:pPr>
      <w:r w:rsidRPr="00C6190E">
        <w:t>Snowflake platform administration will include continuous query performance monitoring, storage management, and warehouse sizing reviews conducted on a regular cycle. Deloitte will identify and address query performance degradation before it affects reporting response times, manage Snowflake credit consumption against defined thresholds, and coordinate the FedRAMP sponsorship obligations for the Azure Government Snowflake deployment as a standing governance responsibility.</w:t>
      </w:r>
    </w:p>
    <w:p w14:paraId="16E6231E" w14:textId="77777777" w:rsidR="00C6190E" w:rsidRPr="00C6190E" w:rsidRDefault="00C6190E" w:rsidP="00635113">
      <w:pPr>
        <w:pStyle w:val="Subheading1"/>
        <w:rPr>
          <w:rFonts w:ascii="Arial" w:eastAsia="Arial" w:hAnsi="Arial" w:cs="Arial"/>
          <w:b w:val="0"/>
          <w:bCs/>
          <w:color w:val="1F6B4A"/>
          <w:sz w:val="22"/>
        </w:rPr>
      </w:pPr>
      <w:r w:rsidRPr="00C6190E">
        <w:t>Phase 2: Smart Technology Operations</w:t>
      </w:r>
    </w:p>
    <w:p w14:paraId="76D75AE3" w14:textId="2FCE7B2D" w:rsidR="00635113" w:rsidRPr="00635113" w:rsidRDefault="00635113" w:rsidP="00635113">
      <w:pPr>
        <w:pStyle w:val="Subheading2"/>
      </w:pPr>
      <w:r w:rsidRPr="00635113">
        <w:t>Smart Technology Operations — ASCEND Agentic AI Platform</w:t>
      </w:r>
    </w:p>
    <w:p w14:paraId="58C38F66" w14:textId="5159A156" w:rsidR="00C6190E" w:rsidRPr="00C6190E" w:rsidRDefault="00C6190E" w:rsidP="00635113">
      <w:pPr>
        <w:pStyle w:val="BodyText"/>
      </w:pPr>
      <w:r w:rsidRPr="00C6190E">
        <w:t>Once the current environment is operating under a controlled delivery model, Deloitte will systematically reduce the manual effort, reactive posture, and technical fragility that characterize complex multi-system environments over time. We apply ASCEND — Deloitte's proprietary Agentic AI platform for technology maintenance, operations, and software delivery — progressively across CERRS, HICS, SEED, and EDA CORE as a governed, human-supervised improvement layer.</w:t>
      </w:r>
    </w:p>
    <w:p w14:paraId="64D9A0A1" w14:textId="473CE780" w:rsidR="00C6190E" w:rsidRPr="00635113" w:rsidRDefault="00C6190E" w:rsidP="00635113">
      <w:pPr>
        <w:pStyle w:val="BodyText"/>
      </w:pPr>
      <w:r w:rsidRPr="00C6190E">
        <w:t>ASCEND is a library of purpose-built AI agents organized across two capability domains: Intelligent Operations and SDLC Acceleration. Deployment begins with passive observation and AI-assisted diagnostics, then expands into guided automation and enhancement support as operational evidence accumulates. All agent actions operate under human oversight with defined approval gates.</w:t>
      </w:r>
    </w:p>
    <w:p w14:paraId="5AB5D7BF" w14:textId="0009AC31"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7117FF8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0606625" w14:textId="77777777" w:rsidR="00C6190E" w:rsidRPr="00C6190E" w:rsidRDefault="00C6190E">
            <w:pPr>
              <w:pStyle w:val="TableHeading"/>
              <w:rPr>
                <w:rFonts w:ascii="Arial" w:eastAsia="Arial" w:hAnsi="Arial" w:cs="Arial"/>
                <w:szCs w:val="20"/>
              </w:rPr>
            </w:pPr>
            <w:r w:rsidRPr="00BE098B">
              <w:t>Capability</w:t>
            </w:r>
          </w:p>
        </w:tc>
        <w:tc>
          <w:tcPr>
            <w:tcW w:w="3510" w:type="dxa"/>
          </w:tcPr>
          <w:p w14:paraId="7D3B59E0"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68F3EEA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5F670111" w14:textId="77777777">
        <w:tc>
          <w:tcPr>
            <w:cnfStyle w:val="001000000000" w:firstRow="0" w:lastRow="0" w:firstColumn="1" w:lastColumn="0" w:oddVBand="0" w:evenVBand="0" w:oddHBand="0" w:evenHBand="0" w:firstRowFirstColumn="0" w:firstRowLastColumn="0" w:lastRowFirstColumn="0" w:lastRowLastColumn="0"/>
            <w:tcW w:w="2245" w:type="dxa"/>
          </w:tcPr>
          <w:p w14:paraId="40B36724" w14:textId="77777777" w:rsidR="00C6190E" w:rsidRPr="00C6190E" w:rsidRDefault="00C6190E" w:rsidP="00635113">
            <w:pPr>
              <w:pStyle w:val="TableRowHeading"/>
              <w:rPr>
                <w:rFonts w:ascii="Arial" w:eastAsia="Arial" w:hAnsi="Arial" w:cs="Arial"/>
                <w:szCs w:val="20"/>
              </w:rPr>
            </w:pPr>
            <w:r w:rsidRPr="00F24CEC">
              <w:t>ITSM Incident Management</w:t>
            </w:r>
          </w:p>
        </w:tc>
        <w:tc>
          <w:tcPr>
            <w:tcW w:w="3510" w:type="dxa"/>
          </w:tcPr>
          <w:p w14:paraId="3D889C6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3CE6055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38BA748B" w14:textId="77777777">
        <w:tc>
          <w:tcPr>
            <w:cnfStyle w:val="001000000000" w:firstRow="0" w:lastRow="0" w:firstColumn="1" w:lastColumn="0" w:oddVBand="0" w:evenVBand="0" w:oddHBand="0" w:evenHBand="0" w:firstRowFirstColumn="0" w:firstRowLastColumn="0" w:lastRowFirstColumn="0" w:lastRowLastColumn="0"/>
            <w:tcW w:w="2245" w:type="dxa"/>
          </w:tcPr>
          <w:p w14:paraId="0DA0C0B2" w14:textId="77777777" w:rsidR="00C6190E" w:rsidRPr="00C6190E" w:rsidRDefault="00C6190E" w:rsidP="00635113">
            <w:pPr>
              <w:pStyle w:val="TableRowHeading"/>
              <w:rPr>
                <w:rFonts w:ascii="Arial" w:eastAsia="Arial" w:hAnsi="Arial" w:cs="Arial"/>
                <w:szCs w:val="20"/>
              </w:rPr>
            </w:pPr>
            <w:r w:rsidRPr="00F24CEC">
              <w:t>Root Cause Analysis and Issue Detection</w:t>
            </w:r>
          </w:p>
        </w:tc>
        <w:tc>
          <w:tcPr>
            <w:tcW w:w="3510" w:type="dxa"/>
          </w:tcPr>
          <w:p w14:paraId="6B0D262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727CCC67"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33F6770F" w14:textId="77777777">
        <w:tc>
          <w:tcPr>
            <w:cnfStyle w:val="001000000000" w:firstRow="0" w:lastRow="0" w:firstColumn="1" w:lastColumn="0" w:oddVBand="0" w:evenVBand="0" w:oddHBand="0" w:evenHBand="0" w:firstRowFirstColumn="0" w:firstRowLastColumn="0" w:lastRowFirstColumn="0" w:lastRowLastColumn="0"/>
            <w:tcW w:w="2245" w:type="dxa"/>
          </w:tcPr>
          <w:p w14:paraId="6415CC57" w14:textId="77777777" w:rsidR="00C6190E" w:rsidRPr="00C6190E" w:rsidRDefault="00C6190E" w:rsidP="00635113">
            <w:pPr>
              <w:pStyle w:val="TableRowHeading"/>
              <w:rPr>
                <w:rFonts w:ascii="Arial" w:eastAsia="Arial" w:hAnsi="Arial" w:cs="Arial"/>
                <w:szCs w:val="20"/>
              </w:rPr>
            </w:pPr>
            <w:r w:rsidRPr="00F24CEC">
              <w:t>Intelligent Alert Management</w:t>
            </w:r>
          </w:p>
        </w:tc>
        <w:tc>
          <w:tcPr>
            <w:tcW w:w="3510" w:type="dxa"/>
          </w:tcPr>
          <w:p w14:paraId="334D094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2D69192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47BCEE9D" w14:textId="77777777">
        <w:tc>
          <w:tcPr>
            <w:cnfStyle w:val="001000000000" w:firstRow="0" w:lastRow="0" w:firstColumn="1" w:lastColumn="0" w:oddVBand="0" w:evenVBand="0" w:oddHBand="0" w:evenHBand="0" w:firstRowFirstColumn="0" w:firstRowLastColumn="0" w:lastRowFirstColumn="0" w:lastRowLastColumn="0"/>
            <w:tcW w:w="2245" w:type="dxa"/>
          </w:tcPr>
          <w:p w14:paraId="11425364" w14:textId="77777777" w:rsidR="00C6190E" w:rsidRPr="00C6190E" w:rsidRDefault="00C6190E" w:rsidP="00635113">
            <w:pPr>
              <w:pStyle w:val="TableRowHeading"/>
              <w:rPr>
                <w:rFonts w:ascii="Arial" w:eastAsia="Arial" w:hAnsi="Arial" w:cs="Arial"/>
                <w:szCs w:val="20"/>
              </w:rPr>
            </w:pPr>
            <w:r w:rsidRPr="00F24CEC">
              <w:t>Batch Job and Pipeline Monitoring</w:t>
            </w:r>
          </w:p>
        </w:tc>
        <w:tc>
          <w:tcPr>
            <w:tcW w:w="3510" w:type="dxa"/>
          </w:tcPr>
          <w:p w14:paraId="3885EE1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 xml:space="preserve">Near real-time detection of CERRS after-hours data load failures and EDA CORE 834 ingestion job failures. Automated RCA using a knowledge base of historical incidents and </w:t>
            </w:r>
            <w:r w:rsidRPr="00693CC3">
              <w:lastRenderedPageBreak/>
              <w:t>runbooks. Engineer-approved remediation execution.</w:t>
            </w:r>
          </w:p>
        </w:tc>
        <w:tc>
          <w:tcPr>
            <w:tcW w:w="3595" w:type="dxa"/>
          </w:tcPr>
          <w:p w14:paraId="050C664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lastRenderedPageBreak/>
              <w:t xml:space="preserve">Detection and remediation of CERRS data load failures and EDA CORE 834 ingestion failures improves by 70%. Continuous Known Error Database (KEDB) updates mean repeat </w:t>
            </w:r>
            <w:r w:rsidRPr="0086228A">
              <w:lastRenderedPageBreak/>
              <w:t>failures across both systems are resolved faster with each occurrence.</w:t>
            </w:r>
          </w:p>
        </w:tc>
      </w:tr>
      <w:tr w:rsidR="00C6190E" w:rsidRPr="00C6190E" w14:paraId="36A7D266" w14:textId="77777777">
        <w:tc>
          <w:tcPr>
            <w:cnfStyle w:val="001000000000" w:firstRow="0" w:lastRow="0" w:firstColumn="1" w:lastColumn="0" w:oddVBand="0" w:evenVBand="0" w:oddHBand="0" w:evenHBand="0" w:firstRowFirstColumn="0" w:firstRowLastColumn="0" w:lastRowFirstColumn="0" w:lastRowLastColumn="0"/>
            <w:tcW w:w="2245" w:type="dxa"/>
          </w:tcPr>
          <w:p w14:paraId="361ACCAF" w14:textId="77777777" w:rsidR="00C6190E" w:rsidRPr="00C6190E" w:rsidRDefault="00C6190E" w:rsidP="00635113">
            <w:pPr>
              <w:pStyle w:val="TableRowHeading"/>
              <w:rPr>
                <w:rFonts w:ascii="Arial" w:eastAsia="Arial" w:hAnsi="Arial" w:cs="Arial"/>
                <w:szCs w:val="20"/>
              </w:rPr>
            </w:pPr>
            <w:r w:rsidRPr="00F24CEC">
              <w:lastRenderedPageBreak/>
              <w:t>Change Impact Assessment</w:t>
            </w:r>
          </w:p>
        </w:tc>
        <w:tc>
          <w:tcPr>
            <w:tcW w:w="3510" w:type="dxa"/>
          </w:tcPr>
          <w:p w14:paraId="3D2B32A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3D42619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5F3F7163" w14:textId="77777777" w:rsidR="00C6190E" w:rsidRPr="00C6190E" w:rsidRDefault="00C6190E" w:rsidP="00635113">
      <w:pPr>
        <w:pStyle w:val="ParagraphSpacer"/>
      </w:pPr>
    </w:p>
    <w:p w14:paraId="0AFCB863" w14:textId="0F824DE2" w:rsidR="00635113" w:rsidRDefault="00635113" w:rsidP="00635113">
      <w:pPr>
        <w:pStyle w:val="TableTitle"/>
      </w:pPr>
      <w:r w:rsidRPr="00635113">
        <w:t>Table X.X-X. SDLC Acceleration — AI-Assisted Development and Maintenance</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3FA9B665" w14:textId="77777777" w:rsidTr="006351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261EF1E" w14:textId="77777777" w:rsidR="00C6190E" w:rsidRPr="00C6190E" w:rsidRDefault="00C6190E" w:rsidP="00635113">
            <w:pPr>
              <w:pStyle w:val="TableHeading"/>
              <w:rPr>
                <w:rFonts w:ascii="Arial" w:eastAsia="Arial" w:hAnsi="Arial" w:cs="Arial"/>
                <w:szCs w:val="20"/>
              </w:rPr>
            </w:pPr>
            <w:r w:rsidRPr="00BE098B">
              <w:t>Capability</w:t>
            </w:r>
          </w:p>
        </w:tc>
        <w:tc>
          <w:tcPr>
            <w:tcW w:w="3510" w:type="dxa"/>
          </w:tcPr>
          <w:p w14:paraId="021F103E"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7CBED2CB"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24055EBF"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CC70E3D" w14:textId="77777777" w:rsidR="00C6190E" w:rsidRPr="00C6190E" w:rsidRDefault="00C6190E" w:rsidP="00635113">
            <w:pPr>
              <w:pStyle w:val="TableRowHeading"/>
              <w:rPr>
                <w:rFonts w:ascii="Arial" w:eastAsia="Arial" w:hAnsi="Arial" w:cs="Arial"/>
                <w:szCs w:val="20"/>
              </w:rPr>
            </w:pPr>
            <w:r w:rsidRPr="00CA2F9F">
              <w:t>Developer Assistant and Code Quality</w:t>
            </w:r>
          </w:p>
        </w:tc>
        <w:tc>
          <w:tcPr>
            <w:tcW w:w="3510" w:type="dxa"/>
          </w:tcPr>
          <w:p w14:paraId="2B7A3A4A"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Developer Assistant agents integrated with CERRS, HICS, SEED, and EDA CORE code repositories and Continuous Integration/Continuous Delivery (CI/CD) pipelines. Automated code quality review, security vulnerability scanning, and unit and integration test generation for every code submission across all four systems.</w:t>
            </w:r>
          </w:p>
        </w:tc>
        <w:tc>
          <w:tcPr>
            <w:tcW w:w="3595" w:type="dxa"/>
          </w:tcPr>
          <w:p w14:paraId="0B1AF3BD"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Code quality issues and security vulnerabilities are identified before they reach production across CERRS, HICS, SEED, and EDA CORE. Developers spend less time on manual review and more time on engineering work that requires human judgment.</w:t>
            </w:r>
          </w:p>
        </w:tc>
      </w:tr>
      <w:tr w:rsidR="00C6190E" w:rsidRPr="00C6190E" w14:paraId="3E37111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7D108AFE" w14:textId="77777777" w:rsidR="00C6190E" w:rsidRPr="00C6190E" w:rsidRDefault="00C6190E" w:rsidP="00635113">
            <w:pPr>
              <w:pStyle w:val="TableRowHeading"/>
              <w:rPr>
                <w:rFonts w:ascii="Arial" w:eastAsia="Arial" w:hAnsi="Arial" w:cs="Arial"/>
                <w:szCs w:val="20"/>
              </w:rPr>
            </w:pPr>
            <w:r w:rsidRPr="00CA2F9F">
              <w:t>Automated Bug Remediation</w:t>
            </w:r>
          </w:p>
        </w:tc>
        <w:tc>
          <w:tcPr>
            <w:tcW w:w="3510" w:type="dxa"/>
          </w:tcPr>
          <w:p w14:paraId="7EB128A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identified low-risk production bugs across CERRS, HICS, SEED, and EDA CORE, agents perform Root Cause Analysis (RCA), generate a code fix, and submit for developer review and approval. Proactive dependency scanning identifies outdated or vulnerable libraries with auto-generated update tickets.</w:t>
            </w:r>
          </w:p>
        </w:tc>
        <w:tc>
          <w:tcPr>
            <w:tcW w:w="3595" w:type="dxa"/>
          </w:tcPr>
          <w:p w14:paraId="6D71B4E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Routine bug remediation cycle time is reduced by 60% across all systems. Dependency vulnerabilities in CERRS plug-ins, HICS integrations, and EDA CORE pipelines are identified and addressed before they become production incidents.</w:t>
            </w:r>
          </w:p>
        </w:tc>
      </w:tr>
      <w:tr w:rsidR="00C6190E" w:rsidRPr="00C6190E" w14:paraId="03D4E98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1965D5D" w14:textId="77777777" w:rsidR="00C6190E" w:rsidRPr="00C6190E" w:rsidRDefault="00C6190E" w:rsidP="00635113">
            <w:pPr>
              <w:pStyle w:val="TableRowHeading"/>
              <w:rPr>
                <w:rFonts w:ascii="Arial" w:eastAsia="Arial" w:hAnsi="Arial" w:cs="Arial"/>
                <w:szCs w:val="20"/>
              </w:rPr>
            </w:pPr>
            <w:r w:rsidRPr="00CA2F9F">
              <w:t>AI-Assisted Enhancement Delivery</w:t>
            </w:r>
          </w:p>
        </w:tc>
        <w:tc>
          <w:tcPr>
            <w:tcW w:w="3510" w:type="dxa"/>
          </w:tcPr>
          <w:p w14:paraId="6088AEB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bounded CMS-prioritized enhancements across CERRS, SEED, HICS, and EDA CORE, agents take a technical specification, generate code, produce tests, update documentation, and package for deployment under senior developer supervision and approval.</w:t>
            </w:r>
          </w:p>
        </w:tc>
        <w:tc>
          <w:tcPr>
            <w:tcW w:w="3595" w:type="dxa"/>
          </w:tcPr>
          <w:p w14:paraId="76A3C54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Enhancement delivery cycle time is reduced by 50% from approved requirement to production deployment. CMS-prioritized improvements move through the Software Development Life Cycle (SDLC) faster without reducing governance or quality controls.</w:t>
            </w:r>
          </w:p>
        </w:tc>
      </w:tr>
      <w:tr w:rsidR="00C6190E" w:rsidRPr="00C6190E" w14:paraId="08D0D3CC"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1A0E94C4" w14:textId="77777777" w:rsidR="00C6190E" w:rsidRPr="00C6190E" w:rsidRDefault="00C6190E" w:rsidP="00635113">
            <w:pPr>
              <w:pStyle w:val="TableRowHeading"/>
              <w:rPr>
                <w:rFonts w:ascii="Arial" w:eastAsia="Arial" w:hAnsi="Arial" w:cs="Arial"/>
                <w:szCs w:val="20"/>
              </w:rPr>
            </w:pPr>
            <w:r w:rsidRPr="00CA2F9F">
              <w:t>Sprint Planning and Estimation</w:t>
            </w:r>
          </w:p>
        </w:tc>
        <w:tc>
          <w:tcPr>
            <w:tcW w:w="3510" w:type="dxa"/>
          </w:tcPr>
          <w:p w14:paraId="3C6DDEB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Automated effort estimation with complexity classification, user story generation with acceptance criteria, and capacity-aware sprint distribution applied to the ER&amp;R bi-weekly release calendar across all systems.</w:t>
            </w:r>
          </w:p>
        </w:tc>
        <w:tc>
          <w:tcPr>
            <w:tcW w:w="3595" w:type="dxa"/>
          </w:tcPr>
          <w:p w14:paraId="5E05350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Sprint estimation time is reduced by 60% across the bi-weekly release cycle. Sprint planning accuracy improves by 85% so delivery commitments across CERRS, SEED, HICS, and EDA CORE are more predictable and reliable for CMS.</w:t>
            </w:r>
          </w:p>
        </w:tc>
      </w:tr>
      <w:tr w:rsidR="00C6190E" w:rsidRPr="00C6190E" w14:paraId="730CAFC3"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4E59E2B2" w14:textId="77777777" w:rsidR="00C6190E" w:rsidRPr="00C6190E" w:rsidRDefault="00C6190E" w:rsidP="00635113">
            <w:pPr>
              <w:pStyle w:val="TableRowHeading"/>
              <w:rPr>
                <w:rFonts w:ascii="Arial" w:eastAsia="Arial" w:hAnsi="Arial" w:cs="Arial"/>
                <w:szCs w:val="20"/>
              </w:rPr>
            </w:pPr>
            <w:r w:rsidRPr="00CA2F9F">
              <w:t>Documentation and Knowledge Currency</w:t>
            </w:r>
          </w:p>
        </w:tc>
        <w:tc>
          <w:tcPr>
            <w:tcW w:w="3510" w:type="dxa"/>
          </w:tcPr>
          <w:p w14:paraId="695A993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Agents generate and refresh technical documentation, dependency maps, runbooks, and support artifacts from code changes, configurations, and ticket resolution patterns across all systems, synchronized with every release cycle.</w:t>
            </w:r>
          </w:p>
        </w:tc>
        <w:tc>
          <w:tcPr>
            <w:tcW w:w="3595" w:type="dxa"/>
          </w:tcPr>
          <w:p w14:paraId="53B57314"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Technical documentation across CERRS, HICS, SEED, and EDA CORE stays aligned with what is running in production. Onboarding time for new staff is reduced, and service desk staff always work from current guidance rather than documentation that predates the last release.</w:t>
            </w:r>
          </w:p>
        </w:tc>
      </w:tr>
    </w:tbl>
    <w:p w14:paraId="48BFC273" w14:textId="77777777" w:rsidR="00C6190E" w:rsidRPr="00C6190E" w:rsidRDefault="00C6190E" w:rsidP="00635113">
      <w:pPr>
        <w:pStyle w:val="ParagraphSpacer"/>
      </w:pPr>
    </w:p>
    <w:p w14:paraId="7F93A44B" w14:textId="77777777" w:rsidR="00C6190E" w:rsidRPr="00C6190E" w:rsidRDefault="00C6190E" w:rsidP="005B7775">
      <w:pPr>
        <w:pStyle w:val="Subheading1"/>
        <w:rPr>
          <w:rFonts w:ascii="Arial" w:eastAsia="Arial" w:hAnsi="Arial" w:cs="Arial"/>
          <w:b w:val="0"/>
          <w:bCs/>
          <w:color w:val="1F6B4A"/>
          <w:sz w:val="22"/>
        </w:rPr>
      </w:pPr>
      <w:r w:rsidRPr="00C6190E">
        <w:t>Phase 3: Smart Business Operations</w:t>
      </w:r>
    </w:p>
    <w:p w14:paraId="718A78E8" w14:textId="40B399F3" w:rsidR="005B7775" w:rsidRPr="00C6190E" w:rsidRDefault="005B7775" w:rsidP="005B7775">
      <w:pPr>
        <w:pStyle w:val="Subheading2"/>
      </w:pPr>
      <w:r w:rsidRPr="005B7775">
        <w:t>Smart Business Operations — Health Intelligence Agentic AI Platform</w:t>
      </w:r>
    </w:p>
    <w:p w14:paraId="71C8B163" w14:textId="77777777" w:rsidR="00C6190E" w:rsidRPr="00C6190E" w:rsidRDefault="00C6190E" w:rsidP="005B7775">
      <w:pPr>
        <w:pStyle w:val="BodyText"/>
      </w:pPr>
      <w:r w:rsidRPr="00C6190E">
        <w:t xml:space="preserve">HealthIntelligence is Deloitte's purpose-built operational intelligence platform designed for policy-heavy, judgment-intensive environments. It combines CMS-approved SOPs, business rules, approved playbooks, </w:t>
      </w:r>
      <w:r w:rsidRPr="00C6190E">
        <w:lastRenderedPageBreak/>
        <w:t>and case-specific data to help analysts work faster and more consistently while preserving human accountability for every final decision and action.</w:t>
      </w:r>
    </w:p>
    <w:p w14:paraId="3B4A2651" w14:textId="77777777" w:rsidR="00C6190E" w:rsidRPr="00C6190E" w:rsidRDefault="00C6190E" w:rsidP="005B7775">
      <w:pPr>
        <w:pStyle w:val="BodyText"/>
      </w:pPr>
      <w:r w:rsidRPr="00C6190E">
        <w:t>Deployed as a governed intelligence layer across CERRS, HICS, SEED, and EDA CORE, HealthIntelligence will help analysts assemble cross-system case context, navigate approved resolution playbooks, and produce audit-traceable outputs without manually traversing multiple systems. All outputs are traceable to source policy, approved procedures, and case-specific facts, making every recommendation explainable and auditable for CMS oversight and contractor performance review.</w:t>
      </w:r>
    </w:p>
    <w:p w14:paraId="4AA627EA" w14:textId="07AAFCAF" w:rsidR="00C6190E" w:rsidRPr="005B7775" w:rsidRDefault="00C6190E" w:rsidP="005B7775">
      <w:pPr>
        <w:pStyle w:val="BodyText"/>
      </w:pPr>
      <w:r w:rsidRPr="00C6190E">
        <w:t>The full application of HealthIntelligence across issuer disputes, Form 1095-A consumer disputes, CCHC, notice generation, telephone and correspondence support, and quality assurance is addressed in Tasks 2 through 9.</w:t>
      </w:r>
    </w:p>
    <w:p w14:paraId="635615D8" w14:textId="77777777" w:rsidR="00C6190E" w:rsidRPr="00C6190E" w:rsidRDefault="00C6190E" w:rsidP="005B7775">
      <w:pPr>
        <w:pStyle w:val="Subheading1"/>
        <w:rPr>
          <w:rFonts w:ascii="Arial" w:eastAsia="Arial" w:hAnsi="Arial" w:cs="Arial"/>
          <w:b w:val="0"/>
          <w:bCs/>
          <w:color w:val="1F6B4A"/>
          <w:sz w:val="22"/>
        </w:rPr>
      </w:pPr>
      <w:r w:rsidRPr="00C6190E">
        <w:t>Phase 4: Agentic Front End</w:t>
      </w:r>
    </w:p>
    <w:p w14:paraId="3B982ECE" w14:textId="78C408FD" w:rsidR="005B7775" w:rsidRPr="005B7775" w:rsidRDefault="005B7775" w:rsidP="005B7775">
      <w:pPr>
        <w:pStyle w:val="Subheading2"/>
      </w:pPr>
      <w:r w:rsidRPr="005B7775">
        <w:t>Agentic Front End — Unified Role-Aware Interface</w:t>
      </w:r>
    </w:p>
    <w:p w14:paraId="35C830EA" w14:textId="77777777" w:rsidR="00C6190E" w:rsidRDefault="00C6190E" w:rsidP="0031446F">
      <w:pPr>
        <w:pStyle w:val="BodyText"/>
      </w:pPr>
      <w:r w:rsidRPr="00C6190E">
        <w:t xml:space="preserve">Today, a case worker navigates two systems to assemble the context needed to resolve a single dispute. An issuer searches across multiple screens to track down an enrollment discrepancy such as an incorrect coverage start date. A consumer calls the FFE Call Center for guidance they should be able to access themselves. Phase 4 changes that. Deloitte will introduce a unified, role-aware conversational interface that gives every user a single point of interaction with the ER&amp;R environment. Staff, issuers, and consumers engage through natural language. The interface resolves their role and intent in the background, surfaces only what they are authorized to see, and connects them directly to the workflows, case context, and guidance they need. </w:t>
      </w:r>
    </w:p>
    <w:p w14:paraId="4880D81E" w14:textId="15000BD0" w:rsidR="0031446F" w:rsidRDefault="0031446F" w:rsidP="0031446F">
      <w:pPr>
        <w:pStyle w:val="FigureTitle"/>
      </w:pPr>
      <w:r>
        <w:t>Figure 1.2.7-3. [Deloitte to populate: figure title and graphic].</w:t>
      </w:r>
      <w:r w:rsidRPr="0031446F"/>
      <w:r/>
    </w:p>
    <w:p w14:paraId="45B76582" w14:textId="6CFC6D76" w:rsidR="0031446F" w:rsidRPr="0031446F" w:rsidRDefault="0031446F" w:rsidP="0031446F">
      <w:pPr>
        <w:pStyle w:val="FigureGraphic"/>
      </w:pPr>
      <w:r>
        <w:rPr>
          <w:noProof/>
        </w:rPr>
        <w:drawing>
          <wp:inline distT="0" distB="0" distL="0" distR="0" wp14:anchorId="6AB119CA" wp14:editId="4BA0A590">
            <wp:extent cx="6401435" cy="5304155"/>
            <wp:effectExtent l="0" t="0" r="0" b="0"/>
            <wp:docPr id="749566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01435" cy="5304155"/>
                    </a:xfrm>
                    <a:prstGeom prst="rect">
                      <a:avLst/>
                    </a:prstGeom>
                    <a:noFill/>
                  </pic:spPr>
                </pic:pic>
              </a:graphicData>
            </a:graphic>
          </wp:inline>
        </w:drawing>
      </w:r>
    </w:p>
    <w:p w14:paraId="084B3489" w14:textId="77777777" w:rsidR="00C6190E" w:rsidRPr="00C6190E" w:rsidRDefault="00C6190E" w:rsidP="0031446F">
      <w:pPr>
        <w:pStyle w:val="ParagraphSpacer"/>
      </w:pPr>
    </w:p>
    <w:p w14:paraId="482B16DA" w14:textId="77777777" w:rsidR="00C6190E" w:rsidRDefault="00C6190E" w:rsidP="0031446F">
      <w:pPr>
        <w:pStyle w:val="BodyText"/>
      </w:pPr>
      <w:r w:rsidRPr="00C6190E">
        <w:t>The interface will be introduced in three progressive stages. Each stage is validated before the next is extended.</w:t>
      </w:r>
    </w:p>
    <w:p w14:paraId="00367534" w14:textId="743A0D1E" w:rsidR="0031446F" w:rsidRDefault="0031446F" w:rsidP="0031446F">
      <w:pPr>
        <w:pStyle w:val="TableTitle"/>
      </w:pPr>
      <w:r>
        <w:t>Table 1.2.7-2. AI-Assisted Development Capabilities.</w:t>
      </w:r>
    </w:p>
    <w:tbl>
      <w:tblPr>
        <w:tblStyle w:val="DeloitteTable2"/>
        <w:tblW w:w="5000" w:type="pct"/>
        <w:tblLook w:val="06A0" w:firstRow="1" w:lastRow="0" w:firstColumn="1" w:lastColumn="0" w:noHBand="1" w:noVBand="1"/>
      </w:tblPr>
      <w:tblGrid>
        <w:gridCol w:w="1975"/>
        <w:gridCol w:w="7375"/>
      </w:tblGrid>
      <w:tr w:rsidR="00C6190E" w:rsidRPr="00C6190E" w14:paraId="32F7F91F" w14:textId="77777777" w:rsidTr="0031446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75" w:type="dxa"/>
          </w:tcPr>
          <w:p w14:paraId="3818940B" w14:textId="77777777" w:rsidR="00C6190E" w:rsidRPr="00C6190E" w:rsidRDefault="00C6190E" w:rsidP="0031446F">
            <w:pPr>
              <w:pStyle w:val="TableHeading"/>
              <w:rPr>
                <w:rFonts w:ascii="Arial" w:eastAsia="Arial" w:hAnsi="Arial" w:cs="Arial"/>
                <w:szCs w:val="20"/>
              </w:rPr>
            </w:pPr>
            <w:r w:rsidRPr="00D24442">
              <w:t>Stage</w:t>
            </w:r>
          </w:p>
        </w:tc>
        <w:tc>
          <w:tcPr>
            <w:tcW w:w="7375" w:type="dxa"/>
          </w:tcPr>
          <w:p w14:paraId="21F44496" w14:textId="77777777" w:rsidR="00C6190E" w:rsidRPr="00C6190E" w:rsidRDefault="00C6190E" w:rsidP="0031446F">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D24442">
              <w:t>User Experience and Outcome</w:t>
            </w:r>
          </w:p>
        </w:tc>
      </w:tr>
      <w:tr w:rsidR="00C6190E" w:rsidRPr="00C6190E" w14:paraId="5813343F"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E1CF0CD" w14:textId="77777777" w:rsidR="00C6190E" w:rsidRPr="00C6190E" w:rsidRDefault="00C6190E" w:rsidP="0031446F">
            <w:pPr>
              <w:pStyle w:val="TableRowHeading"/>
              <w:rPr>
                <w:rFonts w:ascii="Arial" w:eastAsia="Arial" w:hAnsi="Arial" w:cs="Arial"/>
                <w:szCs w:val="20"/>
              </w:rPr>
            </w:pPr>
            <w:r w:rsidRPr="00D47415">
              <w:t xml:space="preserve">Stage 1 - Internal Command Center </w:t>
            </w:r>
          </w:p>
        </w:tc>
        <w:tc>
          <w:tcPr>
            <w:tcW w:w="7375" w:type="dxa"/>
          </w:tcPr>
          <w:p w14:paraId="674EE0CE"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Staff use natural language: "Get a summary of case #12345," "Start a new Form 1095-A dispute," "What is the status of the monthly issuer reconciliation file?" The interface surfaces direct answers and workflow options immediately. Outcome: faster staff execution, reduced training time, and consistent process execution without navigating multiple systems.</w:t>
            </w:r>
          </w:p>
        </w:tc>
      </w:tr>
      <w:tr w:rsidR="00C6190E" w:rsidRPr="00C6190E" w14:paraId="2A1E29AC"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73C846ED" w14:textId="77777777" w:rsidR="00C6190E" w:rsidRPr="00C6190E" w:rsidRDefault="00C6190E" w:rsidP="0031446F">
            <w:pPr>
              <w:pStyle w:val="TableRowHeading"/>
              <w:rPr>
                <w:rFonts w:ascii="Arial" w:eastAsia="Arial" w:hAnsi="Arial" w:cs="Arial"/>
                <w:szCs w:val="20"/>
              </w:rPr>
            </w:pPr>
            <w:r w:rsidRPr="00D47415">
              <w:t xml:space="preserve">Stage 2 - Issuer Self-Service Portal </w:t>
            </w:r>
          </w:p>
        </w:tc>
        <w:tc>
          <w:tcPr>
            <w:tcW w:w="7375" w:type="dxa"/>
          </w:tcPr>
          <w:p w14:paraId="6555DD78"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Issuers interact conversationally: "Submit a new enrollment data dispute," "Check the status of my dispute file," "When is the next data submission deadline?" A simpler alternative to SEED portal navigation for common tasks. Outcome: improved issuer satisfaction and reduced inbound support demand.</w:t>
            </w:r>
          </w:p>
        </w:tc>
      </w:tr>
      <w:tr w:rsidR="00C6190E" w:rsidRPr="00C6190E" w14:paraId="68BE8A2E"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2318698" w14:textId="77777777" w:rsidR="00C6190E" w:rsidRPr="00C6190E" w:rsidRDefault="00C6190E" w:rsidP="0031446F">
            <w:pPr>
              <w:pStyle w:val="TableRowHeading"/>
              <w:rPr>
                <w:rFonts w:ascii="Arial" w:eastAsia="Arial" w:hAnsi="Arial" w:cs="Arial"/>
                <w:szCs w:val="20"/>
              </w:rPr>
            </w:pPr>
            <w:r w:rsidRPr="00D47415">
              <w:lastRenderedPageBreak/>
              <w:t xml:space="preserve">Stage 3 - Consumer Self-Service Hub </w:t>
            </w:r>
          </w:p>
        </w:tc>
        <w:tc>
          <w:tcPr>
            <w:tcW w:w="7375" w:type="dxa"/>
          </w:tcPr>
          <w:p w14:paraId="210570A1"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Consumers receive plain-language guidance: "I need to correct my Form 1095-A," "Why did I receive this notice?" For authenticated users, the interface initiates casework directly. Outcome: consumers resolve common Form 1095-A questions without calling the CCHC, avoidable inbound contacts decrease, and caseworker capacity is preserved for complex cases.</w:t>
            </w:r>
          </w:p>
        </w:tc>
      </w:tr>
    </w:tbl>
    <w:p w14:paraId="0D6DDE8B" w14:textId="77777777" w:rsidR="0031446F" w:rsidRDefault="0031446F" w:rsidP="0031446F">
      <w:pPr>
        <w:pStyle w:val="ParagraphSpacer"/>
      </w:pPr>
    </w:p>
    <w:p w14:paraId="70C801AA" w14:textId="77777777" w:rsidR="00C6190E" w:rsidRPr="00C6190E" w:rsidRDefault="00C6190E" w:rsidP="00585C6C">
      <w:pPr>
        <w:pStyle w:val="BodyText"/>
      </w:pPr>
      <w:r w:rsidRPr="00C6190E">
        <w:t>Role-based access controls and security boundaries will be confirmed at each rollout decision point. Prompts, workflow triggers, and knowledge retrieval will be refined through internal use before external users are introduced. This staged approach ensures CMS realizes user experience benefits in a controlled way without introducing operational or security risk.</w:t>
      </w:r>
    </w:p>
    <w:p w14:paraId="43F4D9BC" w14:textId="77777777" w:rsidR="00C6190E" w:rsidRPr="00C6190E" w:rsidRDefault="00C6190E" w:rsidP="00585C6C">
      <w:pPr>
        <w:pStyle w:val="Subheading1"/>
        <w:rPr>
          <w:rFonts w:ascii="Arial" w:eastAsia="Arial" w:hAnsi="Arial" w:cs="Arial"/>
          <w:b w:val="0"/>
          <w:color w:val="1F6B4A"/>
          <w:sz w:val="22"/>
        </w:rPr>
      </w:pPr>
      <w:r w:rsidRPr="00C6190E">
        <w:t>Phase 5: Modernize Core</w:t>
      </w:r>
    </w:p>
    <w:p w14:paraId="5C30192A" w14:textId="0766675D" w:rsidR="00585C6C" w:rsidRPr="00585C6C" w:rsidRDefault="00585C6C" w:rsidP="00585C6C">
      <w:pPr>
        <w:pStyle w:val="Subheading2"/>
      </w:pPr>
      <w:r w:rsidRPr="00585C6C">
        <w:t>Modernize Core — ER&amp;R 2.0 Future-State Vision (Not Proposed or Priced)</w:t>
      </w:r>
    </w:p>
    <w:p w14:paraId="7CB3E82F" w14:textId="10202927" w:rsidR="00C6190E" w:rsidRPr="00C6190E" w:rsidRDefault="00C6190E" w:rsidP="000776DA">
      <w:pPr>
        <w:pStyle w:val="BodyText"/>
      </w:pPr>
      <w:r w:rsidRPr="00C6190E">
        <w:t>Running four systems reliably is not the same as running them efficiently over the long term. Phases 1 through 4 make the ER&amp;R environment more stable, more intelligent, and easier to use. They do not reduce the underlying complexity of maintaining four separate platforms, four separate security footprints, and a growing integration surface across CERRS, HICS, SEED, and EDA CORE. That complexity does not become a crisis but it does become a cost — in maintenance labor, upgrade cycles, and the coordination overhead that comes with every release touching multiple interdependent systems.</w:t>
      </w:r>
    </w:p>
    <w:p w14:paraId="3D31AC0F" w14:textId="3F094F0E" w:rsidR="00C6190E" w:rsidRPr="00C6190E" w:rsidRDefault="00C6190E" w:rsidP="000776DA">
      <w:pPr>
        <w:pStyle w:val="BodyText"/>
      </w:pPr>
      <w:r w:rsidRPr="00C6190E">
        <w:t>Phase 5 addresses that cost by pursuing a deliberate, long-term consolidation of the ER&amp;R architecture into a more unified and sustainable core. Under this vision, functions currently distributed across CERRS, HICS, SEED, and EDA CORE would be rationalized into two modern platforms: a Unified CRM for casework, workflow, and user interaction, and a Unified Enterprise Data Warehouse for shared data, reporting, and analytics. Critically, ASCEND, HealthIntelligence, and the conversational interface do not get rebuilt — they re-platform onto the new architecture and continue operating without interruption, protecting every investment made in earlier phases.</w:t>
      </w:r>
    </w:p>
    <w:p w14:paraId="399F258C" w14:textId="0207786A" w:rsidR="00C6190E" w:rsidRPr="000776DA" w:rsidRDefault="00C6190E" w:rsidP="000776DA">
      <w:pPr>
        <w:pStyle w:val="BodyText"/>
      </w:pPr>
      <w:r w:rsidRPr="00C6190E">
        <w:t>Phase 5 is a recommended future-state direction. It is not proposed or priced as part of this bid. Deloitte raises it because the work delivered in Phases 1 through 4 naturally builds the foundation for it. Better documentation, cleaner integrations, governed data models, and a more traceable environment do not just make today's operations stronger. They make future consolidation a realistic option rather than a risky undertaking. CMS does not need to make that decision now. When the time is right, the groundwork will already be in place.</w:t>
      </w:r>
    </w:p>
    <w:p w14:paraId="6D3F2F46" w14:textId="6582E8DB" w:rsidR="00F06D69" w:rsidRPr="000776DA" w:rsidRDefault="000776DA" w:rsidP="000776DA">
      <w:pPr>
        <w:pStyle w:val="TableTitle"/>
      </w:pPr>
      <w:r>
        <w:t xml:space="preserve">Table X.X-X. </w:t>
      </w:r>
      <w:r w:rsidRPr="000776DA">
        <w:t>Challenges and Mitigations</w:t>
      </w:r>
      <w:r>
        <w:t>.</w:t>
      </w:r>
    </w:p>
    <w:tbl>
      <w:tblPr>
        <w:tblStyle w:val="DeloitteTable2"/>
        <w:tblW w:w="5000" w:type="pct"/>
        <w:tblLook w:val="0620" w:firstRow="1" w:lastRow="0" w:firstColumn="0" w:lastColumn="0" w:noHBand="1" w:noVBand="1"/>
      </w:tblPr>
      <w:tblGrid>
        <w:gridCol w:w="3955"/>
        <w:gridCol w:w="5395"/>
      </w:tblGrid>
      <w:tr w:rsidR="00C6190E" w:rsidRPr="00C6190E" w14:paraId="5FDB0A8D" w14:textId="77777777" w:rsidTr="000776DA">
        <w:trPr>
          <w:cnfStyle w:val="100000000000" w:firstRow="1" w:lastRow="0" w:firstColumn="0" w:lastColumn="0" w:oddVBand="0" w:evenVBand="0" w:oddHBand="0" w:evenHBand="0" w:firstRowFirstColumn="0" w:firstRowLastColumn="0" w:lastRowFirstColumn="0" w:lastRowLastColumn="0"/>
          <w:tblHeader/>
        </w:trPr>
        <w:tc>
          <w:tcPr>
            <w:tcW w:w="3955" w:type="dxa"/>
          </w:tcPr>
          <w:p w14:paraId="29703896" w14:textId="77777777" w:rsidR="00C6190E" w:rsidRPr="00C6190E" w:rsidRDefault="00C6190E" w:rsidP="000776DA">
            <w:pPr>
              <w:pStyle w:val="TableHeading"/>
              <w:rPr>
                <w:rFonts w:ascii="Arial" w:eastAsia="Arial" w:hAnsi="Arial" w:cs="Arial"/>
                <w:szCs w:val="20"/>
              </w:rPr>
            </w:pPr>
            <w:r w:rsidRPr="00D73175">
              <w:t>Challenge</w:t>
            </w:r>
          </w:p>
        </w:tc>
        <w:tc>
          <w:tcPr>
            <w:tcW w:w="5395" w:type="dxa"/>
          </w:tcPr>
          <w:p w14:paraId="5137AC55" w14:textId="77777777" w:rsidR="00C6190E" w:rsidRPr="00C6190E" w:rsidRDefault="00C6190E" w:rsidP="000776DA">
            <w:pPr>
              <w:pStyle w:val="TableHeading"/>
              <w:rPr>
                <w:rFonts w:ascii="Arial" w:eastAsia="Arial" w:hAnsi="Arial" w:cs="Arial"/>
                <w:szCs w:val="20"/>
              </w:rPr>
            </w:pPr>
            <w:r w:rsidRPr="00D73175">
              <w:t>Mitigation</w:t>
            </w:r>
          </w:p>
        </w:tc>
      </w:tr>
      <w:tr w:rsidR="00C6190E" w:rsidRPr="00C6190E" w14:paraId="023E3319" w14:textId="77777777" w:rsidTr="000776DA">
        <w:tc>
          <w:tcPr>
            <w:tcW w:w="3955" w:type="dxa"/>
          </w:tcPr>
          <w:p w14:paraId="71309C9C" w14:textId="77777777" w:rsidR="00C6190E" w:rsidRPr="00C6190E" w:rsidRDefault="00C6190E" w:rsidP="000776DA">
            <w:pPr>
              <w:pStyle w:val="TableBody"/>
              <w:spacing w:after="0"/>
              <w:rPr>
                <w:rFonts w:ascii="Arial" w:eastAsia="Arial" w:hAnsi="Arial" w:cs="Arial"/>
                <w:szCs w:val="20"/>
              </w:rPr>
            </w:pPr>
            <w:r w:rsidRPr="00BA4956">
              <w:t>Transition knowledge risk: Critical operational knowledge for CERRS, HICS, SEED, and EDA CORE is concentrated in a small number of incumbent subject matter experts. Gaps in knowledge transfer create risk of production disruption during takeover.</w:t>
            </w:r>
          </w:p>
        </w:tc>
        <w:tc>
          <w:tcPr>
            <w:tcW w:w="5395" w:type="dxa"/>
          </w:tcPr>
          <w:p w14:paraId="70F50142" w14:textId="77777777" w:rsidR="00C6190E" w:rsidRPr="00C6190E" w:rsidRDefault="00C6190E" w:rsidP="000776DA">
            <w:pPr>
              <w:pStyle w:val="TableBody"/>
              <w:spacing w:after="0"/>
              <w:rPr>
                <w:rFonts w:ascii="Arial" w:eastAsia="Arial" w:hAnsi="Arial" w:cs="Arial"/>
                <w:szCs w:val="20"/>
              </w:rPr>
            </w:pPr>
            <w:r w:rsidRPr="000776DA">
              <w:t>Phase 0 Transition Intelligence deploys TruNorth during transition-in to systematically capture system architecture, business rules, workflows, and operational dependencies directly from source code and configurations. The incoming team begins full operations with a validated knowledge base rather than relying on individual incumbents.</w:t>
            </w:r>
          </w:p>
        </w:tc>
      </w:tr>
      <w:tr w:rsidR="00C6190E" w:rsidRPr="00C6190E" w14:paraId="67760C45" w14:textId="77777777" w:rsidTr="000776DA">
        <w:tc>
          <w:tcPr>
            <w:tcW w:w="3955" w:type="dxa"/>
          </w:tcPr>
          <w:p w14:paraId="273AEBC6" w14:textId="77777777" w:rsidR="00C6190E" w:rsidRPr="00C6190E" w:rsidRDefault="00C6190E" w:rsidP="000776DA">
            <w:pPr>
              <w:pStyle w:val="TableBody"/>
              <w:spacing w:after="0"/>
              <w:rPr>
                <w:rFonts w:ascii="Arial" w:eastAsia="Arial" w:hAnsi="Arial" w:cs="Arial"/>
                <w:szCs w:val="20"/>
              </w:rPr>
            </w:pPr>
            <w:r w:rsidRPr="00BA4956">
              <w:t>Concurrent delivery demands: Bi-weekly releases, after-hours data loads, quarterly rule updates, annual form changes, and CMS-prioritized enhancements must advance simultaneously without production disruption across four interdependent systems.</w:t>
            </w:r>
          </w:p>
        </w:tc>
        <w:tc>
          <w:tcPr>
            <w:tcW w:w="5395" w:type="dxa"/>
          </w:tcPr>
          <w:p w14:paraId="1A73CC6C" w14:textId="77777777" w:rsidR="00C6190E" w:rsidRPr="00C6190E" w:rsidRDefault="00C6190E" w:rsidP="000776DA">
            <w:pPr>
              <w:pStyle w:val="TableBody"/>
              <w:spacing w:after="0"/>
              <w:rPr>
                <w:rFonts w:ascii="Arial" w:eastAsia="Arial" w:hAnsi="Arial" w:cs="Arial"/>
                <w:szCs w:val="20"/>
              </w:rPr>
            </w:pPr>
            <w:r w:rsidRPr="000776DA">
              <w:t>The two-lane delivery model separates Operations and Maintenance from Enhancement and Modernization so urgent production issues do not displace scheduled releases and planned change does not crowd out daily operational response. Shared intake and a coordinated release calendar govern all work across both lanes.</w:t>
            </w:r>
          </w:p>
        </w:tc>
      </w:tr>
      <w:tr w:rsidR="00C6190E" w:rsidRPr="00C6190E" w14:paraId="577019DB" w14:textId="77777777" w:rsidTr="000776DA">
        <w:tc>
          <w:tcPr>
            <w:tcW w:w="3955" w:type="dxa"/>
          </w:tcPr>
          <w:p w14:paraId="36C1A662" w14:textId="77777777" w:rsidR="00C6190E" w:rsidRPr="00C6190E" w:rsidRDefault="00C6190E" w:rsidP="000776DA">
            <w:pPr>
              <w:pStyle w:val="TableBody"/>
              <w:spacing w:after="0"/>
              <w:rPr>
                <w:rFonts w:ascii="Arial" w:eastAsia="Arial" w:hAnsi="Arial" w:cs="Arial"/>
                <w:szCs w:val="20"/>
              </w:rPr>
            </w:pPr>
            <w:r w:rsidRPr="00BA4956">
              <w:lastRenderedPageBreak/>
              <w:t>Cross-system change impact: A change to CERRS plug-ins, SEED API contracts, HICS routing logic, or EDA CORE transformation pipelines can create cascading downstream effects across interfaces that are difficult to anticipate manually.</w:t>
            </w:r>
          </w:p>
        </w:tc>
        <w:tc>
          <w:tcPr>
            <w:tcW w:w="5395" w:type="dxa"/>
          </w:tcPr>
          <w:p w14:paraId="3E18C5FC" w14:textId="77777777" w:rsidR="00C6190E" w:rsidRPr="00C6190E" w:rsidRDefault="00C6190E" w:rsidP="000776DA">
            <w:pPr>
              <w:pStyle w:val="TableBody"/>
              <w:spacing w:after="0"/>
              <w:rPr>
                <w:rFonts w:ascii="Arial" w:eastAsia="Arial" w:hAnsi="Arial" w:cs="Arial"/>
                <w:szCs w:val="20"/>
              </w:rPr>
            </w:pPr>
            <w:r w:rsidRPr="000776DA">
              <w:t>Phase 2 ASCEND change impact assessment agents analyze upstream and downstream dependencies across all four systems before every bi-weekly release. No change reaches production without a validated view of its effects across system boundaries.</w:t>
            </w:r>
          </w:p>
        </w:tc>
      </w:tr>
      <w:tr w:rsidR="00C6190E" w:rsidRPr="00C6190E" w14:paraId="0786A3FB" w14:textId="77777777" w:rsidTr="000776DA">
        <w:tc>
          <w:tcPr>
            <w:tcW w:w="3955" w:type="dxa"/>
          </w:tcPr>
          <w:p w14:paraId="029CC113" w14:textId="77777777" w:rsidR="00C6190E" w:rsidRPr="00C6190E" w:rsidRDefault="00C6190E" w:rsidP="000776DA">
            <w:pPr>
              <w:pStyle w:val="TableBody"/>
              <w:spacing w:after="0"/>
              <w:rPr>
                <w:rFonts w:ascii="Arial" w:eastAsia="Arial" w:hAnsi="Arial" w:cs="Arial"/>
                <w:szCs w:val="20"/>
              </w:rPr>
            </w:pPr>
            <w:r w:rsidRPr="00BA4956">
              <w:t>Peak volume readiness: The 834 ingestion pipeline must sustain thousands of transactions per hour during Open Enrollment. Form 1095-A casework triples January through May. Both peaks arrive at fixed, predictable schedules.</w:t>
            </w:r>
          </w:p>
        </w:tc>
        <w:tc>
          <w:tcPr>
            <w:tcW w:w="5395" w:type="dxa"/>
          </w:tcPr>
          <w:p w14:paraId="52A7B990" w14:textId="77777777" w:rsidR="00C6190E" w:rsidRPr="00C6190E" w:rsidRDefault="00C6190E" w:rsidP="000776DA">
            <w:pPr>
              <w:pStyle w:val="TableBody"/>
              <w:spacing w:after="0"/>
              <w:rPr>
                <w:rFonts w:ascii="Arial" w:eastAsia="Arial" w:hAnsi="Arial" w:cs="Arial"/>
                <w:szCs w:val="20"/>
              </w:rPr>
            </w:pPr>
            <w:r w:rsidRPr="000776DA">
              <w:t>EDA CORE infrastructure will be pre-scaled ahead of Open Enrollment. Staffing ramp plans for 100 to 120 temporary Form 1095-A case analysts will be initiated with sufficient lead time to complete onboarding and security requirements before peak volume arrives. Phase 3 HealthIntelligence triage agents will reduce manual processing burden during peak periods.</w:t>
            </w:r>
          </w:p>
        </w:tc>
      </w:tr>
      <w:tr w:rsidR="00C6190E" w:rsidRPr="00C6190E" w14:paraId="5B225206" w14:textId="77777777" w:rsidTr="000776DA">
        <w:tc>
          <w:tcPr>
            <w:tcW w:w="3955" w:type="dxa"/>
          </w:tcPr>
          <w:p w14:paraId="534D966B" w14:textId="77777777" w:rsidR="00C6190E" w:rsidRPr="00C6190E" w:rsidRDefault="00C6190E" w:rsidP="000776DA">
            <w:pPr>
              <w:pStyle w:val="TableBody"/>
              <w:spacing w:after="0"/>
              <w:rPr>
                <w:rFonts w:ascii="Arial" w:eastAsia="Arial" w:hAnsi="Arial" w:cs="Arial"/>
                <w:szCs w:val="20"/>
              </w:rPr>
            </w:pPr>
            <w:r w:rsidRPr="00BA4956">
              <w:t>Documentation: Technical documentation across four systems risks falling out of alignment with production behavior as the environment evolves across multiple release cycles.</w:t>
            </w:r>
          </w:p>
        </w:tc>
        <w:tc>
          <w:tcPr>
            <w:tcW w:w="5395" w:type="dxa"/>
          </w:tcPr>
          <w:p w14:paraId="62907696" w14:textId="77777777" w:rsidR="00C6190E" w:rsidRPr="00C6190E" w:rsidRDefault="00C6190E" w:rsidP="000776DA">
            <w:pPr>
              <w:pStyle w:val="TableBody"/>
              <w:spacing w:after="0"/>
              <w:rPr>
                <w:rFonts w:ascii="Arial" w:eastAsia="Arial" w:hAnsi="Arial" w:cs="Arial"/>
                <w:szCs w:val="20"/>
              </w:rPr>
            </w:pPr>
            <w:r w:rsidRPr="000776DA">
              <w:t>Documentation updates will be embedded in every release cycle as a standing delivery requirement. Phase 2 ASCEND documentation agents will auto-refresh technical artifacts from code changes and ticket resolution patterns so that runbooks, SOPs, and system documentation always reflect the live environment.</w:t>
            </w:r>
          </w:p>
        </w:tc>
      </w:tr>
      <w:tr w:rsidR="00C6190E" w:rsidRPr="00C6190E" w14:paraId="40522508" w14:textId="77777777" w:rsidTr="000776DA">
        <w:tc>
          <w:tcPr>
            <w:tcW w:w="3955" w:type="dxa"/>
          </w:tcPr>
          <w:p w14:paraId="4EB1A1D8" w14:textId="77777777" w:rsidR="00C6190E" w:rsidRPr="00C6190E" w:rsidRDefault="00C6190E" w:rsidP="000776DA">
            <w:pPr>
              <w:pStyle w:val="TableBody"/>
              <w:spacing w:after="0"/>
              <w:rPr>
                <w:rFonts w:ascii="Arial" w:eastAsia="Arial" w:hAnsi="Arial" w:cs="Arial"/>
                <w:szCs w:val="20"/>
              </w:rPr>
            </w:pPr>
            <w:r w:rsidRPr="00BA4956">
              <w:t>Security and compliance continuity: FedRAMP, FISMA, HIPAA, PII, and Federal Tax Information protections, 508 compliance, and FedRAMP sponsorship for the Snowflake deployment must be maintained continuously across a CMS MAG cloud environment handling sensitive data.</w:t>
            </w:r>
          </w:p>
        </w:tc>
        <w:tc>
          <w:tcPr>
            <w:tcW w:w="5395" w:type="dxa"/>
          </w:tcPr>
          <w:p w14:paraId="0F9ACA5E" w14:textId="77777777" w:rsidR="00C6190E" w:rsidRPr="00C6190E" w:rsidRDefault="00C6190E" w:rsidP="000776DA">
            <w:pPr>
              <w:pStyle w:val="TableBody"/>
              <w:spacing w:after="0"/>
              <w:rPr>
                <w:rFonts w:ascii="Arial" w:eastAsia="Arial" w:hAnsi="Arial" w:cs="Arial"/>
                <w:szCs w:val="20"/>
              </w:rPr>
            </w:pPr>
            <w:r w:rsidRPr="000776DA">
              <w:t>A dedicated Security and Privacy Officer with Certified Information Systems Security Professional certification will maintain oversight across all systems. Security scanning, Plan of Action and Milestones management, and 508 compliance reviews will be integrated into the standard Software Development Life Cycle as standing obligations rather than periodic events.</w:t>
            </w:r>
          </w:p>
        </w:tc>
      </w:tr>
      <w:tr w:rsidR="00C6190E" w:rsidRPr="00C6190E" w14:paraId="1C8183E2" w14:textId="77777777" w:rsidTr="000776DA">
        <w:tc>
          <w:tcPr>
            <w:tcW w:w="3955" w:type="dxa"/>
          </w:tcPr>
          <w:p w14:paraId="2A63762E" w14:textId="77777777" w:rsidR="00C6190E" w:rsidRDefault="00C6190E" w:rsidP="000776DA">
            <w:pPr>
              <w:pStyle w:val="TableBody"/>
              <w:spacing w:after="0"/>
            </w:pPr>
            <w:r w:rsidRPr="00BA4956">
              <w:t>EDA CORE ingestion reliability: 834 pipeline failures during Open Enrollment have immediate downstream consequences for reconciliation processing, dispute resolution, and payment accuracy.</w:t>
            </w:r>
          </w:p>
        </w:tc>
        <w:tc>
          <w:tcPr>
            <w:tcW w:w="5395" w:type="dxa"/>
          </w:tcPr>
          <w:p w14:paraId="44B9871F" w14:textId="77777777" w:rsidR="00C6190E" w:rsidRPr="000776DA" w:rsidRDefault="00C6190E" w:rsidP="000776DA">
            <w:pPr>
              <w:pStyle w:val="TableBody"/>
              <w:spacing w:after="0"/>
            </w:pPr>
            <w:r w:rsidRPr="000776DA">
              <w:t>Automated job monitoring with defined failure detection thresholds, alerting, and escalation procedures will be in place before Open Enrollment begins. Recovery procedures will be documented and tested so that pipeline failures are remediated within minutes through a governed process rather than an unstructured overnight response.</w:t>
            </w:r>
          </w:p>
        </w:tc>
      </w:tr>
    </w:tbl>
    <w:p w14:paraId="19DCC20F" w14:textId="77777777" w:rsidR="00C6190E" w:rsidRDefault="00C6190E" w:rsidP="00C9250A">
      <w:pPr>
        <w:pStyle w:val="ParagraphSpacer"/>
        <w:rPr>
          <w:rStyle w:val="eop"/>
          <w:rFonts w:eastAsia="Times New Roman" w:cs="Segoe UI"/>
          <w:szCs w:val="24"/>
        </w:rPr>
      </w:pPr>
    </w:p>
    <w:p w14:paraId="2510D85D" w14:textId="5D5ED34B" w:rsidR="00C6190E" w:rsidRPr="00625471" w:rsidRDefault="00C6190E" w:rsidP="00C9250A">
      <w:pPr>
        <w:pStyle w:val="Subheading1"/>
        <w:rPr>
          <w:rStyle w:val="eop"/>
          <w:rFonts w:eastAsia="Times New Roman" w:cs="Segoe UI"/>
          <w:b w:val="0"/>
          <w:szCs w:val="24"/>
        </w:rPr>
      </w:pPr>
      <w:r w:rsidRPr="00625471">
        <w:rPr>
          <w:rStyle w:val="eop"/>
          <w:rFonts w:eastAsia="Times New Roman" w:cs="Segoe UI"/>
          <w:szCs w:val="24"/>
        </w:rPr>
        <w:t xml:space="preserve">Proof </w:t>
      </w:r>
      <w:commentRangeStart w:id="72"/>
      <w:r w:rsidRPr="00625471">
        <w:rPr>
          <w:rStyle w:val="eop"/>
          <w:rFonts w:eastAsia="Times New Roman" w:cs="Segoe UI"/>
          <w:szCs w:val="24"/>
        </w:rPr>
        <w:t>Points</w:t>
      </w:r>
      <w:commentRangeEnd w:id="72"/>
      <w:r w:rsidR="00625471" w:rsidRPr="00625471">
        <w:rPr>
          <w:rStyle w:val="CommentReference"/>
          <w:rFonts w:eastAsia="Times New Roman" w:cs="Segoe UI"/>
          <w:b w:val="0"/>
          <w:sz w:val="24"/>
          <w:szCs w:val="24"/>
        </w:rPr>
        <w:commentReference w:id="72"/>
      </w:r>
    </w:p>
    <w:p w14:paraId="3E0549A1" w14:textId="6999436B" w:rsidR="00B5103A" w:rsidRPr="00C9250A" w:rsidRDefault="00C6190E" w:rsidP="00B5103A">
      <w:pPr>
        <w:pStyle w:val="BodyText"/>
        <w:rPr>
          <w:i/>
        </w:rPr>
      </w:pPr>
      <w:r w:rsidRPr="00C9250A">
        <w:rPr>
          <w:rStyle w:val="CharacterItalics"/>
        </w:rPr>
        <w:t>[To be completed with relevant Deloitte past performance references demonstrating: Microsoft Dynamics CRM development and operations at federal scale; Snowflake cloud data platform engineering in a FedRAMP environment; .NET application maintenance and release management in CMS MAG; Agentic AI deployment in healthcare enrollment or eligibility operations; large-scale casework and dispute resolution operations supporting millions of annual transactions; and successful transition-in from incumbent contractors on complex federal health IT programs.]</w:t>
      </w:r>
    </w:p>
    <w:p w14:paraId="642295F8" w14:textId="2C66A064" w:rsidR="00A54BF5" w:rsidRDefault="003414BC" w:rsidP="00A54BF5">
      <w:pPr>
        <w:pStyle w:val="Heading3"/>
      </w:pPr>
      <w:bookmarkStart w:id="74" w:name="_Toc227883184"/>
      <w:r>
        <w:t>1.2.8</w:t>
      </w:r>
      <w:r>
        <w:tab/>
      </w:r>
      <w:r w:rsidR="00A54BF5">
        <w:t>Task 9: Standard Operating Procedures (SOPs) Business Requirements and Quality Assurance</w:t>
      </w:r>
      <w:r w:rsidR="006D0BF5" w:rsidRPr="006D0BF5">
        <w:rPr>
          <w:vertAlign w:val="superscript"/>
        </w:rPr>
        <w:t>(SOW 3.</w:t>
      </w:r>
      <w:r w:rsidR="006D0BF5">
        <w:rPr>
          <w:vertAlign w:val="superscript"/>
        </w:rPr>
        <w:t>9</w:t>
      </w:r>
      <w:r w:rsidR="006D0BF5" w:rsidRPr="006D0BF5">
        <w:rPr>
          <w:vertAlign w:val="superscript"/>
        </w:rPr>
        <w:t>)</w:t>
      </w:r>
      <w:bookmarkEnd w:id="74"/>
      <w:r w:rsidR="004F360B">
        <w:t xml:space="preserve"> </w:t>
      </w:r>
      <w:r w:rsidR="004F360B" w:rsidRPr="00806273">
        <w:rPr>
          <w:color w:val="FF0000"/>
        </w:rPr>
        <w:t>(2 Pages)</w:t>
      </w:r>
    </w:p>
    <w:p w14:paraId="4EE06BBA" w14:textId="6E74118D" w:rsidR="003414BC" w:rsidRPr="003414BC" w:rsidRDefault="09770625" w:rsidP="003414BC">
      <w:pPr>
        <w:pStyle w:val="Subheading1"/>
      </w:pPr>
      <w:r>
        <w:t>Our Understanding</w:t>
      </w:r>
    </w:p>
    <w:p w14:paraId="5239D862" w14:textId="686161EC" w:rsidR="00C37302" w:rsidRPr="00975FC4" w:rsidRDefault="00C37302" w:rsidP="00975FC4">
      <w:pPr>
        <w:pStyle w:val="BodyText"/>
        <w:rPr>
          <w:color w:val="000000"/>
        </w:rPr>
      </w:pPr>
      <w:r>
        <w:rPr>
          <w:rStyle w:val="eop"/>
          <w:rFonts w:cs="Segoe UI"/>
        </w:rPr>
        <w:t xml:space="preserve">CMS maintains multiple SOPs, User Guides, and Job Aids, which Deloitte will improve and update monthly, quarterly, and on an ad hoc basis with COR approval.  These updates will reflect changes in policy, workflow, system functionality, or operational priorities. CMS will receive three Task 9 reports from Deloitte monthly: the Business Process Improvement Report, Performance Report, and Quality Assurance Report. CMS will also receive a Quality Assurance Plan within 45 days of the Base Period. </w:t>
      </w:r>
      <w:r w:rsidRPr="00E13EB4">
        <w:rPr>
          <w:color w:val="000000"/>
        </w:rPr>
      </w:r>
      <w:r>
        <w:rPr>
          <w:color w:val="000000"/>
        </w:rPr>
      </w:r>
      <w:r w:rsidRPr="00E13EB4">
        <w:rPr>
          <w:color w:val="000000"/>
        </w:rPr>
      </w:r>
      <w:r>
        <w:rPr>
          <w:color w:val="000000"/>
        </w:rPr>
      </w:r>
      <w:r>
        <w:rPr>
          <w:rStyle w:val="eop"/>
          <w:rFonts w:cs="Segoe UI"/>
        </w:rPr>
      </w:r>
      <w:r w:rsidRPr="00B03C22">
        <w:rPr>
          <w:rStyle w:val="eop"/>
          <w:rFonts w:cs="Segoe UI"/>
        </w:rPr>
      </w:r>
      <w:r>
        <w:rPr>
          <w:rStyle w:val="eop"/>
          <w:rFonts w:cs="Segoe UI"/>
        </w:rPr>
      </w:r>
      <w:r w:rsidRPr="00B03C22">
        <w:rPr>
          <w:rStyle w:val="eop"/>
          <w:rFonts w:cs="Segoe UI"/>
        </w:rPr>
      </w:r>
      <w:r>
        <w:rPr>
          <w:rStyle w:val="eop"/>
          <w:rFonts w:cs="Segoe UI"/>
        </w:rPr>
      </w:r>
      <w:r w:rsidRPr="00E13EB4">
        <w:rPr>
          <w:color w:val="000000"/>
        </w:rPr>
      </w:r>
      <w:r>
        <w:rPr>
          <w:color w:val="000000"/>
        </w:rPr>
      </w:r>
      <w:r w:rsidRPr="00E13EB4">
        <w:rPr>
          <w:color w:val="000000"/>
        </w:rPr>
      </w:r>
      <w:r>
        <w:rPr>
          <w:color w:val="000000"/>
        </w:rPr>
      </w:r>
    </w:p>
    <w:p w14:paraId="7451E3E8" w14:textId="71F5E7D7" w:rsidR="003414BC" w:rsidRPr="003414BC" w:rsidRDefault="09770625" w:rsidP="003414BC">
      <w:pPr>
        <w:pStyle w:val="Subheading1"/>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8"/>
      </w:tblGrid>
      <w:tr w:rsidR="00975FC4" w14:paraId="5764DC7C" w14:textId="77777777" w:rsidTr="00975FC4">
        <w:tc>
          <w:tcPr>
            <w:tcW w:w="3884" w:type="dxa"/>
          </w:tcPr>
          <w:p w14:paraId="5AC57907" w14:textId="77777777" w:rsidR="00975FC4" w:rsidRDefault="00975FC4" w:rsidP="00975FC4">
            <w:pPr>
              <w:pStyle w:val="FigureTitle"/>
            </w:pPr>
            <w:r>
              <w:lastRenderedPageBreak/>
              <w:t>Figure X.X-X. Provide Title.</w:t>
            </w:r>
          </w:p>
          <w:p w14:paraId="64C0E6D8" w14:textId="77777777" w:rsidR="00975FC4" w:rsidRDefault="00975FC4" w:rsidP="00975FC4">
            <w:pPr>
              <w:pStyle w:val="FigureGraphic"/>
            </w:pPr>
            <w:r>
              <w:rPr>
                <w:noProof/>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6F047DD9" w14:textId="5A087C81" w:rsidR="0020358F" w:rsidRPr="003442AD" w:rsidRDefault="0020358F" w:rsidP="003442AD">
      <w:pPr>
        <w:pStyle w:val="BodyText"/>
      </w:pPr>
      <w:r w:rsidRPr="00CF0045">
        <w:t>Deloitte’s QA approach links governance and performance to monitor the quality of operational support and deliverables through a single closed-loop model that strengthens execution and drives measurable improvement across the ER&amp;R program.</w:t>
      </w:r>
      <w:r w:rsidR="003442AD"/>
    </w:p>
    <w:p w14:paraId="54F3AF99" w14:textId="1B5F3479" w:rsidR="00C37302" w:rsidRDefault="0020358F" w:rsidP="003442AD">
      <w:pPr>
        <w:pStyle w:val="BodyText"/>
      </w:pPr>
      <w:r w:rsidRPr="001403F4">
        <w:t>Deloitte will execute Task 9 through an integrated quality, and analytics governance model that translates operational findings into approved, measurable process improvement. Within 45 days of the Base Period start, Deloitte will deliver a Quality Assurance Plan that defines Service Level Agreements, Acceptable Quality Levels, KPIs, etc. The QASP will be developed with baseline performance in mind. Deloitte will begin by assessing CMS-provided SOPs, user guides, job aids, workflows, and current performance measures to understand the baseline ER&amp;R processes and documentation. From that baseline, Deloitte will implement a governed documentation lifecycle that identifies change triggers, assesses impact, drafts and reviews revisions, maintains version control, and routes updates for COR approval—ensuring procedural guidance remains current, controlled, and aligned to approved business requirements. The methods, processes, and tools in Table XX below will be used for the relevant deliverables:</w:t>
      </w:r>
      <w:r w:rsidRPr="001403F4">
        <w:rPr>
          <w:rFonts w:eastAsiaTheme="majorEastAsia" w:cs="Segoe UI"/>
          <w:b/>
          <w:color w:val="000000"/>
        </w:rPr>
      </w:r>
      <w:r w:rsidRPr="001403F4">
        <w:rPr>
          <w:rFonts w:cs="Segoe UI"/>
          <w:color w:val="000000"/>
        </w:rPr>
      </w:r>
      <w:r w:rsidRPr="001403F4">
        <w:rPr>
          <w:rFonts w:eastAsiaTheme="majorEastAsia" w:cs="Segoe UI"/>
          <w:b/>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00D86B3C">
        <w:rPr>
          <w:rFonts w:cs="Segoe UI"/>
          <w:color w:val="000000"/>
        </w:rPr>
      </w:r>
      <w:r w:rsidR="00D86B3C" w:rsidRPr="006A33B8">
        <w:rPr>
          <w:color w:val="C00000"/>
        </w:rPr>
      </w:r>
      <w:r>
        <w:rPr>
          <w:rFonts w:cs="Segoe UI"/>
          <w:color w:val="000000"/>
        </w:rPr>
      </w:r>
    </w:p>
    <w:p w14:paraId="305C94A8" w14:textId="20B1E0DA" w:rsidR="00087006" w:rsidRPr="00AD34BF" w:rsidRDefault="00AD34BF" w:rsidP="00AD34BF">
      <w:pPr>
        <w:pStyle w:val="TableTitle"/>
      </w:pPr>
      <w:r>
        <w:t>Table 1.2.8-1. Quality Assurance Methods, Processes, and Tools.</w:t>
      </w:r>
    </w:p>
    <w:tbl>
      <w:tblPr>
        <w:tblStyle w:val="DeloitteTable2"/>
        <w:tblW w:w="0" w:type="auto"/>
        <w:tblLook w:val="06A0" w:firstRow="1" w:lastRow="0" w:firstColumn="1" w:lastColumn="0" w:noHBand="1" w:noVBand="1"/>
      </w:tblPr>
      <w:tblGrid>
        <w:gridCol w:w="2337"/>
        <w:gridCol w:w="2337"/>
        <w:gridCol w:w="2338"/>
        <w:gridCol w:w="2338"/>
      </w:tblGrid>
      <w:tr w:rsidR="00087006" w14:paraId="7A77B218"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59B234B9" w14:textId="16CD7F8E" w:rsidR="00087006" w:rsidRDefault="00087006" w:rsidP="00087006">
            <w:pPr>
              <w:pStyle w:val="TableHeading"/>
            </w:pPr>
            <w:r w:rsidRPr="006D5AB5">
              <w:t xml:space="preserve">Deliverable </w:t>
            </w:r>
          </w:p>
        </w:tc>
        <w:tc>
          <w:tcPr>
            <w:tcW w:w="2337" w:type="dxa"/>
          </w:tcPr>
          <w:p w14:paraId="249D7E2B" w14:textId="62C4C676"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8FDECBF" w14:textId="0F191602"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50702CE8" w14:textId="286D0F2A"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39C2AA2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5CF83F8C" w14:textId="39B7101E" w:rsidR="00AD34BF" w:rsidRDefault="00AD34BF" w:rsidP="00087006">
            <w:pPr>
              <w:pStyle w:val="TableRowHeading"/>
            </w:pPr>
            <w:r w:rsidRPr="00087006">
              <w:t>QASP</w:t>
            </w:r>
          </w:p>
        </w:tc>
        <w:tc>
          <w:tcPr>
            <w:tcW w:w="2337" w:type="dxa"/>
          </w:tcPr>
          <w:p w14:paraId="3AAACF60" w14:textId="74A5E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On Time: Virtual meeting with COR, BO, Business Operations Team, Program Management Team and Incumbent Contractor </w:t>
            </w:r>
          </w:p>
        </w:tc>
        <w:tc>
          <w:tcPr>
            <w:tcW w:w="2338" w:type="dxa"/>
          </w:tcPr>
          <w:p w14:paraId="45E276D5" w14:textId="3C426C76"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Review current ER&amp;R QASP to identify any missed AQLs, SLAs, or KPIs. Locate relevant lessons learned and RAID log entries to discuss history. </w:t>
            </w:r>
          </w:p>
        </w:tc>
        <w:tc>
          <w:tcPr>
            <w:tcW w:w="2338" w:type="dxa"/>
          </w:tcPr>
          <w:p w14:paraId="3836EFE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E9EA99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7DDE26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BF5A4DE" w14:textId="50F8E52B"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p>
        </w:tc>
      </w:tr>
      <w:tr w:rsidR="00AD34BF" w14:paraId="57DACFE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7C07256F" w14:textId="77777777" w:rsidR="00AD34BF" w:rsidRDefault="00AD34BF" w:rsidP="00087006">
            <w:pPr>
              <w:pStyle w:val="TableRowHeading"/>
            </w:pPr>
          </w:p>
        </w:tc>
        <w:tc>
          <w:tcPr>
            <w:tcW w:w="2337" w:type="dxa"/>
          </w:tcPr>
          <w:p w14:paraId="39341028" w14:textId="1AC4781F"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Quarterly: Virtual meeting with COR, BO, Business Operations Team, Program Management Team</w:t>
            </w:r>
          </w:p>
        </w:tc>
        <w:tc>
          <w:tcPr>
            <w:tcW w:w="2338" w:type="dxa"/>
          </w:tcPr>
          <w:p w14:paraId="1D5C99B0" w14:textId="5B47C1A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Review and discuss draft QASP with emphasis on impact and relevance of AQLs, SLAs, or KPIs to ER&amp;R and submit proposed updates to the COR and request approval  </w:t>
            </w:r>
          </w:p>
        </w:tc>
        <w:tc>
          <w:tcPr>
            <w:tcW w:w="2338" w:type="dxa"/>
          </w:tcPr>
          <w:p w14:paraId="4D9B91B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6431199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0480AF89" w14:textId="71756BA0"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B26D07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06655B8" w14:textId="77777777" w:rsidR="00AD34BF" w:rsidRDefault="00AD34BF" w:rsidP="00087006">
            <w:pPr>
              <w:pStyle w:val="TableRowHeading"/>
            </w:pPr>
          </w:p>
        </w:tc>
        <w:tc>
          <w:tcPr>
            <w:tcW w:w="2337" w:type="dxa"/>
          </w:tcPr>
          <w:p w14:paraId="70F318EE" w14:textId="7E40F920"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Quarterly: Publication to CMS intranet </w:t>
            </w:r>
          </w:p>
        </w:tc>
        <w:tc>
          <w:tcPr>
            <w:tcW w:w="2338" w:type="dxa"/>
          </w:tcPr>
          <w:p w14:paraId="39105F4B" w14:textId="6ADC4ABA"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Revise and publish QASP</w:t>
            </w:r>
          </w:p>
        </w:tc>
        <w:tc>
          <w:tcPr>
            <w:tcW w:w="2338" w:type="dxa"/>
          </w:tcPr>
          <w:p w14:paraId="2EE61EFB"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4D3F5E7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442499A3" w14:textId="05C5B2A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3897378"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2B174ACE" w14:textId="1840EEFA" w:rsidR="00AD34BF" w:rsidRDefault="00AD34BF" w:rsidP="00087006">
            <w:pPr>
              <w:pStyle w:val="TableRowHeading"/>
            </w:pPr>
            <w:r w:rsidRPr="00087006">
              <w:t>SOPs, User Guides, and Job Aids</w:t>
            </w:r>
          </w:p>
        </w:tc>
        <w:tc>
          <w:tcPr>
            <w:tcW w:w="2337" w:type="dxa"/>
          </w:tcPr>
          <w:p w14:paraId="379D8CD0" w14:textId="22AD572D"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Quarterly: Virtual meeting with COR, BO, Business Operations Team and Program Management Team</w:t>
            </w:r>
          </w:p>
        </w:tc>
        <w:tc>
          <w:tcPr>
            <w:tcW w:w="2338" w:type="dxa"/>
          </w:tcPr>
          <w:p w14:paraId="322FE872" w14:textId="7E07486E"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Identify, record, and review user groups for each document</w:t>
            </w:r>
          </w:p>
        </w:tc>
        <w:tc>
          <w:tcPr>
            <w:tcW w:w="2338" w:type="dxa"/>
          </w:tcPr>
          <w:p w14:paraId="44A2574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22FB9C35"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29A46D6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72F531EE" w14:textId="2406D613"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54EE56A8"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DE462B9" w14:textId="77777777" w:rsidR="00AD34BF" w:rsidRPr="00087006" w:rsidRDefault="00AD34BF" w:rsidP="00087006">
            <w:pPr>
              <w:pStyle w:val="TableRowHeading"/>
            </w:pPr>
          </w:p>
        </w:tc>
        <w:tc>
          <w:tcPr>
            <w:tcW w:w="2337" w:type="dxa"/>
          </w:tcPr>
          <w:p w14:paraId="0DAC0D34" w14:textId="6EF625B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 xml:space="preserve">Monthly: Virtual focus groups with primary users (Case workers, Agents etc.) per </w:t>
            </w:r>
            <w:r w:rsidRPr="00016600">
              <w:lastRenderedPageBreak/>
              <w:t>session, GTL, Program Management Team</w:t>
            </w:r>
          </w:p>
        </w:tc>
        <w:tc>
          <w:tcPr>
            <w:tcW w:w="2338" w:type="dxa"/>
          </w:tcPr>
          <w:p w14:paraId="1C834DFF" w14:textId="7872973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lastRenderedPageBreak/>
              <w:t>2</w:t>
            </w:r>
            <w:r>
              <w:rPr>
                <w:rStyle w:val="eop"/>
                <w:rFonts w:cs="Segoe UI"/>
              </w:rPr>
              <w:tab/>
              <w:t xml:space="preserve">Request feedback on SOP design, recent policy </w:t>
            </w:r>
            <w:r>
              <w:rPr>
                <w:rStyle w:val="eop"/>
                <w:rFonts w:cs="Segoe UI"/>
              </w:rPr>
              <w:lastRenderedPageBreak/>
              <w:t xml:space="preserve">change, or suggestions based on experience </w:t>
            </w:r>
          </w:p>
        </w:tc>
        <w:tc>
          <w:tcPr>
            <w:tcW w:w="2338" w:type="dxa"/>
          </w:tcPr>
          <w:p w14:paraId="4D2309F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lastRenderedPageBreak/>
              <w:t xml:space="preserve">MS Teams </w:t>
            </w:r>
          </w:p>
          <w:p w14:paraId="54410DC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7453FBC3" w14:textId="55D69A99"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tc>
      </w:tr>
      <w:tr w:rsidR="00AD34BF" w14:paraId="01FA106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54D0E3E" w14:textId="77777777" w:rsidR="00AD34BF" w:rsidRPr="00087006" w:rsidRDefault="00AD34BF" w:rsidP="00087006">
            <w:pPr>
              <w:pStyle w:val="TableRowHeading"/>
            </w:pPr>
          </w:p>
        </w:tc>
        <w:tc>
          <w:tcPr>
            <w:tcW w:w="2337" w:type="dxa"/>
          </w:tcPr>
          <w:p w14:paraId="08284F6C" w14:textId="74112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COR meeting, Business Operations Team and Program Management Team</w:t>
            </w:r>
          </w:p>
        </w:tc>
        <w:tc>
          <w:tcPr>
            <w:tcW w:w="2338" w:type="dxa"/>
          </w:tcPr>
          <w:p w14:paraId="0D7B8F1F" w14:textId="5F1F677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 xml:space="preserve">Summarize design feedback and present recommended updates </w:t>
            </w:r>
          </w:p>
        </w:tc>
        <w:tc>
          <w:tcPr>
            <w:tcW w:w="2338" w:type="dxa"/>
          </w:tcPr>
          <w:p w14:paraId="2F32693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3BFC37C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55F3C4D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p w14:paraId="582E442B" w14:textId="03D39B9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6E12E67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1C826DF" w14:textId="77777777" w:rsidR="00AD34BF" w:rsidRPr="00087006" w:rsidRDefault="00AD34BF" w:rsidP="00087006">
            <w:pPr>
              <w:pStyle w:val="TableRowHeading"/>
            </w:pPr>
          </w:p>
        </w:tc>
        <w:tc>
          <w:tcPr>
            <w:tcW w:w="2337" w:type="dxa"/>
          </w:tcPr>
          <w:p w14:paraId="4687E24C" w14:textId="503AB96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66015AAB" w14:textId="52D0A495"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4</w:t>
            </w:r>
            <w:r>
              <w:rPr>
                <w:rStyle w:val="eop"/>
                <w:rFonts w:cs="Segoe UI"/>
              </w:rPr>
              <w:tab/>
              <w:t xml:space="preserve">Submit proposed updates to the COR and request approval  </w:t>
            </w:r>
          </w:p>
        </w:tc>
        <w:tc>
          <w:tcPr>
            <w:tcW w:w="2338" w:type="dxa"/>
          </w:tcPr>
          <w:p w14:paraId="108A7E7E"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C2368E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Outlook</w:t>
            </w:r>
          </w:p>
          <w:p w14:paraId="657BA062"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 xml:space="preserve">CMS SharePoint </w:t>
            </w:r>
          </w:p>
          <w:p w14:paraId="52C4BA39"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 xml:space="preserve">CMS Slack </w:t>
            </w:r>
          </w:p>
          <w:p w14:paraId="5D0042E3" w14:textId="602908C1"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3000ECB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1D304D" w14:textId="77777777" w:rsidR="00AD34BF" w:rsidRPr="00087006" w:rsidRDefault="00AD34BF" w:rsidP="00AD34BF">
            <w:pPr>
              <w:pStyle w:val="TableRowHeading"/>
              <w:spacing w:after="0"/>
            </w:pPr>
          </w:p>
        </w:tc>
        <w:tc>
          <w:tcPr>
            <w:tcW w:w="2337" w:type="dxa"/>
          </w:tcPr>
          <w:p w14:paraId="34D2B278" w14:textId="77E716DA"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12157DCA" w14:textId="2946C0FF"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Pr>
                <w:rStyle w:val="eop"/>
                <w:rFonts w:cs="Segoe UI"/>
              </w:rPr>
              <w:t>5</w:t>
            </w:r>
            <w:r>
              <w:rPr>
                <w:rStyle w:val="eop"/>
                <w:rFonts w:cs="Segoe UI"/>
              </w:rPr>
              <w:tab/>
              <w:t>Revise, publish, inform user of updates to SOPs</w:t>
            </w:r>
          </w:p>
        </w:tc>
        <w:tc>
          <w:tcPr>
            <w:tcW w:w="2338" w:type="dxa"/>
          </w:tcPr>
          <w:p w14:paraId="00E15FCF"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JIRA</w:t>
            </w:r>
          </w:p>
          <w:p w14:paraId="612529FD"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CMS Box</w:t>
            </w:r>
          </w:p>
          <w:p w14:paraId="69C8CC0A"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Slack</w:t>
            </w:r>
          </w:p>
          <w:p w14:paraId="5D8770D8" w14:textId="57488DF9"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bl>
    <w:p w14:paraId="5B85E323" w14:textId="77777777" w:rsidR="00856A63" w:rsidRDefault="00856A63" w:rsidP="00AD34BF">
      <w:pPr>
        <w:pStyle w:val="ParagraphSpacer"/>
      </w:pPr>
    </w:p>
    <w:p w14:paraId="4B37CC14" w14:textId="0A8CFD66" w:rsidR="00D13585" w:rsidRDefault="00D13585" w:rsidP="00D71EFD">
      <w:pPr>
        <w:pStyle w:val="BodyText"/>
      </w:pPr>
      <w:r>
        <w:t>Deloitte will embed continuous improvement into routine operations through a closed-loop approach that will measure performance, identify issues, analyze root causes, implement corrective actions, update documentation, and validate results. Findings from QA reviews, trend analysis, recurring defects, and stakeholder feedback will inform reports, making Task 9 a driver of operational improvement rather than a stand-alone compliance function. To support program oversight and integrity, Deloitte will also apply a repeatable analytic framework to CMS-required data and translate them into decision-useful reporting that identifies practical recommendations for CMS action. The methods, processes, and tools below in Table XX will be used for the relevant deliverables:</w:t>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sidRPr="00C0682D">
        <w:rPr>
          <w:rFonts w:cs="Segoe UI"/>
          <w:color w:val="000000"/>
        </w:rPr>
      </w:r>
      <w:r>
        <w:rPr>
          <w:rFonts w:cs="Segoe UI"/>
          <w:color w:val="000000"/>
        </w:rPr>
      </w:r>
      <w:r w:rsidRPr="001403F4">
        <w:rPr>
          <w:rFonts w:cs="Segoe UI"/>
          <w:color w:val="000000"/>
        </w:rPr>
      </w:r>
      <w:r w:rsidRPr="00A66999">
        <w:rPr>
          <w:rFonts w:cs="Segoe UI"/>
          <w:color w:val="000000"/>
        </w:rPr>
      </w:r>
      <w:r>
        <w:rPr>
          <w:rFonts w:cs="Segoe UI"/>
          <w:color w:val="000000"/>
        </w:rPr>
      </w:r>
      <w:r w:rsidR="00D86B3C">
        <w:rPr>
          <w:rFonts w:cs="Segoe UI"/>
          <w:color w:val="000000"/>
        </w:rPr>
      </w:r>
      <w:r w:rsidR="00D86B3C" w:rsidRPr="00D86B3C">
        <w:rPr>
          <w:rFonts w:eastAsia="Times New Roman" w:cs="Segoe UI"/>
          <w:color w:val="C00000"/>
          <w:szCs w:val="24"/>
          <w:rPrChange w:id="75" w:author="Nunes, Nina-Marie" w:date="2026-04-27T08:25:00Z" w16du:dateUtc="2026-04-27T12:25:00Z">
            <w:rPr>
              <w:color w:val="C00000"/>
            </w:rPr>
          </w:rPrChange>
        </w:rPr>
      </w:r>
      <w:r w:rsidRPr="00D86B3C">
        <w:rPr>
          <w:rFonts w:eastAsia="Times New Roman" w:cs="Segoe UI"/>
          <w:color w:val="C00000"/>
          <w:szCs w:val="24"/>
          <w:rPrChange w:id="76" w:author="Nunes, Nina-Marie" w:date="2026-04-27T08:25:00Z" w16du:dateUtc="2026-04-27T12:25:00Z">
            <w:rPr>
              <w:color w:val="C00000"/>
            </w:rPr>
          </w:rPrChange>
        </w:rPr>
      </w:r>
      <w:r>
        <w:rPr>
          <w:rFonts w:cs="Segoe UI"/>
          <w:color w:val="000000"/>
        </w:rPr>
      </w:r>
    </w:p>
    <w:p w14:paraId="2777F236" w14:textId="46E05CE4" w:rsidR="00AD34BF" w:rsidRPr="00D71EFD" w:rsidRDefault="00D71EFD" w:rsidP="00D71EFD">
      <w:pPr>
        <w:pStyle w:val="TableTitle"/>
      </w:pPr>
      <w:r>
        <w:t>Table 1.2.8-2. Continuous Improvement Reporting Outputs.</w:t>
      </w:r>
    </w:p>
    <w:tbl>
      <w:tblPr>
        <w:tblStyle w:val="DeloitteTable2"/>
        <w:tblW w:w="0" w:type="auto"/>
        <w:tblLook w:val="06A0" w:firstRow="1" w:lastRow="0" w:firstColumn="1" w:lastColumn="0" w:noHBand="1" w:noVBand="1"/>
      </w:tblPr>
      <w:tblGrid>
        <w:gridCol w:w="2337"/>
        <w:gridCol w:w="2337"/>
        <w:gridCol w:w="2338"/>
        <w:gridCol w:w="2338"/>
      </w:tblGrid>
      <w:tr w:rsidR="00AD34BF" w14:paraId="00953A4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4B318ED" w14:textId="77777777" w:rsidR="00AD34BF" w:rsidRDefault="00AD34BF">
            <w:pPr>
              <w:pStyle w:val="TableHeading"/>
            </w:pPr>
            <w:r w:rsidRPr="006D5AB5">
              <w:t xml:space="preserve">Deliverable </w:t>
            </w:r>
          </w:p>
        </w:tc>
        <w:tc>
          <w:tcPr>
            <w:tcW w:w="2337" w:type="dxa"/>
          </w:tcPr>
          <w:p w14:paraId="25D00A79"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392E9DA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C62AD0A"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1D2E77FF"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7E9102D" w14:textId="043BA227" w:rsidR="00AD34BF" w:rsidRDefault="00AD34BF">
            <w:pPr>
              <w:pStyle w:val="TableRowHeading"/>
            </w:pPr>
            <w:r w:rsidRPr="00AD34BF">
              <w:t>Reports</w:t>
            </w:r>
          </w:p>
        </w:tc>
        <w:tc>
          <w:tcPr>
            <w:tcW w:w="2337" w:type="dxa"/>
          </w:tcPr>
          <w:p w14:paraId="431E8782" w14:textId="76524E4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Virtual meeting with COR, BO, Business Operations Team and Program Management Team</w:t>
            </w:r>
          </w:p>
        </w:tc>
        <w:tc>
          <w:tcPr>
            <w:tcW w:w="2338" w:type="dxa"/>
          </w:tcPr>
          <w:p w14:paraId="054160AB" w14:textId="02F0B501"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Identify, record, and review user groups for each report </w:t>
            </w:r>
          </w:p>
        </w:tc>
        <w:tc>
          <w:tcPr>
            <w:tcW w:w="2338" w:type="dxa"/>
          </w:tcPr>
          <w:p w14:paraId="43EDE7EA"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8E6C9B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68D50C7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0014E88" w14:textId="504BA6F7" w:rsidR="00AD34BF"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0471E57E"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ABE3B25" w14:textId="77777777" w:rsidR="00AD34BF" w:rsidRDefault="00AD34BF">
            <w:pPr>
              <w:pStyle w:val="TableRowHeading"/>
            </w:pPr>
          </w:p>
        </w:tc>
        <w:tc>
          <w:tcPr>
            <w:tcW w:w="2337" w:type="dxa"/>
          </w:tcPr>
          <w:p w14:paraId="0EEFB530" w14:textId="4E928729"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 xml:space="preserve">Monthly: Draft written report, </w:t>
            </w:r>
            <w:r w:rsidRPr="00C06B65">
              <w:rPr>
                <w:color w:val="FF0000"/>
              </w:rPr>
              <w:t>ETL, visualize data</w:t>
            </w:r>
            <w:r w:rsidRPr="00771C3D">
              <w:t xml:space="preserve">  </w:t>
            </w:r>
          </w:p>
        </w:tc>
        <w:tc>
          <w:tcPr>
            <w:tcW w:w="2338" w:type="dxa"/>
          </w:tcPr>
          <w:p w14:paraId="1D06B580" w14:textId="675CA9BF"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Produce reports </w:t>
            </w:r>
            <w:r w:rsidRPr="00C06B65">
              <w:rPr>
                <w:rStyle w:val="eop"/>
                <w:rFonts w:cs="Segoe UI"/>
                <w:color w:val="FF0000"/>
              </w:rPr>
              <w:t>or dashboards</w:t>
            </w:r>
          </w:p>
        </w:tc>
        <w:tc>
          <w:tcPr>
            <w:tcW w:w="2338" w:type="dxa"/>
          </w:tcPr>
          <w:p w14:paraId="31C5578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ABAFD5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729556F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p w14:paraId="7ECC7358" w14:textId="6635CDF1"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rsidRPr="00C06B65">
              <w:rPr>
                <w:color w:val="FF0000"/>
              </w:rPr>
              <w:t>BI Tool</w:t>
            </w:r>
          </w:p>
        </w:tc>
      </w:tr>
      <w:tr w:rsidR="00AD34BF" w14:paraId="4D315E5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07DC341" w14:textId="77777777" w:rsidR="00AD34BF" w:rsidRDefault="00AD34BF">
            <w:pPr>
              <w:pStyle w:val="TableRowHeading"/>
            </w:pPr>
          </w:p>
        </w:tc>
        <w:tc>
          <w:tcPr>
            <w:tcW w:w="2337" w:type="dxa"/>
          </w:tcPr>
          <w:p w14:paraId="13B85C19" w14:textId="665809B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Interviews, Surveys</w:t>
            </w:r>
          </w:p>
        </w:tc>
        <w:tc>
          <w:tcPr>
            <w:tcW w:w="2338" w:type="dxa"/>
          </w:tcPr>
          <w:p w14:paraId="22B1E980" w14:textId="68E9020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Request feedback on report utility and enhancements</w:t>
            </w:r>
          </w:p>
        </w:tc>
        <w:tc>
          <w:tcPr>
            <w:tcW w:w="2338" w:type="dxa"/>
          </w:tcPr>
          <w:p w14:paraId="15C1120E"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7EE909FE" w14:textId="747AC166"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BI Backlog </w:t>
            </w:r>
          </w:p>
        </w:tc>
      </w:tr>
    </w:tbl>
    <w:p w14:paraId="67EDA2C8" w14:textId="77777777" w:rsidR="00EA3965" w:rsidRPr="003414BC" w:rsidRDefault="00EA3965" w:rsidP="009F47CF">
      <w:pPr>
        <w:pStyle w:val="ParagraphSpacer"/>
      </w:pPr>
    </w:p>
    <w:p w14:paraId="628396AE" w14:textId="77777777" w:rsidR="000F742E" w:rsidRPr="000949F5" w:rsidRDefault="000F742E" w:rsidP="009F47CF">
      <w:pPr>
        <w:pStyle w:val="BodyText"/>
        <w:rPr>
          <w:rFonts w:cs="Segoe UI"/>
        </w:rPr>
      </w:pPr>
      <w:r w:rsidRPr="00BB1E9A">
        <w:t>A primary challenge under Task 9 is maintaining current documentation in a dynamic ER&amp;R operating environment, where policy changes, workflow update</w:t>
      </w:r>
      <w:r>
        <w:rPr>
          <w:rFonts w:cs="Segoe UI"/>
          <w:color w:val="000000"/>
        </w:rPr>
        <w:t>s</w:t>
      </w:r>
      <w:r w:rsidRPr="00BB1E9A">
        <w:rPr>
          <w:rFonts w:cs="Segoe UI"/>
          <w:color w:val="000000"/>
        </w:rPr>
        <w:t xml:space="preserve">, and system modifications can quickly make SOPs, </w:t>
      </w:r>
      <w:r w:rsidRPr="00BB1E9A">
        <w:rPr>
          <w:rFonts w:cs="Segoe UI"/>
          <w:color w:val="000000"/>
        </w:rPr>
        <w:lastRenderedPageBreak/>
        <w:t xml:space="preserve">user guides, and job aids outdated. Left unaddressed, this creates risk of inconsistent execution, </w:t>
      </w:r>
      <w:r>
        <w:rPr>
          <w:rFonts w:cs="Segoe UI"/>
          <w:color w:val="000000"/>
        </w:rPr>
        <w:t>duplicative effort</w:t>
      </w:r>
      <w:r w:rsidRPr="00BB1E9A">
        <w:rPr>
          <w:rFonts w:cs="Segoe UI"/>
          <w:color w:val="000000"/>
        </w:rPr>
        <w:t xml:space="preserve">, and avoidable errors. </w:t>
      </w:r>
    </w:p>
    <w:p w14:paraId="6D38752A" w14:textId="77777777" w:rsidR="000F742E" w:rsidRPr="00BB1E9A" w:rsidRDefault="000F742E" w:rsidP="009F47CF">
      <w:pPr>
        <w:pStyle w:val="BodyText"/>
        <w:rPr>
          <w:rFonts w:cs="Segoe UI"/>
          <w:color w:val="000000"/>
        </w:rPr>
      </w:pPr>
      <w:r>
        <w:t>Deloitte will mitigate this risk through disciplined documentation governance that includes defined change triggers, SOP, user guides, job aid checkpoint reviews, version control, approval tracking, and end-to-end traceability from business change to approved document update. Another challenge is ensuring that quality assurance drives measurable improvement rather than simply cataloging defects. We will address this by integrating QA reviews with root cause analysis, mitigation monitoring, and user feedback so that findings reduce recurrence and strengthen operational performance over time.</w:t>
      </w:r>
      <w:r w:rsidRPr="00BB1E9A">
        <w:rPr>
          <w:rFonts w:cs="Segoe UI"/>
          <w:color w:val="000000"/>
        </w:rPr>
      </w:r>
      <w:r w:rsidRPr="00BB1E9A">
        <w:rPr>
          <w:rFonts w:cs="Segoe UI"/>
          <w:b/>
          <w:color w:val="000000"/>
        </w:rPr>
      </w:r>
      <w:r w:rsidRPr="00BB1E9A">
        <w:rPr>
          <w:rFonts w:cs="Segoe UI"/>
          <w:color w:val="000000"/>
        </w:rPr>
      </w:r>
      <w:r w:rsidRPr="00BB1E9A">
        <w:rPr>
          <w:rFonts w:cs="Segoe UI"/>
          <w:b/>
          <w:color w:val="000000"/>
        </w:rPr>
      </w:r>
      <w:r>
        <w:rPr>
          <w:rFonts w:cs="Segoe UI"/>
          <w:b/>
          <w:color w:val="000000"/>
        </w:rPr>
      </w:r>
      <w:r w:rsidRPr="00BB1E9A">
        <w:rPr>
          <w:rFonts w:cs="Segoe UI"/>
          <w:b/>
          <w:color w:val="000000"/>
        </w:rPr>
      </w:r>
      <w:r>
        <w:rPr>
          <w:rFonts w:cs="Segoe UI"/>
          <w:b/>
          <w:color w:val="000000"/>
        </w:rPr>
      </w:r>
      <w:r w:rsidRPr="00BB1E9A">
        <w:rPr>
          <w:rFonts w:cs="Segoe UI"/>
          <w:b/>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2A4D0575" w14:textId="588EC917" w:rsidR="000F742E" w:rsidRPr="000F742E" w:rsidRDefault="000F742E" w:rsidP="009F47CF">
      <w:pPr>
        <w:pStyle w:val="BodyText"/>
        <w:rPr>
          <w:rFonts w:ascii="Times New Roman" w:eastAsia="Times New Roman" w:hAnsi="Times New Roman" w:cs="Segoe UI"/>
          <w:color w:val="000000"/>
          <w:szCs w:val="24"/>
          <w:rPrChange w:id="77" w:author="Nunes, Nina-Marie" w:date="2026-04-27T08:25:00Z" w16du:dateUtc="2026-04-27T12:25:00Z">
            <w:rPr/>
          </w:rPrChange>
        </w:rPr>
      </w:pPr>
      <w:r w:rsidRPr="00BB1E9A">
        <w:t xml:space="preserve">Task 9 activities include meaningful, reliable, and practical KPIs and OKRs. Too many measures can increase reporting burden without improving oversight or insight. Deloitte will mitigate these challenges by developing metrics using a ranking method to clarify the order of importance for all measures. </w:t>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4233CC4B" w14:textId="52754E4F" w:rsidR="00A54BF5" w:rsidRDefault="003414BC" w:rsidP="00A54BF5">
      <w:pPr>
        <w:pStyle w:val="Heading3"/>
      </w:pPr>
      <w:bookmarkStart w:id="78" w:name="_Toc227883185"/>
      <w:r>
        <w:t>1.2.9</w:t>
      </w:r>
      <w:r>
        <w:tab/>
      </w:r>
      <w:r w:rsidR="00A54BF5">
        <w:t>Task 10: Ad Hoc Work and Special Projects</w:t>
      </w:r>
      <w:r w:rsidR="006D0BF5" w:rsidRPr="006D0BF5">
        <w:rPr>
          <w:vertAlign w:val="superscript"/>
        </w:rPr>
        <w:t>(SOW 3.10)</w:t>
      </w:r>
      <w:bookmarkEnd w:id="78"/>
      <w:r w:rsidR="004F360B">
        <w:t xml:space="preserve"> </w:t>
      </w:r>
      <w:r w:rsidR="004F360B" w:rsidRPr="00806273">
        <w:rPr>
          <w:color w:val="FF0000"/>
        </w:rPr>
        <w:t>(</w:t>
      </w:r>
      <w:r w:rsidR="004F360B">
        <w:rPr>
          <w:color w:val="FF0000"/>
        </w:rPr>
        <w:t>1</w:t>
      </w:r>
      <w:r w:rsidR="004F360B" w:rsidRPr="00806273">
        <w:rPr>
          <w:color w:val="FF0000"/>
        </w:rPr>
        <w:t>.5 Pages)</w:t>
      </w:r>
    </w:p>
    <w:p w14:paraId="44CD7F2B" w14:textId="2D7BCEC3" w:rsidR="003414BC" w:rsidRPr="005E1602" w:rsidRDefault="344C87A8" w:rsidP="003414BC">
      <w:pPr>
        <w:pStyle w:val="Subheading1"/>
        <w:rPr>
          <w:u w:val="single"/>
        </w:rPr>
      </w:pPr>
      <w:r w:rsidRPr="005E1602">
        <w:rPr>
          <w:u w:val="single"/>
        </w:rPr>
        <w:t>Our Understanding</w:t>
      </w:r>
    </w:p>
    <w:p w14:paraId="7889113D" w14:textId="73DBBA04" w:rsidR="00795CAA" w:rsidRPr="00795CAA" w:rsidRDefault="00795CAA" w:rsidP="00750184">
      <w:pPr>
        <w:pStyle w:val="Bulletlevel1"/>
      </w:pPr>
      <w:r w:rsidRPr="00795CAA">
        <w:t xml:space="preserve">Task 10 is CMS’s </w:t>
      </w:r>
      <w:r w:rsidRPr="002B6DD1">
        <w:t>flexible support lane</w:t>
      </w:r>
      <w:r w:rsidRPr="00795CAA">
        <w:t xml:space="preserve"> for </w:t>
      </w:r>
      <w:r w:rsidR="002B6DD1" w:rsidRPr="002B6DD1">
        <w:t xml:space="preserve">targeted operational needs, </w:t>
      </w:r>
      <w:r w:rsidRPr="00795CAA">
        <w:t xml:space="preserve">special projects, short-turn analyses, </w:t>
      </w:r>
      <w:r w:rsidR="002B6DD1" w:rsidRPr="002B6DD1">
        <w:t xml:space="preserve">ad hoc </w:t>
      </w:r>
      <w:r w:rsidRPr="00795CAA">
        <w:t>training</w:t>
      </w:r>
      <w:r w:rsidR="002B6DD1" w:rsidRPr="002B6DD1">
        <w:t xml:space="preserve"> and workshops, annual FFE</w:t>
      </w:r>
      <w:r w:rsidRPr="00795CAA">
        <w:t xml:space="preserve"> Enrollment Manual support</w:t>
      </w:r>
      <w:r w:rsidR="007F0B04">
        <w:t xml:space="preserve">, </w:t>
      </w:r>
      <w:r w:rsidR="0095190C">
        <w:t>Death PDM consumer response operations, and the Employer Notice Helpdesk</w:t>
      </w:r>
      <w:r w:rsidR="00256190">
        <w:t xml:space="preserve">. </w:t>
      </w:r>
      <w:r w:rsidR="002B6DD1" w:rsidRPr="002B6DD1">
        <w:t>It gives CMS a way to direct new work without creating a separate delivery structure, while keeping work aligned to existing stakeholder communications, tracking, reporting, and handoffs across the ER&amp;R ecosystem</w:t>
      </w:r>
      <w:r>
        <w:t>.</w:t>
      </w:r>
    </w:p>
    <w:p w14:paraId="685CC6EA" w14:textId="21750211" w:rsidR="00795CAA" w:rsidRPr="00795CAA" w:rsidRDefault="003D5F85" w:rsidP="00750184">
      <w:pPr>
        <w:pStyle w:val="Bulletlevel1"/>
      </w:pPr>
      <w:r>
        <w:t>This effort will be</w:t>
      </w:r>
      <w:r w:rsidR="00A20E75" w:rsidRPr="00A20E75">
        <w:t xml:space="preserve"> most effective when it is treated as a controlled extension of the core stakeholder-support model rather than a collection of disconnected activities. Some work is project-based, such as short studies, data analyses, workshops, and annual manual updates. Other work is operational, including Death PDM response support and the Employer Notice Helpdesk. In both cases, CMS needs rapid activation, clear ownership, approved scripts and materials where applicable, traceable issue handling, dependable reporting, and coordination across CMS, federal and state partners, and related contractors</w:t>
      </w:r>
      <w:r w:rsidR="00795CAA" w:rsidRPr="00795CAA">
        <w:t xml:space="preserve">. </w:t>
      </w:r>
    </w:p>
    <w:p w14:paraId="2FF406FD" w14:textId="473C2C04" w:rsidR="00087F21" w:rsidRPr="00795CAA" w:rsidRDefault="00087F21" w:rsidP="00750184">
      <w:pPr>
        <w:pStyle w:val="Bulletlevel1"/>
      </w:pPr>
      <w:r w:rsidRPr="00087F21">
        <w:t>Death PDM and Employer Notice support make that need concrete. For Death PDM, the contractor must support consumer response activity, track callers who are successfully matched to the list of notified deceased consumers, and provide a running list to the FFE by email on a weekly basis once the line is open. For the Employer Notice Helpdesk, the contractor must support a toll-free telephone line with TTY services, inbound calls and voicemails, outbound calls, transfers, CMS-approved scripts, organized issue triage and tracking, and weekly, monthly, and annual performance and issue reporting during Monday through Friday operations from 8 AM to 8 PM Eastern Time, excluding federal holidays</w:t>
      </w:r>
    </w:p>
    <w:p w14:paraId="2A95F3FF" w14:textId="33ED690C" w:rsidR="00CA4C3D" w:rsidRPr="00795CAA" w:rsidRDefault="00CA4C3D" w:rsidP="00750184">
      <w:pPr>
        <w:pStyle w:val="Bulletlevel1"/>
      </w:pPr>
      <w:r w:rsidRPr="00CA4C3D">
        <w:t>The annual FFE Enrollment Manual is another example of Task 10’s role. CMS needs subject matter support across preparation, edit and review, clearance, and education and publication, along with project planning, stakeholder engagement, meeting facilitation, iteration tracking, and approval support across the January to July cycle or as otherwise directed by CMS</w:t>
      </w:r>
    </w:p>
    <w:p w14:paraId="3045E715" w14:textId="7190D35E" w:rsidR="00795CAA" w:rsidRPr="003414BC" w:rsidRDefault="00702997" w:rsidP="00750184">
      <w:pPr>
        <w:pStyle w:val="Bulletlevel1"/>
      </w:pPr>
      <w:r>
        <w:lastRenderedPageBreak/>
        <w:t>This effort is dependent upon</w:t>
      </w:r>
      <w:r w:rsidR="00795CAA" w:rsidRPr="00795CAA">
        <w:t xml:space="preserve"> the same coordination environment as the rest of ER&amp;R. The SOW calls for collaboration with CMS, federal and state agencies, and multiple contractors, including Data Services Hub, Eligibility Support, Federal Exchange, Marketplace System Integrator, Operations Analytics, Operations Support, and Stakeholder Engagement. </w:t>
      </w:r>
    </w:p>
    <w:p w14:paraId="09159350" w14:textId="53508E60" w:rsidR="004C1628" w:rsidRPr="003414BC" w:rsidRDefault="004C1628" w:rsidP="004C1628">
      <w:pPr>
        <w:pStyle w:val="BodyText"/>
      </w:pPr>
      <w:r w:rsidRPr="004C1628">
        <w:t>Taken together, Task 10 is best understood as CMS’s controlled activation lane for targeted support functions and special projects that need to launch quickly, connect cleanly to the broader ER&amp;R operating environment, and remain accurate, traceable, and manageable as direction evolves</w:t>
      </w:r>
      <w:r w:rsidR="00750184">
        <w:t>.</w:t>
      </w:r>
    </w:p>
    <w:p w14:paraId="689CD439" w14:textId="6D198DC8" w:rsidR="00750184" w:rsidRDefault="00750184" w:rsidP="00750184">
      <w:pPr>
        <w:pStyle w:val="FigureTitle"/>
      </w:pPr>
      <w:r>
        <w:t>Figure 1.2.9-1. [Deloitte to populate: figure title and graphic].</w:t>
      </w:r>
    </w:p>
    <w:p w14:paraId="10009FBD" w14:textId="0A52C658"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42113124" w14:textId="30BF23D6" w:rsidR="00E77C21" w:rsidRPr="005E1602" w:rsidRDefault="344C87A8" w:rsidP="003414BC">
      <w:pPr>
        <w:pStyle w:val="Subheading1"/>
        <w:rPr>
          <w:u w:val="single"/>
        </w:rPr>
      </w:pPr>
      <w:r w:rsidRPr="005E1602">
        <w:rPr>
          <w:u w:val="single"/>
        </w:rPr>
        <w:t>Our Approach</w:t>
      </w:r>
    </w:p>
    <w:p w14:paraId="44FF59A4" w14:textId="5636226B" w:rsidR="00796F9F" w:rsidRPr="000324D6" w:rsidRDefault="004B1A93" w:rsidP="00750184">
      <w:pPr>
        <w:pStyle w:val="Subheading1"/>
        <w:rPr>
          <w:b w:val="0"/>
        </w:rPr>
      </w:pPr>
      <w:r>
        <w:lastRenderedPageBreak/>
        <w:t xml:space="preserve">Task </w:t>
      </w:r>
      <w:r w:rsidR="00BF0924">
        <w:rPr>
          <w:bCs/>
        </w:rPr>
        <w:t>10.1</w:t>
      </w:r>
      <w:r>
        <w:rPr>
          <w:bCs/>
        </w:rPr>
        <w:t xml:space="preserve"> </w:t>
      </w:r>
      <w:r w:rsidR="00796F9F" w:rsidRPr="000324D6">
        <w:rPr>
          <w:bCs/>
        </w:rPr>
        <w:t>— Short Studies, Special Projects, and Data Analyses</w:t>
      </w:r>
    </w:p>
    <w:p w14:paraId="5835CE6D" w14:textId="392A81C2" w:rsidR="00750184" w:rsidRPr="00750184" w:rsidRDefault="00750184" w:rsidP="00750184">
      <w:pPr>
        <w:pStyle w:val="FigureTitle"/>
      </w:pPr>
      <w:r>
        <w:t>Figure 1.2.9-2. [Deloitte to populate: figure title and graphic].</w:t>
      </w:r>
    </w:p>
    <w:p w14:paraId="58EB0853" w14:textId="77C7930F" w:rsidR="000059FF" w:rsidRPr="000324D6" w:rsidRDefault="000059FF" w:rsidP="000059FF">
      <w:pPr>
        <w:pStyle w:val="BodyText"/>
        <w:jc w:val="center"/>
        <w:rPr>
          <w:b/>
          <w:bCs/>
        </w:rPr>
      </w:pPr>
      <w:r w:rsidRPr="000059FF">
        <w:rPr>
          <w:b/>
          <w:bCs/>
          <w:noProof/>
        </w:rPr>
        <w:drawing>
          <wp:inline distT="0" distB="0" distL="0" distR="0" wp14:anchorId="3E61992A" wp14:editId="398692EE">
            <wp:extent cx="5086350" cy="3778250"/>
            <wp:effectExtent l="0" t="0" r="0" b="0"/>
            <wp:docPr id="31389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6479" name=""/>
                    <pic:cNvPicPr/>
                  </pic:nvPicPr>
                  <pic:blipFill rotWithShape="1">
                    <a:blip r:embed="rId39"/>
                    <a:srcRect l="7265" t="8462" r="7158"/>
                    <a:stretch>
                      <a:fillRect/>
                    </a:stretch>
                  </pic:blipFill>
                  <pic:spPr bwMode="auto">
                    <a:xfrm>
                      <a:off x="0" y="0"/>
                      <a:ext cx="5086350" cy="3778250"/>
                    </a:xfrm>
                    <a:prstGeom prst="rect">
                      <a:avLst/>
                    </a:prstGeom>
                    <a:ln>
                      <a:noFill/>
                    </a:ln>
                    <a:extLst>
                      <a:ext uri="{53640926-AAD7-44D8-BBD7-CCE9431645EC}">
                        <a14:shadowObscured xmlns:a14="http://schemas.microsoft.com/office/drawing/2010/main"/>
                      </a:ext>
                    </a:extLst>
                  </pic:spPr>
                </pic:pic>
              </a:graphicData>
            </a:graphic>
          </wp:inline>
        </w:drawing>
      </w:r>
    </w:p>
    <w:p w14:paraId="1FCA40E3" w14:textId="77777777" w:rsidR="00796F9F" w:rsidRPr="00796F9F" w:rsidRDefault="00796F9F" w:rsidP="004E4D55">
      <w:pPr>
        <w:pStyle w:val="Bulletlevel1"/>
      </w:pPr>
      <w:r w:rsidRPr="00796F9F">
        <w:t>Activate a standardized Ad Hoc Request Intake and Scoping Protocol upon receipt of any COR-directed request, using a lightweight charter template that captures problem statement, data requirements, success criteria, deliverable format, and timeline — with a confirmation brief to the COR within two (2) business days to validate scope and assumptions before analysis begins, reducing rework caused by ambiguous requests.</w:t>
      </w:r>
    </w:p>
    <w:p w14:paraId="2D281145" w14:textId="77777777" w:rsidR="00796F9F" w:rsidRPr="00796F9F" w:rsidRDefault="00796F9F" w:rsidP="004E4D55">
      <w:pPr>
        <w:pStyle w:val="Bulletlevel1"/>
      </w:pPr>
      <w:r w:rsidRPr="00796F9F">
        <w:t>Maintain a pre-positioned analytical playbook for high-frequency study types — improper enrollment, failure-to-reconcile (FTR), SEP verification, data matching inconsistency (DMI) analysis, and duplicate enrollment — containing reusable methodologies, analytic logic, data dictionaries, QA checklists, and shell templates for briefs, memoranda, dashboards, and issue papers, so urgent requests stand up faster while methodological consistency and defensibility are preserved across studies.</w:t>
      </w:r>
    </w:p>
    <w:p w14:paraId="752B3E82" w14:textId="77777777" w:rsidR="00796F9F" w:rsidRPr="00796F9F" w:rsidRDefault="00796F9F" w:rsidP="004E4D55">
      <w:pPr>
        <w:pStyle w:val="Bulletlevel1"/>
      </w:pPr>
      <w:r w:rsidRPr="00796F9F">
        <w:t>Apply a tiered capacity model that distinguishes short-cycle analyses (quick-turn data pulls, trend snapshots) from complex policy-driven studies (regulatory impact assessments, multi-system reconciliation studies), giving CMS the right level of support for each request without paying for excess standing capacity.</w:t>
      </w:r>
    </w:p>
    <w:p w14:paraId="1709F525" w14:textId="77777777" w:rsidR="00796F9F" w:rsidRPr="00796F9F" w:rsidRDefault="00796F9F" w:rsidP="004E4D55">
      <w:pPr>
        <w:pStyle w:val="Bulletlevel1"/>
      </w:pPr>
      <w:r w:rsidRPr="00796F9F">
        <w:t>Execute Task 10 within the analytics environment established under Task 9, using CMS's existing Snowflake and Power BI tools to perform ad hoc analyses and to assess whether each one-time request should be converted into a repeatable monitoring product, dashboard, standard query, or self-service analytic — turning recurring questions into operational monitoring capability rather than one-off deliverables.</w:t>
      </w:r>
    </w:p>
    <w:p w14:paraId="740E3FEA" w14:textId="77777777" w:rsidR="00796F9F" w:rsidRPr="00796F9F" w:rsidRDefault="00796F9F" w:rsidP="004E4D55">
      <w:pPr>
        <w:pStyle w:val="Bulletlevel1"/>
      </w:pPr>
      <w:r w:rsidRPr="00796F9F">
        <w:t xml:space="preserve">Leverage cross-task data already governed under the contract — including ER&amp;R dispute data, CERRS casework, 834/820 transaction files, and HICS flagging patterns from Tasks 1–9 — to reduce </w:t>
      </w:r>
      <w:r w:rsidRPr="00796F9F">
        <w:lastRenderedPageBreak/>
        <w:t>duplicative pulls, shorten time to insight, and improve consistency across reporting and special studies; structure ad hoc reports for reuse so findings can feed the weekly, monthly, and annual reporting under Task 9 wherever appropriate.</w:t>
      </w:r>
    </w:p>
    <w:p w14:paraId="61B6EC0B" w14:textId="77777777" w:rsidR="00796F9F" w:rsidRPr="00796F9F" w:rsidRDefault="00796F9F" w:rsidP="004E4D55">
      <w:pPr>
        <w:pStyle w:val="Bulletlevel1"/>
      </w:pPr>
      <w:r w:rsidRPr="00796F9F">
        <w:t>Proactively surface analytically grounded opportunities for program integrity and process optimization rather than waiting solely for COR-directed work — bringing forward targeted recommendations on emerging patterns such as duplicate enrollment risks, SEP abuse indicators, and issuer outliers, drawing on Deloitte's program integrity and payment/reconciliation analytics experience from comparable engagements.</w:t>
      </w:r>
    </w:p>
    <w:p w14:paraId="418A3B89" w14:textId="77777777" w:rsidR="00796F9F" w:rsidRPr="00796F9F" w:rsidRDefault="00796F9F" w:rsidP="004E4D55">
      <w:pPr>
        <w:pStyle w:val="Bulletlevel1"/>
      </w:pPr>
      <w:r w:rsidRPr="00796F9F">
        <w:t>Drive findings into operational improvement through a closed-loop process — when analyses reveal recurring control gaps, avoidable defects, or process bottlenecks, route insights to the appropriate process and QA leads (under Task 9) for root-cause assessment and corrective-action planning, converting one-shot studies into a continuous improvement loop with measurable process enhancement over time.</w:t>
      </w:r>
    </w:p>
    <w:p w14:paraId="6F1AD2EE" w14:textId="77777777" w:rsidR="00796F9F" w:rsidRPr="00796F9F" w:rsidRDefault="00796F9F" w:rsidP="004E4D55">
      <w:pPr>
        <w:pStyle w:val="Bulletlevel1"/>
      </w:pPr>
      <w:r w:rsidRPr="00796F9F">
        <w:t>Apply the 2025 Marketplace Integrity and Affordability Final Rule as the analytic lens for studies touching Marketplace integrity, enrollment verification, or affordability — framing findings around current regulatory requirements (improper enrollments, SEP verification, income validation) and accounting for subsequent legal stays affecting certain provisions, so CMS receives compliance-aware conclusions.</w:t>
      </w:r>
    </w:p>
    <w:p w14:paraId="731ADE55" w14:textId="77777777" w:rsidR="00796F9F" w:rsidRPr="00796F9F" w:rsidRDefault="00796F9F" w:rsidP="004E4D55">
      <w:pPr>
        <w:pStyle w:val="Bulletlevel1"/>
      </w:pPr>
      <w:r w:rsidRPr="00796F9F">
        <w:t>Maintain a rolling Special Projects Tracker accessible to the COR capturing each active and queued request, current status, assigned owner, data dependencies, deliverable type, risks, and target completion date — supporting prioritization, real-time visibility, and proactive escalation of at-risk items.</w:t>
      </w:r>
    </w:p>
    <w:p w14:paraId="68D0560B" w14:textId="77777777" w:rsidR="00796F9F" w:rsidRPr="00796F9F" w:rsidRDefault="00796F9F" w:rsidP="004E4D55">
      <w:pPr>
        <w:pStyle w:val="Bulletlevel1"/>
      </w:pPr>
      <w:r w:rsidRPr="00796F9F">
        <w:t>Document assumptions, source data constraints, and methodological limitations for every deliverable — particularly where FMPS, MIDAS, issuer files, or other inputs may present completeness or quality concerns — so findings are credible, reproducible, and resilient under reviewer scrutiny.</w:t>
      </w:r>
    </w:p>
    <w:p w14:paraId="3C73FF4E" w14:textId="152D5DAD" w:rsidR="003B1501" w:rsidRPr="000324D6" w:rsidRDefault="003B1501" w:rsidP="00563ECD">
      <w:pPr>
        <w:pStyle w:val="Subheading1"/>
        <w:rPr>
          <w:b w:val="0"/>
        </w:rPr>
      </w:pPr>
      <w:r>
        <w:t xml:space="preserve">Task 10.2 </w:t>
      </w:r>
      <w:r w:rsidRPr="000324D6">
        <w:rPr>
          <w:bCs/>
        </w:rPr>
        <w:t xml:space="preserve">— </w:t>
      </w:r>
      <w:r>
        <w:rPr>
          <w:bCs/>
        </w:rPr>
        <w:t xml:space="preserve">Ad Hoc </w:t>
      </w:r>
      <w:commentRangeStart w:id="79"/>
      <w:r>
        <w:rPr>
          <w:bCs/>
        </w:rPr>
        <w:t>Trainings</w:t>
      </w:r>
      <w:commentRangeEnd w:id="79"/>
      <w:r w:rsidR="00B53833" w:rsidRPr="000324D6">
        <w:rPr>
          <w:rStyle w:val="CommentReference"/>
          <w:b w:val="0"/>
          <w:sz w:val="24"/>
          <w:szCs w:val="22"/>
        </w:rPr>
        <w:commentReference w:id="79"/>
      </w:r>
    </w:p>
    <w:p w14:paraId="015834EF" w14:textId="6675A8AF" w:rsidR="00691F41" w:rsidRPr="00691F41" w:rsidRDefault="00691F41" w:rsidP="00691F41">
      <w:pPr>
        <w:pStyle w:val="BodyText"/>
      </w:pPr>
      <w:r w:rsidRPr="00563ECD">
        <w:rPr>
          <w:rStyle w:val="CharacterBold"/>
        </w:rPr>
        <w:t>Understanding:</w:t>
      </w:r>
      <w:r w:rsidRPr="00691F41">
        <w:t xml:space="preserve"> </w:t>
      </w:r>
      <w:r w:rsidR="005C7260">
        <w:t xml:space="preserve">As CMS modernizes </w:t>
      </w:r>
      <w:r w:rsidR="00B51BD3">
        <w:t>and enhances existing systems, human decision making and performance may depend on training topics yet to emerge.</w:t>
      </w:r>
      <w:r w:rsidR="005C7260">
        <w:t xml:space="preserve"> </w:t>
      </w:r>
      <w:r w:rsidR="0085689E">
        <w:t>Task 10.2 requires</w:t>
      </w:r>
      <w:r w:rsidR="00FD7E47">
        <w:t xml:space="preserve"> </w:t>
      </w:r>
      <w:r w:rsidR="0086385D">
        <w:t>efficient identification, development, and deployment of</w:t>
      </w:r>
      <w:r w:rsidR="0085689E">
        <w:t xml:space="preserve"> </w:t>
      </w:r>
      <w:r w:rsidR="00CE73FC">
        <w:t xml:space="preserve">training support that complements existing capability building throughout </w:t>
      </w:r>
      <w:r w:rsidR="00187BD5">
        <w:t xml:space="preserve">the CMS ER&amp;R </w:t>
      </w:r>
      <w:r w:rsidR="00930BF3">
        <w:t>modernization</w:t>
      </w:r>
      <w:r w:rsidR="00187BD5">
        <w:t xml:space="preserve"> program</w:t>
      </w:r>
      <w:r w:rsidR="00030ED8">
        <w:t xml:space="preserve"> and the Stakeholder Engagement contractor’s </w:t>
      </w:r>
      <w:r w:rsidR="00930BF3">
        <w:t>training program</w:t>
      </w:r>
      <w:r w:rsidR="00187BD5">
        <w:t xml:space="preserve">. </w:t>
      </w:r>
      <w:r w:rsidR="00654E9D">
        <w:t xml:space="preserve">This training may include </w:t>
      </w:r>
      <w:r w:rsidR="00DD609C">
        <w:t xml:space="preserve">advanced subject matter development or </w:t>
      </w:r>
      <w:r w:rsidR="00716E50">
        <w:t xml:space="preserve">surge training efforts to maximize the operationalization of </w:t>
      </w:r>
      <w:r w:rsidRPr="00691F41">
        <w:t>ER&amp;R, 1095-A, CCHC, and underlying CMS systems</w:t>
      </w:r>
      <w:r w:rsidR="00D668A0">
        <w:t>.</w:t>
      </w:r>
    </w:p>
    <w:p w14:paraId="52B7AC45" w14:textId="4783C9F7" w:rsidR="00602CDA" w:rsidRDefault="00602CDA" w:rsidP="00602CDA">
      <w:pPr>
        <w:pStyle w:val="FigureTitle"/>
      </w:pPr>
      <w:r>
        <w:t>Figure 1.2.9-3. [Deloitte to populate: figure title and graphic].</w:t>
      </w:r>
    </w:p>
    <w:p w14:paraId="5A98D73F" w14:textId="236DC050" w:rsidR="00255A70" w:rsidRPr="00691F41" w:rsidRDefault="00602CDA" w:rsidP="00602CDA">
      <w:pPr>
        <w:pStyle w:val="FigureGraphic"/>
      </w:pPr>
      <w:r>
        <w:rPr>
          <w:noProof/>
        </w:rPr>
        <w:drawing>
          <wp:inline distT="0" distB="0" distL="0" distR="0" wp14:anchorId="57548BEF" wp14:editId="7F80B7E5">
            <wp:extent cx="5099050" cy="4504055"/>
            <wp:effectExtent l="0" t="0" r="6350" b="0"/>
            <wp:docPr id="17390384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0">
                      <a:extLst>
                        <a:ext uri="{28A0092B-C50C-407E-A947-70E740481C1C}">
                          <a14:useLocalDpi xmlns:a14="http://schemas.microsoft.com/office/drawing/2010/main" val="0"/>
                        </a:ext>
                      </a:extLst>
                    </a:blip>
                    <a:srcRect l="7264" t="6952" r="6955"/>
                    <a:stretch>
                      <a:fillRect/>
                    </a:stretch>
                  </pic:blipFill>
                  <pic:spPr bwMode="auto">
                    <a:xfrm>
                      <a:off x="0" y="0"/>
                      <a:ext cx="5099050" cy="4504055"/>
                    </a:xfrm>
                    <a:prstGeom prst="rect">
                      <a:avLst/>
                    </a:prstGeom>
                    <a:noFill/>
                    <a:ln>
                      <a:noFill/>
                    </a:ln>
                    <a:extLst>
                      <a:ext uri="{53640926-AAD7-44D8-BBD7-CCE9431645EC}">
                        <a14:shadowObscured xmlns:a14="http://schemas.microsoft.com/office/drawing/2010/main"/>
                      </a:ext>
                    </a:extLst>
                  </pic:spPr>
                </pic:pic>
              </a:graphicData>
            </a:graphic>
          </wp:inline>
        </w:drawing>
      </w:r>
    </w:p>
    <w:p w14:paraId="2FF36ED2" w14:textId="63BE4829" w:rsidR="000E077D" w:rsidRDefault="00691F41" w:rsidP="0036747B">
      <w:pPr>
        <w:pStyle w:val="Bulletlevel1"/>
      </w:pPr>
      <w:r w:rsidRPr="0036747B">
        <w:rPr>
          <w:rStyle w:val="CharacterBold"/>
        </w:rPr>
        <w:t>Apply a structured intake and curriculum design protocol</w:t>
      </w:r>
      <w:r w:rsidR="00957B30" w:rsidRPr="0036747B">
        <w:rPr>
          <w:rStyle w:val="CharacterBold"/>
        </w:rPr>
        <w:t>:</w:t>
      </w:r>
      <w:r w:rsidRPr="00691F41">
        <w:t xml:space="preserve"> </w:t>
      </w:r>
      <w:r w:rsidR="00957B30">
        <w:t>Establish a common design, governance, and delivery model</w:t>
      </w:r>
      <w:r w:rsidRPr="00691F41">
        <w:t xml:space="preserve"> triggered by COR direction </w:t>
      </w:r>
      <w:r w:rsidR="00B17714">
        <w:t>that</w:t>
      </w:r>
      <w:r w:rsidRPr="00691F41">
        <w:t xml:space="preserve"> confirm</w:t>
      </w:r>
      <w:r w:rsidR="00B17714">
        <w:t>s</w:t>
      </w:r>
      <w:r w:rsidRPr="00691F41">
        <w:t xml:space="preserve"> audience (issuers, SBEs, agents/brokers, assisters, CMS internal teams, or contractor partners), training objectives, regulatory or operational driver (e.g., Payment Notice change, Enrollment Manual revision, new system release), preferred format (webinar, workshop, office hours, </w:t>
      </w:r>
      <w:r w:rsidR="00E721B8">
        <w:t>web-based training</w:t>
      </w:r>
      <w:r w:rsidRPr="00691F41">
        <w:t>, in</w:t>
      </w:r>
      <w:r w:rsidR="00E721B8">
        <w:t>structor-led training</w:t>
      </w:r>
      <w:r w:rsidRPr="00691F41">
        <w:t xml:space="preserve">), and target delivery date so each engagement is scoped before development begins. </w:t>
      </w:r>
    </w:p>
    <w:p w14:paraId="5B770773" w14:textId="6E92ACC8" w:rsidR="00E83DC6" w:rsidRDefault="00691F41" w:rsidP="0036747B">
      <w:pPr>
        <w:pStyle w:val="Bulletlevel1"/>
      </w:pPr>
      <w:r w:rsidRPr="0036747B">
        <w:rPr>
          <w:rStyle w:val="CharacterBold"/>
        </w:rPr>
        <w:t>Develop training content using a modular, reusable architecture</w:t>
      </w:r>
      <w:r w:rsidRPr="00691F41">
        <w:t xml:space="preserve"> anchored to the FFE Enrollment Manual, current SOPs, and live CERRS/HICS/SEED/EDA CORE configurations so material is operationally accurate, can be updated quickly when regulations or systems change, and can be repurposed across delivery formats</w:t>
      </w:r>
      <w:r w:rsidR="000774B6">
        <w:t>.</w:t>
      </w:r>
    </w:p>
    <w:p w14:paraId="5856080F" w14:textId="27D413C0" w:rsidR="00D75759" w:rsidRDefault="00E124B0" w:rsidP="0036747B">
      <w:pPr>
        <w:pStyle w:val="Bulletlevel1"/>
      </w:pPr>
      <w:r w:rsidRPr="0036747B">
        <w:rPr>
          <w:rStyle w:val="CharacterBold"/>
        </w:rPr>
        <w:t>Human performance experts are paired with subject matter experts</w:t>
      </w:r>
      <w:r>
        <w:t xml:space="preserve"> to design training that matches format (e.g., microlearnings, realistic scenario-based workshops, reinforcement nudges, or performance-focused resources) to audience and topic using modern adult learning principles.</w:t>
      </w:r>
    </w:p>
    <w:p w14:paraId="745BF71D" w14:textId="146CA802" w:rsidR="004517C4" w:rsidRDefault="00E124B0" w:rsidP="0036747B">
      <w:pPr>
        <w:pStyle w:val="Bulletlevel1"/>
      </w:pPr>
      <w:r w:rsidRPr="0036747B">
        <w:rPr>
          <w:rStyle w:val="CharacterBold"/>
        </w:rPr>
        <w:t>Performance- and outcome-driven development methodology:</w:t>
      </w:r>
      <w:r>
        <w:t xml:space="preserve"> Design training backward from the desired business outcomes (e.g., speed to proficiency, policy adherence, quality, customer experience, reduced handle time, improved accuracy, and adoption of new tools) using role-based learning journeys. Use QA findings to drive identification of new training topics.</w:t>
      </w:r>
    </w:p>
    <w:p w14:paraId="32D1D7A6" w14:textId="3B8E9DD8" w:rsidR="00522843" w:rsidRDefault="00884E22" w:rsidP="0036747B">
      <w:pPr>
        <w:pStyle w:val="Bulletlevel1"/>
      </w:pPr>
      <w:r w:rsidRPr="0036747B">
        <w:rPr>
          <w:rStyle w:val="CharacterBold"/>
        </w:rPr>
        <w:t>508</w:t>
      </w:r>
      <w:r w:rsidR="00D268CE" w:rsidRPr="0036747B">
        <w:rPr>
          <w:rStyle w:val="CharacterBold"/>
        </w:rPr>
        <w:t xml:space="preserve"> and CMS compliance</w:t>
      </w:r>
      <w:r w:rsidRPr="0036747B">
        <w:rPr>
          <w:rStyle w:val="CharacterBold"/>
        </w:rPr>
        <w:t xml:space="preserve"> by design:</w:t>
      </w:r>
      <w:r>
        <w:t xml:space="preserve"> Embed accessibility and Section 508 requirements into content standards, authoring, testing, and delivery to ensure training is usable for all learners and suitable for </w:t>
      </w:r>
      <w:r>
        <w:lastRenderedPageBreak/>
        <w:t xml:space="preserve">regulated or public-sector environments. </w:t>
      </w:r>
      <w:r w:rsidR="00D268CE">
        <w:t>Partner with CMS</w:t>
      </w:r>
      <w:r w:rsidR="00691F41">
        <w:t xml:space="preserve"> training infrastructure</w:t>
      </w:r>
      <w:r w:rsidR="00691F41" w:rsidRPr="00691F41">
        <w:t xml:space="preserve"> </w:t>
      </w:r>
      <w:r w:rsidR="00521F57">
        <w:t>offices to host and deliver content based on target audience (</w:t>
      </w:r>
      <w:r w:rsidR="00691F41" w:rsidRPr="00691F41">
        <w:t xml:space="preserve">REGTAP for issuer/SBE/assister </w:t>
      </w:r>
      <w:r w:rsidR="004B520F">
        <w:t>content</w:t>
      </w:r>
      <w:r w:rsidR="00691F41" w:rsidRPr="00691F41">
        <w:t xml:space="preserve">, MLMS </w:t>
      </w:r>
      <w:r w:rsidR="004B520F">
        <w:t>for</w:t>
      </w:r>
      <w:r w:rsidR="00691F41" w:rsidRPr="00691F41">
        <w:t xml:space="preserve"> agent/broker audiences</w:t>
      </w:r>
      <w:r w:rsidR="00522843">
        <w:t>,</w:t>
      </w:r>
      <w:r w:rsidR="00691F41" w:rsidRPr="00691F41">
        <w:t xml:space="preserve"> CMS</w:t>
      </w:r>
      <w:r w:rsidR="00522843">
        <w:t xml:space="preserve"> learning management system for internal staff). </w:t>
      </w:r>
    </w:p>
    <w:p w14:paraId="0492CB43" w14:textId="77777777" w:rsidR="00BD0465" w:rsidRDefault="00691F41" w:rsidP="0036747B">
      <w:pPr>
        <w:pStyle w:val="Bulletlevel1"/>
      </w:pPr>
      <w:r w:rsidRPr="0036747B">
        <w:rPr>
          <w:rStyle w:val="CharacterBold"/>
        </w:rPr>
        <w:t>Coordinate with the Stakeholder Engagement contractor and adjacent contractors</w:t>
      </w:r>
      <w:r w:rsidRPr="00691F41">
        <w:t xml:space="preserve"> (Operations Analytics, FMPS, MSI, Eligibility Support, Federal Exchange Call Center) on any training that touches shared content or audiences</w:t>
      </w:r>
      <w:r w:rsidR="00BD0465">
        <w:t>,</w:t>
      </w:r>
      <w:r w:rsidRPr="00691F41">
        <w:t xml:space="preserve"> using a joint scoping checkpoint to prevent duplication, confirm message consistency, and align on logistics. </w:t>
      </w:r>
    </w:p>
    <w:p w14:paraId="31B35942" w14:textId="52172145" w:rsidR="0036747B" w:rsidRDefault="00396C18" w:rsidP="00602CDA">
      <w:pPr>
        <w:pStyle w:val="Bulletlevel1"/>
      </w:pPr>
      <w:r w:rsidRPr="0036747B">
        <w:rPr>
          <w:rStyle w:val="CharacterBold"/>
        </w:rPr>
        <w:t>Continuous measurement and improvement:</w:t>
      </w:r>
      <w:r>
        <w:t xml:space="preserve"> Track completion, proficiency, and operational performance using automated, data-based measurement aligned with the Kirkpatrick model of evaluation.</w:t>
      </w:r>
    </w:p>
    <w:p w14:paraId="09A8F23E" w14:textId="54863B9D" w:rsidR="0036747B" w:rsidRDefault="00602CDA" w:rsidP="00602CDA">
      <w:pPr>
        <w:pStyle w:val="TableTitle"/>
      </w:pPr>
      <w:r>
        <w:t>Table 1.2.9-1. Task 10 Capabilities Summary.</w:t>
      </w:r>
    </w:p>
    <w:tbl>
      <w:tblPr>
        <w:tblStyle w:val="DeloitteTable2"/>
        <w:tblW w:w="5000" w:type="pct"/>
        <w:tblLook w:val="06A0" w:firstRow="1" w:lastRow="0" w:firstColumn="1" w:lastColumn="0" w:noHBand="1" w:noVBand="1"/>
      </w:tblPr>
      <w:tblGrid>
        <w:gridCol w:w="2245"/>
        <w:gridCol w:w="7105"/>
      </w:tblGrid>
      <w:tr w:rsidR="0036747B" w14:paraId="4A9C5CC4" w14:textId="77777777" w:rsidTr="004F71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4C86270A" w14:textId="77777777" w:rsidR="0036747B" w:rsidRDefault="0036747B">
            <w:pPr>
              <w:pStyle w:val="TableHeading"/>
            </w:pPr>
            <w:r w:rsidRPr="0049321E">
              <w:t>Process Phase</w:t>
            </w:r>
          </w:p>
        </w:tc>
        <w:tc>
          <w:tcPr>
            <w:tcW w:w="7105" w:type="dxa"/>
          </w:tcPr>
          <w:p w14:paraId="51948AC4" w14:textId="77777777" w:rsidR="0036747B" w:rsidRPr="00E65890" w:rsidRDefault="0036747B">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36747B" w14:paraId="41906A1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B9FA3B1" w14:textId="2A8A2F7C" w:rsidR="0036747B" w:rsidRDefault="0036747B" w:rsidP="004F7105">
            <w:pPr>
              <w:pStyle w:val="TableRowHeading"/>
              <w:spacing w:after="0"/>
            </w:pPr>
            <w:r w:rsidRPr="00B76181">
              <w:t>Program Integrity</w:t>
            </w:r>
          </w:p>
        </w:tc>
        <w:tc>
          <w:tcPr>
            <w:tcW w:w="7105" w:type="dxa"/>
          </w:tcPr>
          <w:p w14:paraId="61A63D74" w14:textId="46D589A0"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Embed program integrity throughout client, stakeholder, and contractor/front line staff using change campaigns and continuous reinforcement with emphasis on social engineering and fraud.</w:t>
            </w:r>
          </w:p>
        </w:tc>
      </w:tr>
      <w:tr w:rsidR="0036747B" w14:paraId="10E2DF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5C423A0F" w14:textId="124C7C6B" w:rsidR="0036747B" w:rsidRDefault="0036747B" w:rsidP="004F7105">
            <w:pPr>
              <w:pStyle w:val="TableRowHeading"/>
              <w:spacing w:after="0"/>
            </w:pPr>
            <w:r w:rsidRPr="00B76181">
              <w:t>AI fluency</w:t>
            </w:r>
          </w:p>
        </w:tc>
        <w:tc>
          <w:tcPr>
            <w:tcW w:w="7105" w:type="dxa"/>
          </w:tcPr>
          <w:p w14:paraId="32F58B04" w14:textId="090D8D21"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 xml:space="preserve">Prepare frontline staff for transition to AI-empowered operating model throughout transition by training new workflows, where to exercise human judgment, and ethical use. Empower CMS leaders with AI fluency to guide decision making and identify potential risks and limitations. </w:t>
            </w:r>
          </w:p>
        </w:tc>
      </w:tr>
      <w:tr w:rsidR="0036747B" w14:paraId="7ADE40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A9BD9C4" w14:textId="1B4DDC94" w:rsidR="0036747B" w:rsidRDefault="0036747B" w:rsidP="004F7105">
            <w:pPr>
              <w:pStyle w:val="TableRowHeading"/>
              <w:spacing w:after="0"/>
            </w:pPr>
            <w:r w:rsidRPr="00B76181">
              <w:t>Dispute root-cause trend study</w:t>
            </w:r>
          </w:p>
        </w:tc>
        <w:tc>
          <w:tcPr>
            <w:tcW w:w="7105" w:type="dxa"/>
          </w:tcPr>
          <w:p w14:paraId="19C6CE1F" w14:textId="67EBE1D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Patterns by dispute type, system touchpoint, issuer segment, and recurrence; includes prevention recommendations and which SOPs/job aids should change.</w:t>
            </w:r>
          </w:p>
        </w:tc>
      </w:tr>
      <w:tr w:rsidR="0036747B" w14:paraId="6441CE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B5D1BAF" w14:textId="1513ED17" w:rsidR="0036747B" w:rsidRDefault="0036747B" w:rsidP="004F7105">
            <w:pPr>
              <w:pStyle w:val="TableRowHeading"/>
              <w:spacing w:after="0"/>
            </w:pPr>
            <w:r w:rsidRPr="00B76181">
              <w:t>“Dispute prevention playbook” workshop (issuers + internal):</w:t>
            </w:r>
          </w:p>
        </w:tc>
        <w:tc>
          <w:tcPr>
            <w:tcW w:w="7105" w:type="dxa"/>
          </w:tcPr>
          <w:p w14:paraId="6E984FFF" w14:textId="5F43A71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Common triggers, documentation standards, decision rules, and “avoid repeat submissions” guidance.</w:t>
            </w:r>
          </w:p>
        </w:tc>
      </w:tr>
      <w:tr w:rsidR="0036747B" w14:paraId="598DE1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4B92DE72" w14:textId="387B3E3C" w:rsidR="0036747B" w:rsidRDefault="0036747B" w:rsidP="004F7105">
            <w:pPr>
              <w:pStyle w:val="TableRowHeading"/>
              <w:spacing w:after="0"/>
            </w:pPr>
            <w:r w:rsidRPr="00B76181">
              <w:t>High-complexity case workflow study</w:t>
            </w:r>
          </w:p>
        </w:tc>
        <w:tc>
          <w:tcPr>
            <w:tcW w:w="7105" w:type="dxa"/>
          </w:tcPr>
          <w:p w14:paraId="2F86984F" w14:textId="416DB063"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Map steps, handoffs, rework loops, and time sinks; produces an “automation opportunity register” (what to automate now vs later).</w:t>
            </w:r>
          </w:p>
        </w:tc>
      </w:tr>
      <w:tr w:rsidR="0036747B" w14:paraId="4C95580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31093F6" w14:textId="6B0F4415" w:rsidR="0036747B" w:rsidRDefault="0036747B" w:rsidP="004F7105">
            <w:pPr>
              <w:pStyle w:val="TableRowHeading"/>
              <w:spacing w:after="0"/>
            </w:pPr>
            <w:r w:rsidRPr="00B76181">
              <w:t>Dashboard literacy training (role-based)</w:t>
            </w:r>
          </w:p>
        </w:tc>
        <w:tc>
          <w:tcPr>
            <w:tcW w:w="7105" w:type="dxa"/>
          </w:tcPr>
          <w:p w14:paraId="4DB24F34" w14:textId="2814A50D"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How to interpret KPI/SLA views, how to spot anomalies, and how to translate insights into backlog items.</w:t>
            </w:r>
          </w:p>
        </w:tc>
      </w:tr>
      <w:tr w:rsidR="0036747B" w14:paraId="3E9FCEB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4A86640" w14:textId="43B3D3FD" w:rsidR="0036747B" w:rsidRDefault="0036747B" w:rsidP="004F7105">
            <w:pPr>
              <w:pStyle w:val="TableRowHeading"/>
              <w:spacing w:after="0"/>
            </w:pPr>
            <w:r w:rsidRPr="00B76181">
              <w:t>Surge onboarding micro-trainings (internal staff)</w:t>
            </w:r>
          </w:p>
        </w:tc>
        <w:tc>
          <w:tcPr>
            <w:tcW w:w="7105" w:type="dxa"/>
          </w:tcPr>
          <w:p w14:paraId="2B678D2D" w14:textId="3B0CAA7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Short, scenario-based modules for open enrollment/tax season, including call-center and caseworker variants.</w:t>
            </w:r>
          </w:p>
        </w:tc>
      </w:tr>
    </w:tbl>
    <w:p w14:paraId="244206BC" w14:textId="77777777" w:rsidR="00396C18" w:rsidRDefault="00396C18" w:rsidP="00602CDA">
      <w:pPr>
        <w:pStyle w:val="ParagraphSpacer"/>
      </w:pPr>
    </w:p>
    <w:p w14:paraId="7CB3895C" w14:textId="41A85D5F" w:rsidR="001C7A30" w:rsidRPr="000324D6" w:rsidRDefault="001C7A30" w:rsidP="0036747B">
      <w:pPr>
        <w:pStyle w:val="Subheading1"/>
        <w:rPr>
          <w:b w:val="0"/>
        </w:rPr>
      </w:pPr>
      <w:r>
        <w:lastRenderedPageBreak/>
        <w:t xml:space="preserve">Task 10.3 </w:t>
      </w:r>
      <w:r w:rsidRPr="000324D6">
        <w:rPr>
          <w:bCs/>
        </w:rPr>
        <w:t xml:space="preserve">— </w:t>
      </w:r>
      <w:r w:rsidR="00AD655E">
        <w:rPr>
          <w:bCs/>
        </w:rPr>
        <w:t>A</w:t>
      </w:r>
      <w:r w:rsidR="00AD655E" w:rsidRPr="00AD655E">
        <w:rPr>
          <w:bCs/>
        </w:rPr>
        <w:t xml:space="preserve">nnual </w:t>
      </w:r>
      <w:r w:rsidR="00AD655E">
        <w:rPr>
          <w:bCs/>
        </w:rPr>
        <w:t>R</w:t>
      </w:r>
      <w:r w:rsidR="00AD655E" w:rsidRPr="00AD655E">
        <w:rPr>
          <w:bCs/>
        </w:rPr>
        <w:t>evision of the FFE Enrollment Manual</w:t>
      </w:r>
    </w:p>
    <w:p w14:paraId="6462CCB5" w14:textId="038719EF" w:rsidR="0036747B" w:rsidRDefault="0036747B" w:rsidP="0036747B">
      <w:pPr>
        <w:pStyle w:val="FigureTitle"/>
      </w:pPr>
      <w:r>
        <w:t>Figure 1.2.9-4. [Deloitte to populate: figure title and graphic].</w:t>
      </w:r>
    </w:p>
    <w:p w14:paraId="35FA668B" w14:textId="326EB29E" w:rsidR="0036747B" w:rsidRPr="0036747B" w:rsidRDefault="0036747B" w:rsidP="0036747B">
      <w:pPr>
        <w:pStyle w:val="FigureGraphic"/>
      </w:pPr>
      <w:r>
        <w:rPr>
          <w:noProof/>
        </w:rPr>
        <w:drawing>
          <wp:inline distT="0" distB="0" distL="0" distR="0" wp14:anchorId="0CA53280" wp14:editId="2CC3C202">
            <wp:extent cx="5162550" cy="3270250"/>
            <wp:effectExtent l="0" t="0" r="0" b="6350"/>
            <wp:docPr id="542350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1">
                      <a:extLst>
                        <a:ext uri="{28A0092B-C50C-407E-A947-70E740481C1C}">
                          <a14:useLocalDpi xmlns:a14="http://schemas.microsoft.com/office/drawing/2010/main" val="0"/>
                        </a:ext>
                      </a:extLst>
                    </a:blip>
                    <a:srcRect l="6303" t="10867" r="6846" b="3026"/>
                    <a:stretch>
                      <a:fillRect/>
                    </a:stretch>
                  </pic:blipFill>
                  <pic:spPr bwMode="auto">
                    <a:xfrm>
                      <a:off x="0" y="0"/>
                      <a:ext cx="5162550" cy="3270250"/>
                    </a:xfrm>
                    <a:prstGeom prst="rect">
                      <a:avLst/>
                    </a:prstGeom>
                    <a:noFill/>
                    <a:ln>
                      <a:noFill/>
                    </a:ln>
                    <a:extLst>
                      <a:ext uri="{53640926-AAD7-44D8-BBD7-CCE9431645EC}">
                        <a14:shadowObscured xmlns:a14="http://schemas.microsoft.com/office/drawing/2010/main"/>
                      </a:ext>
                    </a:extLst>
                  </pic:spPr>
                </pic:pic>
              </a:graphicData>
            </a:graphic>
          </wp:inline>
        </w:drawing>
      </w:r>
    </w:p>
    <w:p w14:paraId="5D63E426" w14:textId="69ADBF65" w:rsidR="00A65DEF" w:rsidRPr="000324D6" w:rsidRDefault="00A65DEF" w:rsidP="0036747B">
      <w:pPr>
        <w:pStyle w:val="ParagraphSpacer"/>
      </w:pPr>
    </w:p>
    <w:p w14:paraId="110B5B1D" w14:textId="77777777" w:rsidR="004A346A" w:rsidRDefault="004A346A" w:rsidP="0036747B">
      <w:pPr>
        <w:pStyle w:val="Bulletlevel1"/>
      </w:pPr>
      <w:r w:rsidRPr="0036747B">
        <w:rPr>
          <w:rStyle w:val="CharacterBold"/>
        </w:rPr>
        <w:t>Stand up an integrated Manual project team in January</w:t>
      </w:r>
      <w:r w:rsidRPr="004A346A">
        <w:t xml:space="preserve"> pairing Deloitte program management with embedded enrollment, reconciliation, and program integrity SMEs drawn from Tasks 2, 3, 4, 8, and 9 — so the Manual is revised by practitioners who see how chapters on DMIs, SEPs, FTR, ER&amp;R, HICS, PDM, UEs, 1095-A corrections, appeals, and HRAs play out in live casework. </w:t>
      </w:r>
    </w:p>
    <w:p w14:paraId="5C79C6D5" w14:textId="77777777" w:rsidR="00AD36E5" w:rsidRDefault="004A346A" w:rsidP="0036747B">
      <w:pPr>
        <w:pStyle w:val="Bulletlevel1"/>
      </w:pPr>
      <w:r w:rsidRPr="0036747B">
        <w:rPr>
          <w:rStyle w:val="CharacterBold"/>
        </w:rPr>
        <w:t>Develop and maintain an Enrollment Manual Project Plan covering the four phases — Preparation, Edit/Review, Clearance, and Education/Publication — across the January–July timeline</w:t>
      </w:r>
      <w:r w:rsidRPr="004A346A">
        <w:t xml:space="preserve">, anchored to a master schedule with phase gates, owner assignments, version control, and explicit dependencies on regulatory inputs (the annual Payment Notice, Marketplace Stabilization Rule updates, the annual Letter to Issuers, and in-cycle CMS guidance) so CMS retains real-time visibility into status and slippage risk. </w:t>
      </w:r>
    </w:p>
    <w:p w14:paraId="4CCAB807" w14:textId="05EC7CBB" w:rsidR="00D3350C" w:rsidRDefault="004A346A" w:rsidP="0036747B">
      <w:pPr>
        <w:pStyle w:val="Bulletlevel1"/>
      </w:pPr>
      <w:r w:rsidRPr="0036747B">
        <w:rPr>
          <w:rStyle w:val="CharacterBold"/>
        </w:rPr>
        <w:t>Drive the Preparation Phase with a structured regulatory and operational change inventory</w:t>
      </w:r>
      <w:r w:rsidRPr="004A346A">
        <w:t xml:space="preserve">, scanning final rules, Payment Notices, sub-regulatory guidance, the annual Letter to Issuers, ER&amp;R lessons learned, HICS casework patterns, recurring DMI/SEP issues, and SBE/issuer feedback — translating each into a proposed redline scoped to the affected chapter(s) and exhibit(s) for CMS prioritization. </w:t>
      </w:r>
    </w:p>
    <w:p w14:paraId="6111B4EF" w14:textId="77777777" w:rsidR="00EF76F2" w:rsidRDefault="004A346A" w:rsidP="0036747B">
      <w:pPr>
        <w:pStyle w:val="Bulletlevel1"/>
      </w:pPr>
      <w:r w:rsidRPr="0036747B">
        <w:rPr>
          <w:rStyle w:val="CharacterBold"/>
        </w:rPr>
        <w:t>Use AI-assisted document analysis to accelerate the Edit/Review Phase</w:t>
      </w:r>
      <w:r w:rsidRPr="004A346A">
        <w:t xml:space="preserve"> by leveraging Deloitte's GenAI documentation tooling to run cross-reference checks, identify outdated citations, surface inconsistencies between chapters, and flag passages affected by superseded bulletins — while keeping editorial judgment with CMS SMEs and Deloitte content leads under a human-in-the-loop model. </w:t>
      </w:r>
    </w:p>
    <w:p w14:paraId="20FA8EA9" w14:textId="77777777" w:rsidR="00EF76F2" w:rsidRDefault="004A346A" w:rsidP="0036747B">
      <w:pPr>
        <w:pStyle w:val="Bulletlevel1"/>
      </w:pPr>
      <w:r w:rsidRPr="0036747B">
        <w:rPr>
          <w:rStyle w:val="CharacterBold"/>
        </w:rPr>
        <w:t>Manage CCIIO stakeholder engagement and meeting facilitation through a designated Deloitte Manual Lead</w:t>
      </w:r>
      <w:r w:rsidRPr="004A346A">
        <w:t xml:space="preserve"> who coordinates SME assignments, brokers cross-CCIIO decisions across Payment Policy &amp; Financial Management, Eligibility &amp; Enrollment, and the State Exchange Group, and runs the kick-off, weekly stand-ups, and SME working sessions using standardized agendas, decision logs, and </w:t>
      </w:r>
      <w:r w:rsidRPr="004A346A">
        <w:lastRenderedPageBreak/>
        <w:t xml:space="preserve">action trackers that record every disposition (accept / revise / defer / out-of-scope) with a documented rationale and clear owner. </w:t>
      </w:r>
    </w:p>
    <w:p w14:paraId="0AAB4638" w14:textId="77777777" w:rsidR="00A9200B" w:rsidRDefault="004A346A" w:rsidP="0036747B">
      <w:pPr>
        <w:pStyle w:val="Bulletlevel1"/>
      </w:pPr>
      <w:r w:rsidRPr="0036747B">
        <w:rPr>
          <w:rStyle w:val="CharacterBold"/>
        </w:rPr>
        <w:t>Apply rigorous version control and iteration tracking</w:t>
      </w:r>
      <w:r w:rsidRPr="004A346A">
        <w:t xml:space="preserve"> through a centralized, access-controlled working repository with redline-and-clean versioning, edit attribution, and an SME comment-resolution workflow — so no comment is lost between drafts and every change is traceable to a regulatory or operational source, consistent with the broader Program-Integrity-by-design approach. </w:t>
      </w:r>
    </w:p>
    <w:p w14:paraId="58ADED60" w14:textId="77777777" w:rsidR="00A9200B" w:rsidRDefault="004A346A" w:rsidP="0036747B">
      <w:pPr>
        <w:pStyle w:val="Bulletlevel1"/>
      </w:pPr>
      <w:r w:rsidRPr="0036747B">
        <w:rPr>
          <w:rStyle w:val="CharacterBold"/>
        </w:rPr>
        <w:t xml:space="preserve">Treat the Clearance Phase as a structured submission and adjudication process — </w:t>
      </w:r>
      <w:r w:rsidRPr="004A346A">
        <w:t xml:space="preserve">packaging clearance drafts with change summaries, source citations, and unresolved-issue logs for CCIIO leadership; managing comment cycles against committed turnaround windows; and escalating contested edits to the COR with options and recommendations rather than open questions. </w:t>
      </w:r>
    </w:p>
    <w:p w14:paraId="5C815ADB" w14:textId="77777777" w:rsidR="00A9200B" w:rsidRDefault="004A346A" w:rsidP="0036747B">
      <w:pPr>
        <w:pStyle w:val="Bulletlevel1"/>
      </w:pPr>
      <w:r w:rsidRPr="0036747B">
        <w:rPr>
          <w:rStyle w:val="CharacterBold"/>
        </w:rPr>
        <w:t>Coordinate the Education and Publication Phase as a clean handoff to the Stakeholder Engagement contractor —</w:t>
      </w:r>
      <w:r w:rsidRPr="004A346A">
        <w:t xml:space="preserve"> providing the final approved Manual with a substantive change summary, quick-reference change matrices for issuers and SBEs, and SME availability for downstream training development — so the Manual is operationalized for the issuer community, not just published.</w:t>
      </w:r>
    </w:p>
    <w:p w14:paraId="07BD2F18" w14:textId="77777777" w:rsidR="00A9200B" w:rsidRDefault="004A346A" w:rsidP="0036747B">
      <w:pPr>
        <w:pStyle w:val="Bulletlevel1"/>
      </w:pPr>
      <w:r w:rsidRPr="0036747B">
        <w:rPr>
          <w:rStyle w:val="CharacterBold"/>
        </w:rPr>
        <w:t>Maintain a Manual Change Log accessible to the COR</w:t>
      </w:r>
      <w:r w:rsidRPr="004A346A">
        <w:t xml:space="preserve"> capturing every proposed, accepted, deferred, and rejected change across all four phases, with cross-references to the originating regulation, guidance document, or operational issue — supporting the current cycle, forward-year planning, and any later inquiry into specific provisions. </w:t>
      </w:r>
    </w:p>
    <w:p w14:paraId="0415ED05" w14:textId="454AFC50" w:rsidR="005E1602" w:rsidRDefault="004A346A" w:rsidP="0036747B">
      <w:pPr>
        <w:pStyle w:val="Bulletlevel1"/>
      </w:pPr>
      <w:r w:rsidRPr="0036747B">
        <w:rPr>
          <w:rStyle w:val="CharacterBold"/>
        </w:rPr>
        <w:t>Carry Manual updates forward into ER&amp;R operations</w:t>
      </w:r>
      <w:r w:rsidRPr="004A346A">
        <w:t xml:space="preserve"> by refreshing SOPs, QA checklists, training materials, and CERRS/HICS configuration as needed under Task 9 — closing the loop so regulatory and policy changes captured in the Manual are reflected in how Deloitte processes disputes, casework, and reconciliation the moment the Manual takes effect.</w:t>
      </w:r>
    </w:p>
    <w:p w14:paraId="6EDBF6F0" w14:textId="5197F494" w:rsidR="003A1544" w:rsidRPr="000324D6" w:rsidRDefault="003A1544" w:rsidP="0036747B">
      <w:pPr>
        <w:pStyle w:val="Subheading1"/>
        <w:rPr>
          <w:b w:val="0"/>
        </w:rPr>
      </w:pPr>
      <w:r>
        <w:lastRenderedPageBreak/>
        <w:t xml:space="preserve">Task 10.4 </w:t>
      </w:r>
      <w:r w:rsidR="0036747B">
        <w:t>—</w:t>
      </w:r>
      <w:r w:rsidRPr="000324D6">
        <w:t xml:space="preserve"> </w:t>
      </w:r>
      <w:r w:rsidR="002F1DE3">
        <w:rPr>
          <w:bCs/>
        </w:rPr>
        <w:t xml:space="preserve">Death Periodic Data Matching </w:t>
      </w:r>
    </w:p>
    <w:p w14:paraId="270D544C" w14:textId="75284B48" w:rsidR="003B5B37" w:rsidRDefault="0036747B" w:rsidP="0036747B">
      <w:pPr>
        <w:pStyle w:val="FigureTitle"/>
      </w:pPr>
      <w:r>
        <w:t>Figure 1.2.9-5. [Deloitte to populate: figure title and graphic].</w:t>
      </w:r>
    </w:p>
    <w:p w14:paraId="05AA974C" w14:textId="2002FC54" w:rsidR="0036747B" w:rsidRPr="0036747B" w:rsidRDefault="0036747B" w:rsidP="0036747B">
      <w:pPr>
        <w:pStyle w:val="FigureGraphic"/>
      </w:pPr>
      <w:r>
        <w:rPr>
          <w:noProof/>
        </w:rPr>
        <w:drawing>
          <wp:inline distT="0" distB="0" distL="0" distR="0" wp14:anchorId="439FCF4A" wp14:editId="184F3582">
            <wp:extent cx="5175250" cy="4362450"/>
            <wp:effectExtent l="0" t="0" r="0" b="0"/>
            <wp:docPr id="1041789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2">
                      <a:extLst>
                        <a:ext uri="{28A0092B-C50C-407E-A947-70E740481C1C}">
                          <a14:useLocalDpi xmlns:a14="http://schemas.microsoft.com/office/drawing/2010/main" val="0"/>
                        </a:ext>
                      </a:extLst>
                    </a:blip>
                    <a:srcRect l="6837" t="7430" r="6100" b="1420"/>
                    <a:stretch>
                      <a:fillRect/>
                    </a:stretch>
                  </pic:blipFill>
                  <pic:spPr bwMode="auto">
                    <a:xfrm>
                      <a:off x="0" y="0"/>
                      <a:ext cx="5175250" cy="4362450"/>
                    </a:xfrm>
                    <a:prstGeom prst="rect">
                      <a:avLst/>
                    </a:prstGeom>
                    <a:noFill/>
                    <a:ln>
                      <a:noFill/>
                    </a:ln>
                    <a:extLst>
                      <a:ext uri="{53640926-AAD7-44D8-BBD7-CCE9431645EC}">
                        <a14:shadowObscured xmlns:a14="http://schemas.microsoft.com/office/drawing/2010/main"/>
                      </a:ext>
                    </a:extLst>
                  </pic:spPr>
                </pic:pic>
              </a:graphicData>
            </a:graphic>
          </wp:inline>
        </w:drawing>
      </w:r>
    </w:p>
    <w:p w14:paraId="724CAF47" w14:textId="201BB344" w:rsidR="00D24207" w:rsidRDefault="00A91CFE" w:rsidP="0036747B">
      <w:pPr>
        <w:pStyle w:val="BodyTextBulletIntro"/>
      </w:pPr>
      <w:r w:rsidRPr="00A91CFE">
        <w:t>Deloitte will operate Death PDM as a controlled, script-guided response lane aligned to the broader Task 7 support model. We will provide toll-free voicemail support with TTY capability, manage inbound consumer attestations, place outbound calls when appropriate, generate confirmation notices as attestations are received, and maintain accurate tracking of consumers successfully matched to the notified deceased-consumer list. We will provide CMS and the FFE with the required weekly running list through a repeatable reporting process that emphasizes timeliness, traceability, and data accuracy. This approach gives CMS a dependable mechanism to manage a sensitive, low-volume, high-consequence process with clear ownership, visible status, and consistent handling from intake through reporting.</w:t>
      </w:r>
    </w:p>
    <w:p w14:paraId="7DAF3281" w14:textId="77777777" w:rsidR="00845DAC" w:rsidRDefault="00845DAC" w:rsidP="0036747B">
      <w:pPr>
        <w:pStyle w:val="Bulletlevel1"/>
      </w:pPr>
      <w:r w:rsidRPr="0036747B">
        <w:rPr>
          <w:rStyle w:val="CharacterBold"/>
        </w:rPr>
        <w:t>Operate Death PDM as a campaign-based, surge-ready operation aligned to the twice-yearly cycle</w:t>
      </w:r>
      <w:r w:rsidRPr="00845DAC">
        <w:t xml:space="preserve">, scaling staffing and infrastructure up ahead of each notice mailing and back down between cycles — sized to ~5,000 initial warning notices per cycle and a &lt;1% attestation response rate, so CMS pays for capacity proportional to actual demand. </w:t>
      </w:r>
    </w:p>
    <w:p w14:paraId="437D115F" w14:textId="77777777" w:rsidR="00845DAC" w:rsidRDefault="00845DAC" w:rsidP="0036747B">
      <w:pPr>
        <w:pStyle w:val="Bulletlevel1"/>
      </w:pPr>
      <w:r w:rsidRPr="0036747B">
        <w:rPr>
          <w:rStyle w:val="CharacterBold"/>
        </w:rPr>
        <w:t>Stand up a dedicated toll-free Death PDM line with TTY and outbound callback support</w:t>
      </w:r>
      <w:r w:rsidRPr="00845DAC">
        <w:t xml:space="preserve">, routed through Deloitte's existing ER&amp;R contact center infrastructure under Task 7 — leveraging shared platform capabilities while keeping Death PDM handling logically separated to protect caller privacy and dignity. </w:t>
      </w:r>
    </w:p>
    <w:p w14:paraId="1D577FF9" w14:textId="77777777" w:rsidR="00845DAC" w:rsidRDefault="00845DAC" w:rsidP="0036747B">
      <w:pPr>
        <w:pStyle w:val="Bulletlevel1"/>
      </w:pPr>
      <w:r w:rsidRPr="0036747B">
        <w:rPr>
          <w:rStyle w:val="CharacterBold"/>
        </w:rPr>
        <w:t>Train a small, specialized response team in trauma-informed, empathetic call handling</w:t>
      </w:r>
      <w:r w:rsidRPr="00845DAC">
        <w:t xml:space="preserve">, recognizing callers are typically grieving family members or living individuals who received a wrongful </w:t>
      </w:r>
      <w:r w:rsidRPr="00845DAC">
        <w:lastRenderedPageBreak/>
        <w:t xml:space="preserve">death notice — emotionally charged scenarios where careful handling protects both the consumer and CMS from complaints. </w:t>
      </w:r>
    </w:p>
    <w:p w14:paraId="09403D40" w14:textId="4E4FD0F1" w:rsidR="00D157AE" w:rsidRDefault="00845DAC" w:rsidP="0036747B">
      <w:pPr>
        <w:pStyle w:val="Bulletlevel1"/>
      </w:pPr>
      <w:r w:rsidRPr="0036747B">
        <w:rPr>
          <w:rStyle w:val="CharacterBold"/>
        </w:rPr>
        <w:t>Apply a rigorous attestation verification protocol</w:t>
      </w:r>
      <w:r w:rsidRPr="00845DAC">
        <w:t xml:space="preserve"> for every call — capturing identity-verifying details, cross-referencing the CMS-provided list of notified deceased consumers, and flagging failed verifications </w:t>
      </w:r>
      <w:r w:rsidR="00FE0A7E">
        <w:t>for</w:t>
      </w:r>
      <w:r w:rsidRPr="00845DAC">
        <w:t xml:space="preserve"> adjudication rather than auto-accepting unverified claims — consistent with Deloitte's Program-Integrity-by-design approach. </w:t>
      </w:r>
    </w:p>
    <w:p w14:paraId="4C8988C6" w14:textId="77777777" w:rsidR="00A5094F" w:rsidRDefault="00845DAC" w:rsidP="0036747B">
      <w:pPr>
        <w:pStyle w:val="Bulletlevel1"/>
      </w:pPr>
      <w:r w:rsidRPr="0036747B">
        <w:rPr>
          <w:rStyle w:val="CharacterBold"/>
        </w:rPr>
        <w:t>Generate attestation receipt notices on a rolling basis</w:t>
      </w:r>
      <w:r w:rsidRPr="00845DAC">
        <w:t xml:space="preserve"> as verifications are confirmed, leveraging Task 6 notice generation, the existing Death PDM English and Spanish templates from Appendix B, and standard secure transfer to the Federal Marketplace Print contractor. </w:t>
      </w:r>
    </w:p>
    <w:p w14:paraId="776067D8" w14:textId="77777777" w:rsidR="00A5094F" w:rsidRDefault="00845DAC" w:rsidP="0036747B">
      <w:pPr>
        <w:pStyle w:val="Bulletlevel1"/>
      </w:pPr>
      <w:r w:rsidRPr="0036747B">
        <w:rPr>
          <w:rStyle w:val="CharacterBold"/>
        </w:rPr>
        <w:t>Maintain a single authoritative attestation log</w:t>
      </w:r>
      <w:r w:rsidRPr="00845DAC">
        <w:t xml:space="preserve"> capturing every call, attestation status (verified / unverified / unmatched), supporting evidence, receipt notice date, and final disposition — providing audit-ready traceability and a defensible record if a removal is later contested. </w:t>
      </w:r>
    </w:p>
    <w:p w14:paraId="7FB56D3D" w14:textId="77777777" w:rsidR="00A5094F" w:rsidRDefault="00845DAC" w:rsidP="0036747B">
      <w:pPr>
        <w:pStyle w:val="Bulletlevel1"/>
      </w:pPr>
      <w:r w:rsidRPr="0036747B">
        <w:rPr>
          <w:rStyle w:val="CharacterBold"/>
        </w:rPr>
        <w:t>Deliver the required weekly running list of successfully matched attestations to the FFE via secure email</w:t>
      </w:r>
      <w:r w:rsidRPr="00845DAC">
        <w:t xml:space="preserve">, in a COR-approved format, beginning the day the telephone line opens — so FFE operations can suppress automated removal without manual reconciliation. </w:t>
      </w:r>
    </w:p>
    <w:p w14:paraId="11BDF777" w14:textId="77777777" w:rsidR="00A5094F" w:rsidRDefault="00845DAC" w:rsidP="0036747B">
      <w:pPr>
        <w:pStyle w:val="Bulletlevel1"/>
      </w:pPr>
      <w:r w:rsidRPr="0036747B">
        <w:rPr>
          <w:rStyle w:val="CharacterBold"/>
        </w:rPr>
        <w:t>Coordinate attestation outcomes with the broader ER&amp;R termination process</w:t>
      </w:r>
      <w:r w:rsidRPr="00845DAC">
        <w:t xml:space="preserve"> documented in the FFE Enrollment Manual, so Death PDM results are reflected promptly in CERRS, HICS, and downstream FFE systems. </w:t>
      </w:r>
    </w:p>
    <w:p w14:paraId="5AB10877" w14:textId="77777777" w:rsidR="00A5094F" w:rsidRDefault="00845DAC" w:rsidP="0036747B">
      <w:pPr>
        <w:pStyle w:val="Bulletlevel1"/>
      </w:pPr>
      <w:r w:rsidRPr="0036747B">
        <w:rPr>
          <w:rStyle w:val="CharacterBold"/>
        </w:rPr>
        <w:t>Plan for the anticipated expansion to multi-member applications</w:t>
      </w:r>
      <w:r w:rsidRPr="00845DAC">
        <w:t xml:space="preserve"> by designing intake scripts, verification logic, and reporting formats to handle multiple subscribers per case from day one — so the operation is ready when CMS systems enable it, without rework. </w:t>
      </w:r>
    </w:p>
    <w:p w14:paraId="254E3C69" w14:textId="4698458D" w:rsidR="00845DAC" w:rsidRDefault="00845DAC" w:rsidP="0036747B">
      <w:pPr>
        <w:pStyle w:val="Bulletlevel1"/>
      </w:pPr>
      <w:r w:rsidRPr="0036747B">
        <w:rPr>
          <w:rStyle w:val="CharacterBold"/>
        </w:rPr>
        <w:t>Deliver post-cycle reporting to the COR</w:t>
      </w:r>
      <w:r w:rsidRPr="00845DAC">
        <w:t xml:space="preserve"> capturing call volume, attestation rates, verification outcomes, common caller concerns, and any patterns suggesting SSA data quality issues or notice-content improvements — turning each cycle into a feedback loop that strengthens the next.</w:t>
      </w:r>
    </w:p>
    <w:p w14:paraId="203BF964" w14:textId="77092641" w:rsidR="00F776AC" w:rsidRDefault="00D24207" w:rsidP="0036747B">
      <w:pPr>
        <w:pStyle w:val="Subheading1"/>
      </w:pPr>
      <w:r>
        <w:lastRenderedPageBreak/>
        <w:t>Task 10.</w:t>
      </w:r>
      <w:r w:rsidR="00DE4E87">
        <w:t>5</w:t>
      </w:r>
      <w:r>
        <w:t xml:space="preserve"> </w:t>
      </w:r>
      <w:r w:rsidR="0036747B">
        <w:t>—</w:t>
      </w:r>
      <w:r>
        <w:t xml:space="preserve"> </w:t>
      </w:r>
      <w:r w:rsidR="00A90C53">
        <w:t>Employer Notice Help</w:t>
      </w:r>
      <w:r w:rsidR="000B1DE7">
        <w:t>desk</w:t>
      </w:r>
      <w:r>
        <w:t xml:space="preserve"> </w:t>
      </w:r>
    </w:p>
    <w:p w14:paraId="3C8322C7" w14:textId="2CA677F8" w:rsidR="0036747B" w:rsidRDefault="0036747B" w:rsidP="0036747B">
      <w:pPr>
        <w:pStyle w:val="FigureTitle"/>
      </w:pPr>
      <w:r>
        <w:t>Figure 1.2.9-6. [Deloitte to populate: figure title and graphic].</w:t>
      </w:r>
    </w:p>
    <w:p w14:paraId="5028591B" w14:textId="6E96F0F8" w:rsidR="0036747B" w:rsidRPr="0036747B" w:rsidRDefault="0036747B" w:rsidP="0036747B">
      <w:pPr>
        <w:pStyle w:val="FigureGraphic"/>
      </w:pPr>
      <w:r>
        <w:rPr>
          <w:noProof/>
        </w:rPr>
        <w:drawing>
          <wp:inline distT="0" distB="0" distL="0" distR="0" wp14:anchorId="1CC860A8" wp14:editId="590F5D85">
            <wp:extent cx="5124450" cy="4784090"/>
            <wp:effectExtent l="0" t="0" r="0" b="0"/>
            <wp:docPr id="19484274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3">
                      <a:extLst>
                        <a:ext uri="{28A0092B-C50C-407E-A947-70E740481C1C}">
                          <a14:useLocalDpi xmlns:a14="http://schemas.microsoft.com/office/drawing/2010/main" val="0"/>
                        </a:ext>
                      </a:extLst>
                    </a:blip>
                    <a:srcRect l="7265" t="6803" r="6527"/>
                    <a:stretch>
                      <a:fillRect/>
                    </a:stretch>
                  </pic:blipFill>
                  <pic:spPr bwMode="auto">
                    <a:xfrm>
                      <a:off x="0" y="0"/>
                      <a:ext cx="5124450" cy="4784090"/>
                    </a:xfrm>
                    <a:prstGeom prst="rect">
                      <a:avLst/>
                    </a:prstGeom>
                    <a:noFill/>
                    <a:ln>
                      <a:noFill/>
                    </a:ln>
                    <a:extLst>
                      <a:ext uri="{53640926-AAD7-44D8-BBD7-CCE9431645EC}">
                        <a14:shadowObscured xmlns:a14="http://schemas.microsoft.com/office/drawing/2010/main"/>
                      </a:ext>
                    </a:extLst>
                  </pic:spPr>
                </pic:pic>
              </a:graphicData>
            </a:graphic>
          </wp:inline>
        </w:drawing>
      </w:r>
    </w:p>
    <w:p w14:paraId="3039C29C" w14:textId="02A57311" w:rsidR="00D24207" w:rsidRDefault="007F4CAB" w:rsidP="005E1602">
      <w:pPr>
        <w:pStyle w:val="BodyText"/>
      </w:pPr>
      <w:r w:rsidRPr="007F4CAB">
        <w:t xml:space="preserve">Deloitte will operate the Employer Notice Helpdesk as a CMS-aligned, script-governed support function that combines responsive employer service with disciplined issue tracking and reporting. We will provide toll-free and TTY-enabled telephone support, handle inbound calls and voicemails, place outbound calls as needed, and transfer employers to related support functions, including appeals, when required. Deloitte will use a CMS-reviewed and approved script, maintain organized call and issue triage and tracking, and coordinate closely with CMS and partner teams when launch timing, notice language, script content, or operational messaging changes. We will support required operating hours and provide recurring performance and issue reports so CMS has visibility </w:t>
      </w:r>
      <w:r w:rsidR="00C82AC0" w:rsidRPr="007F4CAB">
        <w:t>in contacting</w:t>
      </w:r>
      <w:r w:rsidRPr="007F4CAB">
        <w:t xml:space="preserve"> drivers, recurring questions, and operational trends. This approach gives CMS a stable helpdesk capability that can absorb policy, notice, and messaging updates without disrupting employer support.</w:t>
      </w:r>
    </w:p>
    <w:p w14:paraId="775036C3" w14:textId="77777777" w:rsidR="008E11F1" w:rsidRDefault="00110489" w:rsidP="0036747B">
      <w:pPr>
        <w:pStyle w:val="Bulletlevel1"/>
      </w:pPr>
      <w:r w:rsidRPr="0036747B">
        <w:rPr>
          <w:rStyle w:val="CharacterBold"/>
        </w:rPr>
        <w:t>Stand up the Helpdesk on Deloitte's existing ER&amp;R contact center infrastructure under Task 7</w:t>
      </w:r>
      <w:r w:rsidRPr="00110489">
        <w:t xml:space="preserve">, meeting CMS's preference for an existing system solution while inheriting proven SLA management, secure call recording, and reporting — minimizing standup time and platform cost. </w:t>
      </w:r>
    </w:p>
    <w:p w14:paraId="052025A1" w14:textId="77777777" w:rsidR="008E11F1" w:rsidRDefault="00110489" w:rsidP="0036747B">
      <w:pPr>
        <w:pStyle w:val="Bulletlevel1"/>
      </w:pPr>
      <w:r w:rsidRPr="0036747B">
        <w:rPr>
          <w:rStyle w:val="CharacterBold"/>
        </w:rPr>
        <w:lastRenderedPageBreak/>
        <w:t>Deploy a dedicated toll-free line with TTY</w:t>
      </w:r>
      <w:r w:rsidRPr="00110489">
        <w:t xml:space="preserve"> supporting real-time inbound calls, voicemail, outbound callbacks, and warm transfers to the employer appeals call center, operating Monday–Friday 8 AM–8 PM EST excluding federal holidays. </w:t>
      </w:r>
    </w:p>
    <w:p w14:paraId="1AFF4D09" w14:textId="5FEF947B" w:rsidR="00C06897" w:rsidRDefault="00110489" w:rsidP="0036747B">
      <w:pPr>
        <w:pStyle w:val="Bulletlevel1"/>
      </w:pPr>
      <w:r w:rsidRPr="0036747B">
        <w:rPr>
          <w:rStyle w:val="CharacterBold"/>
        </w:rPr>
        <w:t>Develop a CMS-approved Call Center script</w:t>
      </w:r>
      <w:r w:rsidRPr="00110489">
        <w:t xml:space="preserve"> anchored to current Employer Notice content and the underlying policy framework (employer-coverage affordability, minimum value, ICHRA/QSEHRA, appeals pathways), with a structured update cycle triggered by notice changes, regulatory updates, or recurring caller patterns. </w:t>
      </w:r>
    </w:p>
    <w:p w14:paraId="02120CA8" w14:textId="77777777" w:rsidR="00C06897" w:rsidRDefault="00110489" w:rsidP="0036747B">
      <w:pPr>
        <w:pStyle w:val="Bulletlevel1"/>
      </w:pPr>
      <w:r w:rsidRPr="0036747B">
        <w:rPr>
          <w:rStyle w:val="CharacterBold"/>
        </w:rPr>
        <w:t>Apply an organized triage protocol</w:t>
      </w:r>
      <w:r w:rsidRPr="00110489">
        <w:t xml:space="preserve"> classifying every contact by inquiry type, routing appeals questions to OHI's employer appeals call center, escalating suspected notice or data issues to CMS, and resolving informational inquiries at first contact where possible. </w:t>
      </w:r>
    </w:p>
    <w:p w14:paraId="2495078B" w14:textId="77777777" w:rsidR="00C06897" w:rsidRDefault="00110489" w:rsidP="0036747B">
      <w:pPr>
        <w:pStyle w:val="Bulletlevel1"/>
      </w:pPr>
      <w:r w:rsidRPr="0036747B">
        <w:rPr>
          <w:rStyle w:val="CharacterBold"/>
        </w:rPr>
        <w:t>Maintain a single tracking system of record</w:t>
      </w:r>
      <w:r w:rsidRPr="00110489">
        <w:t xml:space="preserve"> capturing every call and voicemail with timestamp, employer identifiers, inquiry category, disposition, transfer/escalation path, and resolution notes — providing audit-ready traceability and the data foundation for required reporting. </w:t>
      </w:r>
    </w:p>
    <w:p w14:paraId="0449A8F3" w14:textId="77777777" w:rsidR="00C06897" w:rsidRDefault="00110489" w:rsidP="0036747B">
      <w:pPr>
        <w:pStyle w:val="Bulletlevel1"/>
      </w:pPr>
      <w:r w:rsidRPr="0036747B">
        <w:rPr>
          <w:rStyle w:val="CharacterBold"/>
        </w:rPr>
        <w:t>Establish a launch coordination workstream with CCIIO, OHI, and adjacent contractors</w:t>
      </w:r>
      <w:r w:rsidRPr="00110489">
        <w:t xml:space="preserve"> (Federal Exchange Call Center, Stakeholder Engagement, Eligibility Support) covering go-live timing, script approvals, transfer protocols, and joint change control for future notice or messaging updates. </w:t>
      </w:r>
    </w:p>
    <w:p w14:paraId="32241883" w14:textId="77777777" w:rsidR="00C06897" w:rsidRDefault="00110489" w:rsidP="0036747B">
      <w:pPr>
        <w:pStyle w:val="Bulletlevel1"/>
      </w:pPr>
      <w:r w:rsidRPr="0036747B">
        <w:rPr>
          <w:rStyle w:val="CharacterBold"/>
        </w:rPr>
        <w:t>Train Helpdesk agents on Employer Notice subject matter</w:t>
      </w:r>
      <w:r w:rsidRPr="00110489">
        <w:t xml:space="preserve"> using Deloitte's ER&amp;R and FFE Manual SMEs — so agents knowledgeably address why notices are issued, employer-coverage standards, employer options, and appeals routing, while staying within informational support rather than adjudication. </w:t>
      </w:r>
    </w:p>
    <w:p w14:paraId="53DD187B" w14:textId="77777777" w:rsidR="00C06897" w:rsidRDefault="00110489" w:rsidP="0036747B">
      <w:pPr>
        <w:pStyle w:val="Bulletlevel1"/>
      </w:pPr>
      <w:r w:rsidRPr="0036747B">
        <w:rPr>
          <w:rStyle w:val="CharacterBold"/>
        </w:rPr>
        <w:t>Deliver the required weekly, monthly, and annual reports</w:t>
      </w:r>
      <w:r w:rsidRPr="00110489">
        <w:t xml:space="preserve"> covering call volume, handle time, abandonment, voicemail response, transfer rates, top inquiry categories, escalations, and emerging trends — at the COR's chosen frequency, supplemented by ad hoc reporting on request. </w:t>
      </w:r>
    </w:p>
    <w:p w14:paraId="10FFE991" w14:textId="77777777" w:rsidR="00C06897" w:rsidRDefault="00110489" w:rsidP="0036747B">
      <w:pPr>
        <w:pStyle w:val="Bulletlevel1"/>
      </w:pPr>
      <w:r w:rsidRPr="0036747B">
        <w:rPr>
          <w:rStyle w:val="CharacterBold"/>
        </w:rPr>
        <w:t>Surface recurring caller themes to CMS as actionable feedback —</w:t>
      </w:r>
      <w:r w:rsidRPr="00110489">
        <w:t xml:space="preserve"> patterns suggesting notice clarity issues, employer confusion on specific provisions, or upstream data problems — so the Helpdesk informs notice and policy refinement, not just inbound resolution. </w:t>
      </w:r>
    </w:p>
    <w:p w14:paraId="01CB495E" w14:textId="2D9B9BC5" w:rsidR="00C06897" w:rsidRDefault="00110489" w:rsidP="0036747B">
      <w:pPr>
        <w:pStyle w:val="Bulletlevel1"/>
      </w:pPr>
      <w:r w:rsidRPr="0036747B">
        <w:rPr>
          <w:rStyle w:val="CharacterBold"/>
        </w:rPr>
        <w:t>Apply Program-Integrity-by-design controls</w:t>
      </w:r>
      <w:r w:rsidRPr="00110489">
        <w:t xml:space="preserve"> including caller verification, restricted disclosure of privacy-protected consumer information, and clear handoff protocols when callers raise potential fraud or unauthorized-enrollment concerns.</w:t>
      </w:r>
    </w:p>
    <w:p w14:paraId="6953CE01" w14:textId="70200EF9" w:rsidR="00E96C11" w:rsidRDefault="00E96C11" w:rsidP="0036747B">
      <w:pPr>
        <w:pStyle w:val="Bulletlevel1"/>
      </w:pPr>
      <w:r w:rsidRPr="0036747B">
        <w:rPr>
          <w:rStyle w:val="CharacterBold"/>
        </w:rPr>
        <w:t xml:space="preserve">Proof Point </w:t>
      </w:r>
      <w:r w:rsidR="00F747B6" w:rsidRPr="0036747B">
        <w:rPr>
          <w:rStyle w:val="CharacterBold"/>
        </w:rPr>
        <w:t>|</w:t>
      </w:r>
      <w:r w:rsidRPr="0036747B">
        <w:rPr>
          <w:rStyle w:val="CharacterBold"/>
        </w:rPr>
        <w:t xml:space="preserve"> Rapid activation of targeted support operations:</w:t>
      </w:r>
      <w:r w:rsidRPr="00C06897">
        <w:rPr>
          <w:b/>
          <w:bCs/>
        </w:rPr>
        <w:t xml:space="preserve"> </w:t>
      </w:r>
      <w:r w:rsidRPr="00701A0B">
        <w:t>Deloitte rapidly deployed a targeted federal contact center operation for CDC’s Vaccine Administration Management System (VAMS) in response to high support demand at rollout. Deloitte stood up an AWS Connect-based call center to support end users, jurisdictions, and clinics, backed by training, quality assurance, reporting, SLA monitoring, and knowledge</w:t>
      </w:r>
      <w:r w:rsidR="004B0FE9">
        <w:t xml:space="preserve"> </w:t>
      </w:r>
      <w:r w:rsidRPr="00701A0B">
        <w:t>management support. Deloitte</w:t>
      </w:r>
      <w:r w:rsidR="004B0FE9">
        <w:t xml:space="preserve"> can</w:t>
      </w:r>
      <w:r w:rsidRPr="00701A0B">
        <w:t xml:space="preserve"> activate focused support operations quickly and run them with the structure and reporting discipline needed for CMS</w:t>
      </w:r>
      <w:r w:rsidR="004B0FE9">
        <w:t xml:space="preserve"> </w:t>
      </w:r>
      <w:r w:rsidRPr="00701A0B">
        <w:t>Task 10 support lanes.</w:t>
      </w:r>
    </w:p>
    <w:p w14:paraId="3DE8572F" w14:textId="7B75D0A2" w:rsidR="00D148F4" w:rsidRPr="00D148F4" w:rsidRDefault="00D148F4" w:rsidP="0036747B">
      <w:pPr>
        <w:pStyle w:val="Subheading1"/>
        <w:rPr>
          <w:b w:val="0"/>
        </w:rPr>
      </w:pPr>
      <w:r w:rsidRPr="0036747B">
        <w:t xml:space="preserve">Task 10.6 </w:t>
      </w:r>
      <w:r w:rsidR="0036747B" w:rsidRPr="0036747B">
        <w:t>—</w:t>
      </w:r>
      <w:r w:rsidRPr="0036747B">
        <w:t xml:space="preserve"> Projects</w:t>
      </w:r>
      <w:r>
        <w:rPr>
          <w:bCs/>
        </w:rPr>
        <w:t xml:space="preserve"> Related to the Scope of the SOW Inclusive of all Tasks</w:t>
      </w:r>
    </w:p>
    <w:p w14:paraId="243FE180" w14:textId="77777777" w:rsidR="00570384" w:rsidRDefault="00570384" w:rsidP="0036747B">
      <w:pPr>
        <w:pStyle w:val="Bulletlevel1"/>
      </w:pPr>
      <w:r w:rsidRPr="0036747B">
        <w:rPr>
          <w:rStyle w:val="CharacterBold"/>
        </w:rPr>
        <w:t>Treat the catch-all clause as a structured intake channel, not unbounded scope —</w:t>
      </w:r>
      <w:r w:rsidRPr="00570384">
        <w:t xml:space="preserve"> applying the Ad Hoc Request Intake and Scoping Protocol from Task 10.1 to confirm problem statement, deliverable format, success criteria, and timeline with the COR before work begins, and rolling each request into the Special Projects Tracker for unified visibility across all Task 10 subsections. </w:t>
      </w:r>
    </w:p>
    <w:p w14:paraId="4DA8EFB8" w14:textId="77777777" w:rsidR="00570384" w:rsidRDefault="00570384" w:rsidP="0036747B">
      <w:pPr>
        <w:pStyle w:val="Bulletlevel1"/>
      </w:pPr>
      <w:r w:rsidRPr="0036747B">
        <w:rPr>
          <w:rStyle w:val="CharacterBold"/>
        </w:rPr>
        <w:t xml:space="preserve">Draw on a cross-task SME bench spanning Tasks 1–9 — </w:t>
      </w:r>
      <w:r w:rsidRPr="00570384">
        <w:t xml:space="preserve">issuer disputes, 1095-A reconciliation, CCHC casework, FFE updates, notice generation, telephony, IT systems, and SOPs/QA — and apply Deloitte's surge-support model to scale resources up for short-duration projects without disrupting steady-state operations, consistent with the surge approach used during peak 1095-A periods. </w:t>
      </w:r>
    </w:p>
    <w:p w14:paraId="3FEDDBD2" w14:textId="5F676777" w:rsidR="003414BC" w:rsidRPr="003414BC" w:rsidRDefault="00570384" w:rsidP="003414BC">
      <w:pPr>
        <w:pStyle w:val="Bulletlevel1"/>
      </w:pPr>
      <w:r w:rsidRPr="0036747B">
        <w:rPr>
          <w:rStyle w:val="CharacterBold"/>
        </w:rPr>
        <w:lastRenderedPageBreak/>
        <w:t xml:space="preserve">Apply Program-Integrity-by-design and audit-ready traceability to every catch-all engagement — </w:t>
      </w:r>
      <w:r w:rsidRPr="00570384">
        <w:t>documenting scope, assumptions, and outcomes against COR direction — and convert recurring requests into right-sized operational capabilities under Task 9 (dashboards, SOPs, task-level enhancements) so repeat work is institutionalized rather than re-executed.</w:t>
      </w:r>
    </w:p>
    <w:p w14:paraId="3DE40421" w14:textId="77777777" w:rsidR="0036747B" w:rsidRPr="003414BC" w:rsidRDefault="0036747B" w:rsidP="0036747B">
      <w:pPr>
        <w:pStyle w:val="BodyText"/>
      </w:pPr>
    </w:p>
    <w:p w14:paraId="7C7F4E57" w14:textId="6877A547" w:rsidR="002F76CB" w:rsidRDefault="00664E97" w:rsidP="004C7234">
      <w:pPr>
        <w:pStyle w:val="Heading2"/>
      </w:pPr>
      <w:bookmarkStart w:id="81" w:name="_Toc227883186"/>
      <w:commentRangeStart w:id="82"/>
      <w:r>
        <w:t>1.3</w:t>
      </w:r>
      <w:r>
        <w:tab/>
      </w:r>
      <w:r w:rsidRPr="00664E97">
        <w:t xml:space="preserve">Sub-Section 1C: Understanding and Mitigation of </w:t>
      </w:r>
      <w:commentRangeStart w:id="83"/>
      <w:r w:rsidRPr="00664E97">
        <w:t>Risks</w:t>
      </w:r>
      <w:bookmarkEnd w:id="81"/>
      <w:commentRangeEnd w:id="82"/>
      <w:r w:rsidR="002A7A97">
        <w:rPr>
          <w:rStyle w:val="CommentReference"/>
          <w:sz w:val="26"/>
          <w:szCs w:val="26"/>
        </w:rPr>
        <w:commentReference w:id="82"/>
      </w:r>
      <w:commentRangeEnd w:id="83"/>
      <w:r w:rsidR="00ED6381">
        <w:rPr>
          <w:rStyle w:val="CommentReference"/>
          <w:sz w:val="26"/>
          <w:szCs w:val="26"/>
        </w:rPr>
        <w:commentReference w:id="83"/>
      </w:r>
      <w:r w:rsidR="004F360B">
        <w:t xml:space="preserve"> </w:t>
      </w:r>
      <w:r w:rsidR="004F360B" w:rsidRPr="00806273">
        <w:rPr>
          <w:color w:val="FF0000"/>
        </w:rPr>
        <w:t>(2 Pages)</w:t>
      </w:r>
    </w:p>
    <w:p w14:paraId="6E9F621A" w14:textId="7A356B26" w:rsidR="00582CBA" w:rsidRPr="00802C4A" w:rsidRDefault="00582CBA" w:rsidP="0097533B">
      <w:pPr>
        <w:pStyle w:val="BodyText"/>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523D98B1" w14:textId="77777777" w:rsidR="00582CBA" w:rsidRDefault="00582CBA" w:rsidP="0097533B">
      <w:pPr>
        <w:pStyle w:val="BodyText"/>
        <w:rPr>
          <w:b/>
        </w:rPr>
      </w:pPr>
      <w:r w:rsidRPr="00802C4A">
        <w:t xml:space="preserve">Deloitte brings a </w:t>
      </w:r>
      <w:r>
        <w:t>proven</w:t>
      </w:r>
      <w:r w:rsidRPr="00802C4A">
        <w:t xml:space="preserve"> "Zero Disruption" transition methodology, forged through our experience executing seamless takeovers and system rescues across the government health sector. For example, when Covered California (CalHEERS) faced critical monolithic system failures and contact center outages during peak Open Enrollment, Deloitte successfully took over the infrastructure, rapidly migrating the exchange to a resilient cloud architecture without interrupting consumer access for its 1.75 million enrollees. Similarly, we manage the continuous operation and modernization of the Washington Healthplanfinder—recently supporting a record 28% surge in open enrollment sign-ups—and lead the transition of complex Medicaid Enterprise Systems (MES) across states like Tennessee, Ohio, and Virginia.</w:t>
      </w:r>
    </w:p>
    <w:tbl>
      <w:tblPr>
        <w:tblStyle w:val="TableGrid"/>
        <w:tblpPr w:leftFromText="288" w:rightFromText="288" w:vertAnchor="text" w:horzAnchor="page" w:tblpX="151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200"/>
        <w:gridCol w:w="8070"/>
      </w:tblGrid>
      <w:tr w:rsidR="00F550A7" w14:paraId="7C477D7D" w14:textId="77777777" w:rsidTr="00256D59">
        <w:trPr>
          <w:trHeight w:val="1215"/>
        </w:trPr>
        <w:tc>
          <w:tcPr>
            <w:tcW w:w="1200" w:type="dxa"/>
            <w:tcBorders>
              <w:top w:val="single" w:sz="18" w:space="0" w:color="005587"/>
              <w:bottom w:val="single" w:sz="18" w:space="0" w:color="005587"/>
            </w:tcBorders>
            <w:vAlign w:val="center"/>
          </w:tcPr>
          <w:p w14:paraId="44EA9308" w14:textId="40C5C6CE" w:rsidR="00F550A7" w:rsidRPr="00F744EE" w:rsidRDefault="00F550A7" w:rsidP="00F550A7">
            <w:pPr>
              <w:pStyle w:val="CalloutTitle12pt"/>
              <w:framePr w:hSpace="0" w:wrap="auto" w:vAnchor="margin" w:hAnchor="text" w:yAlign="inline"/>
              <w:suppressOverlap w:val="0"/>
            </w:pPr>
            <w:r w:rsidRPr="00F550A7">
              <w:t>Our Approach:</w:t>
            </w:r>
          </w:p>
        </w:tc>
        <w:tc>
          <w:tcPr>
            <w:tcW w:w="8070" w:type="dxa"/>
            <w:tcBorders>
              <w:top w:val="single" w:sz="18" w:space="0" w:color="005587"/>
              <w:bottom w:val="single" w:sz="18" w:space="0" w:color="005587"/>
            </w:tcBorders>
            <w:vAlign w:val="center"/>
          </w:tcPr>
          <w:p w14:paraId="76177098" w14:textId="41044466" w:rsidR="00F550A7" w:rsidRPr="00256D59" w:rsidRDefault="00F550A7" w:rsidP="00256D59">
            <w:pPr>
              <w:pStyle w:val="Callout2Body"/>
              <w:framePr w:hSpace="0" w:wrap="auto" w:vAnchor="margin" w:hAnchor="text" w:xAlign="left" w:yAlign="inline"/>
              <w:spacing w:after="0"/>
              <w:suppressOverlap w:val="0"/>
              <w:rPr>
                <w:spacing w:val="-2"/>
              </w:rPr>
            </w:pPr>
            <w:r w:rsidRPr="00256D59">
              <w:rPr>
                <w:spacing w:val="-2"/>
              </w:rPr>
              <w:t>Effective risk and issue management is a core part of Deloitte’s project management principles. One of our key strengths is our vast network of professionals across different domains, industries, and geographies. We leverage this network to share knowledge and best practices from our diverse portfolio of projects. This enables us to proactively apply lessons learned and bring together the firm's strengths when our clients are faced with new external risks. Our culture of client excellence makes us focus on the success of our clients, not just the technology project we are running. We consider each situation and the ecosystem holistically and strategically, allowing us to identify potential risks and enabling a comprehensive risk</w:t>
            </w:r>
            <w:r w:rsidR="00256D59" w:rsidRPr="00256D59">
              <w:rPr>
                <w:spacing w:val="-2"/>
              </w:rPr>
              <w:t xml:space="preserve"> </w:t>
            </w:r>
            <w:r w:rsidRPr="00256D59">
              <w:rPr>
                <w:spacing w:val="-2"/>
              </w:rPr>
              <w:t>mitigation/response. An example of this collaboration and holistic risk response and mitigation is the recent Public Health Emergency and the corresponding unwinding efforts.</w:t>
            </w:r>
          </w:p>
        </w:tc>
      </w:tr>
    </w:tbl>
    <w:p w14:paraId="7574384B" w14:textId="77777777" w:rsidR="007C1499" w:rsidRDefault="007C1499" w:rsidP="00396F3C">
      <w:pPr>
        <w:pStyle w:val="ParagraphSpacer"/>
      </w:pPr>
    </w:p>
    <w:p w14:paraId="3D200EFF" w14:textId="40DEF1BC" w:rsidR="00582CBA" w:rsidRPr="00396F3C" w:rsidRDefault="002C7021" w:rsidP="00396F3C">
      <w:pPr>
        <w:pStyle w:val="BodyText"/>
        <w:rPr>
          <w:i/>
        </w:rPr>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772A710F" w14:textId="02B94793" w:rsidR="00A733EE" w:rsidRPr="00B85496" w:rsidRDefault="00A733EE" w:rsidP="00BE38A0">
      <w:pPr>
        <w:pStyle w:val="TableTitle"/>
      </w:pPr>
      <w:r w:rsidRPr="00B85496">
        <w:lastRenderedPageBreak/>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Pr>
      <w:tblGrid>
        <w:gridCol w:w="1825"/>
        <w:gridCol w:w="2581"/>
        <w:gridCol w:w="4944"/>
      </w:tblGrid>
      <w:tr w:rsidR="00BE38A0" w14:paraId="479852CE" w14:textId="6CBAC1E9"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2403606" w14:textId="663D7247" w:rsidR="00BE38A0" w:rsidRDefault="00C729C1" w:rsidP="00EC785A">
            <w:pPr>
              <w:pStyle w:val="TableHeading"/>
            </w:pPr>
            <w:r>
              <w:t>Risk Area</w:t>
            </w:r>
            <w:r w:rsidR="00BE38A0">
              <w:t xml:space="preserve"> </w:t>
            </w:r>
          </w:p>
        </w:tc>
        <w:tc>
          <w:tcPr>
            <w:tcW w:w="1380" w:type="pct"/>
          </w:tcPr>
          <w:p w14:paraId="64655B78" w14:textId="5E55F052"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pPr>
            <w:r>
              <w:t>Description &amp; Impact</w:t>
            </w:r>
          </w:p>
        </w:tc>
        <w:tc>
          <w:tcPr>
            <w:tcW w:w="2644" w:type="pct"/>
          </w:tcPr>
          <w:p w14:paraId="340C0D9F" w14:textId="01F8A595"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pPr>
            <w:r>
              <w:t>Mitigation Strategy</w:t>
            </w:r>
          </w:p>
        </w:tc>
      </w:tr>
      <w:tr w:rsidR="00BE38A0" w14:paraId="27859872" w14:textId="422E65D9" w:rsidTr="00B85496">
        <w:tc>
          <w:tcPr>
            <w:cnfStyle w:val="001000000000" w:firstRow="0" w:lastRow="0" w:firstColumn="1" w:lastColumn="0" w:oddVBand="0" w:evenVBand="0" w:oddHBand="0" w:evenHBand="0" w:firstRowFirstColumn="0" w:firstRowLastColumn="0" w:lastRowFirstColumn="0" w:lastRowLastColumn="0"/>
            <w:tcW w:w="976" w:type="pct"/>
          </w:tcPr>
          <w:p>
            <w:r>
              <w:t>Transition-In &amp; Knowledge Transfer</w:t>
            </w:r>
          </w:p>
        </w:tc>
        <w:tc>
          <w:tcPr>
            <w:tcW w:w="1380" w:type="pct"/>
          </w:tcPr>
          <w:p>
            <w:r>
              <w:t>Incomplete or delayed transfer of institutional knowledge from the incumbent contractor — including undocumented business rules, system configurations, and SOPs — could degrade performance during the 3-month transition-in window and produce missed SLAs, unresolved disputes, and consumer-facing errors immediately after takeover.</w:t>
            </w:r>
          </w:p>
        </w:tc>
        <w:tc>
          <w:tcPr>
            <w:tcW w:w="2644" w:type="pct"/>
          </w:tcPr>
          <w:p>
            <w:r>
              <w:t>Execute a structured Transition-In Plan submitted within 8 business days of award, with a Joint Operating Agreement signed with the incumbent within 7 calendar days. Deloitte will: (1) deploy TruNorth GenAI to capture rule logic, routing rules, and classification behavior directly from CERRS, HICS, SEED, and EDA CORE source code, supplementing what the incumbent shares through SOPs and KT; (2) shadow incumbent operations for issuer disputes, 1095-A casework, and CCHC; (3) validate every workflow, data pipeline, and intake channel against live production behavior through structured readiness gates before any case transfer; and (4) report progress through a daily cross-task readiness dashboard to the COR.</w:t>
            </w:r>
          </w:p>
        </w:tc>
      </w:tr>
      <w:tr w:rsidR="00B17E66" w14:paraId="52C42747" w14:textId="047F8925" w:rsidTr="00B85496">
        <w:tc>
          <w:tcPr>
            <w:cnfStyle w:val="001000000000" w:firstRow="0" w:lastRow="0" w:firstColumn="1" w:lastColumn="0" w:oddVBand="0" w:evenVBand="0" w:oddHBand="0" w:evenHBand="0" w:firstRowFirstColumn="0" w:firstRowLastColumn="0" w:lastRowFirstColumn="0" w:lastRowLastColumn="0"/>
            <w:tcW w:w="976" w:type="pct"/>
          </w:tcPr>
          <w:p>
            <w:r>
              <w:t>Seasonal Volume Surges &amp; Workforce Scalability</w:t>
            </w:r>
          </w:p>
        </w:tc>
        <w:tc>
          <w:tcPr>
            <w:tcW w:w="1380" w:type="pct"/>
          </w:tcPr>
          <w:p>
            <w:r>
              <w:t>Form 1095-A consumer dispute volumes triple during tax season (January–May), and ER&amp;R volumes peak for 120 days after Open Enrollment close. Failure to recruit, onboard, clear, and train the SOW-required ~100–120 temporary case analysts and 4 temporary team leads on time will breach the 2/5/10 business-day SLAs in SOW Table 4 and generate consumer harm during the highest-stakes period of the year.</w:t>
            </w:r>
          </w:p>
        </w:tc>
        <w:tc>
          <w:tcPr>
            <w:tcW w:w="2644" w:type="pct"/>
          </w:tcPr>
          <w:p>
            <w:r>
              <w:t>Maintain a pre-qualified surge staffing pipeline refreshed annually. Begin recruitment in November and start CMS background investigations at offer acceptance so the first wave is cleared, system-trained, and shadow-certified before January 1. Apply a returner-first model so prior-season caseworkers reach full productivity from day one. New hires train on prior-year root-cause case types under peer certification by returners. Release surge capacity in phases as volumes decline through June. Monthly tax-season readiness reports are submitted to the COR beginning in October.</w:t>
            </w:r>
          </w:p>
        </w:tc>
      </w:tr>
      <w:tr w:rsidR="00B17E66" w14:paraId="78D8FD9F" w14:textId="5B2982C4" w:rsidTr="00B85496">
        <w:tc>
          <w:tcPr>
            <w:cnfStyle w:val="001000000000" w:firstRow="0" w:lastRow="0" w:firstColumn="1" w:lastColumn="0" w:oddVBand="0" w:evenVBand="0" w:oddHBand="0" w:evenHBand="0" w:firstRowFirstColumn="0" w:firstRowLastColumn="0" w:lastRowFirstColumn="0" w:lastRowLastColumn="0"/>
            <w:tcW w:w="976" w:type="pct"/>
          </w:tcPr>
          <w:p>
            <w:r>
              <w:t>PII / PHI / FTI Data Breach</w:t>
            </w:r>
          </w:p>
        </w:tc>
        <w:tc>
          <w:tcPr>
            <w:tcW w:w="1380" w:type="pct"/>
          </w:tcPr>
          <w:p>
            <w:r>
              <w:t>ER&amp;R systems process Personally Identifiable Information, Protected Health Information, and Federal Tax Information for ~24 million Marketplace consumers. A breach — whether through credential compromise, misconfigured cloud storage, exfiltration via subcontractor access, or insider misuse — triggers HHS/CMS one-hour incident reporting, OMB M-17-12 breach response, IRS Safeguards review for FTI, congressional notification, and lasting reputational impact.</w:t>
            </w:r>
          </w:p>
        </w:tc>
        <w:tc>
          <w:tcPr>
            <w:tcW w:w="2644" w:type="pct"/>
          </w:tcPr>
          <w:p>
            <w:r>
              <w:t>Implement HHS/CMS-approved encryption with current FIPS 140 validation in transit and at rest for every system component. Apply role-based access control with field-level masking for PII fields in CERRS and HICS. Conduct quarterly third-party (3PAO) penetration testing against the FedRAMP-compliant Azure Government enclave. Maintain a documented Incident and Breach Response Plan tested twice per year, with one-hour reporting to the CMS IRT pre-staged through CMS Help Desk and IT Service Desk channels. Continuous monitoring is operated by a CISSP-certified Security &amp; Privacy Officer with SOC integration.</w:t>
            </w:r>
          </w:p>
        </w:tc>
      </w:tr>
      <w:tr w:rsidR="00B17E66" w14:paraId="3F8E2F79" w14:textId="3D7AE24D" w:rsidTr="00B85496">
        <w:tc>
          <w:tcPr>
            <w:cnfStyle w:val="001000000000" w:firstRow="0" w:lastRow="0" w:firstColumn="1" w:lastColumn="0" w:oddVBand="0" w:evenVBand="0" w:oddHBand="0" w:evenHBand="0" w:firstRowFirstColumn="0" w:firstRowLastColumn="0" w:lastRowFirstColumn="0" w:lastRowLastColumn="0"/>
            <w:tcW w:w="976" w:type="pct"/>
          </w:tcPr>
          <w:p>
            <w:r>
              <w:t>Regulatory &amp; Policy Changes Mid-Contract</w:t>
            </w:r>
          </w:p>
        </w:tc>
        <w:tc>
          <w:tcPr>
            <w:tcW w:w="1380" w:type="pct"/>
          </w:tcPr>
          <w:p>
            <w:r>
              <w:t>ACA regulations, IRS guidance, CMS policy updates, the annual Payment Notice, and Marketplace integrity rules can alter dispute processing rules, Form 1095-A content, SOP requirements, and system logic mid-contract. A delayed response generates downstream consumer disputes, issuer complaints, and Enrollment Manual misalignment.</w:t>
            </w:r>
          </w:p>
        </w:tc>
        <w:tc>
          <w:tcPr>
            <w:tcW w:w="2644" w:type="pct"/>
          </w:tcPr>
          <w:p>
            <w:r>
              <w:t>Designate a Policy Watch function within the program management team that monitors the Federal Register, CMS guidance releases, REGTAP updates, and the Letter to Issuers continuously. Maintain a 30-day SOP rapid-update process pre-approved by the COR for non-substantive changes, with a structured change-impact assessment for substantive changes. Integrate Policy Watch outputs into the Annual Enrollment Manual revision under Task 10 so manual updates and CERRS configuration changes are coordinated, not sequenced.</w:t>
            </w:r>
          </w:p>
        </w:tc>
      </w:tr>
      <w:tr w:rsidR="00277A49" w14:paraId="3A977A39"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Fraud, Unauthorized Enrollments &amp; Program Integrity</w:t>
            </w:r>
          </w:p>
        </w:tc>
        <w:tc>
          <w:tcPr>
            <w:tcW w:w="1380" w:type="pct"/>
          </w:tcPr>
          <w:p>
            <w:r>
              <w:t>Unauthorized plan switches (UPS), unauthorized enrollments (UE), demographic data obfuscation patterns, and improper APTC payments create undetected overlapping coverage, incorrect tax statements, and program-integrity vulnerabilities at the intersection of Tasks 2, 3, 4, and 8.</w:t>
            </w:r>
          </w:p>
        </w:tc>
        <w:tc>
          <w:tcPr>
            <w:tcW w:w="2644" w:type="pct"/>
          </w:tcPr>
          <w:p>
            <w:r>
              <w:t>Analyze every new Marketplace enrollment for data anomalies consistent with UPS and UE patterns on a daily cadence. Implement rules-based detection models in coordination with the Center for Program Integrity (CPI) and OPOLE; refresh detection logic monthly based on emerging patterns. Embed program-integrity-by-design controls — supervisor sign-off before any retroactive override or batch correction, elevated QA sampling for high-risk case types, and a cross-task integrity risk register — into every dispute and casework workflow rather than running integrity as a periodic audit.</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Automated Business Rule Failures</w:t>
            </w:r>
          </w:p>
        </w:tc>
        <w:tc>
          <w:tcPr>
            <w:tcW w:w="1380" w:type="pct"/>
          </w:tcPr>
          <w:p>
            <w:r>
              <w:t>ER&amp;R relies on automated rules to resolve approximately 99% of payment disputes, 95% of enrollment disputes, and 100% of SBE disputes (~6.1 million automated resolutions in 2024). A defective, outdated, or misconfigured rule could incorrectly resolve large volumes of disputes within hours, producing incorrect 1095-A forms and improper APTC payments at scale.</w:t>
            </w:r>
          </w:p>
        </w:tc>
        <w:tc>
          <w:tcPr>
            <w:tcW w:w="2644" w:type="pct"/>
          </w:tcPr>
          <w:p>
            <w:r>
              <w:t>Operate the rule library through a governed lifecycle: every change moves through peer review, sandbox testing on prior-year case data, COR notification, and parallel-run validation against existing rule output before promotion. Manage rule changes through the existing JIRA process. Apply daily monitoring of resolution rates by dispute type with deviation triggers that distinguish rule failure from upstream data quality from new volume patterns — each driving a different corrective action.</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Service Level Agreement Performance Under Concurrent Peak Load</w:t>
            </w:r>
          </w:p>
        </w:tc>
        <w:tc>
          <w:tcPr>
            <w:tcW w:w="1380" w:type="pct"/>
          </w:tcPr>
          <w:p>
            <w:r>
              <w:t>SOW Tables 3 and 4 require 95% of high-complexity issuer disputes resolved in 10 days and 1095-A consumer disputes resolved in 2/5/10 business days by complexity tier. During February–March, when 1095-A volume peaks concurrently with Open Enrollment close-out and the BUU correction cycle, simultaneous SLA pressure across Tasks 2, 3, 4, and 5 creates compounding breach risk.</w:t>
            </w:r>
          </w:p>
        </w:tc>
        <w:tc>
          <w:tcPr>
            <w:tcW w:w="2644" w:type="pct"/>
          </w:tcPr>
          <w:p>
            <w:r>
              <w:t>Apply a unified case-routing dashboard that starts the SLA clock at intake and triggers early intervention when any case trends toward 70% of its SLA window. Cross-train the surge workforce so a 1095-A medium-complexity caseworker can absorb high-complexity overflow under supervisor escalation. Maintain a published peak-load capacity matrix covering supervisory ratios, QA coverage, and reserve activation thresholds at three concurrent volume scenarios so capacity does not degrade when caseload spikes.</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FFE Update Sequencing &amp; BUU Cycle Errors</w:t>
            </w:r>
          </w:p>
        </w:tc>
        <w:tc>
          <w:tcPr>
            <w:tcW w:w="1380" w:type="pct"/>
          </w:tcPr>
          <w:p>
            <w:r>
              <w:t>Task 5 BUU submissions, Update Policy API calls, and Hard Case updates must be sequenced correctly relative to the ~22 annual 1095-A correction cycles and the monthly Recon Run Calendar. A sequencing error or a missed pre-validation does not 'fail' visibly — it creates a new data problem that surfaces weeks later as a downstream dispute or a corrected/voided 1095-A.</w:t>
            </w:r>
          </w:p>
        </w:tc>
        <w:tc>
          <w:tcPr>
            <w:tcW w:w="2644" w:type="pct"/>
          </w:tcPr>
          <w:p>
            <w:r>
              <w:t>Treat FFE submissions as a precision execution function with full pipeline visibility to CMS at every stage. Map the downstream consequence of every retroactive action — which correction cycle it falls into, whether a corrected or voided 1095-A is generated, and the correct submission order — before any update is queued. Require supervisory sign-off with a complete time-stamped audit trail for batch corrections and manual overrides. Run automated pre-validation that the Operational Analytics Contractor and the QA Team can independently confirm before each submission window.</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FedRAMP / ATO Authorization &amp; Continuous Monitoring</w:t>
            </w:r>
          </w:p>
        </w:tc>
        <w:tc>
          <w:tcPr>
            <w:tcW w:w="1380" w:type="pct"/>
          </w:tcPr>
          <w:p>
            <w:r>
              <w:t>CERRS, HICS, SEED, and EDA CORE operate inside the CMS Microsoft Azure Government (MAG) enclave with the Snowflake EDA CORE deployment requiring FedRAMP sponsorship. Lapses in continuous monitoring artifacts, POA&amp;M discipline, or 3PAO assessment cadence could suspend or revoke an ATO and force operational restrictions during a period of mission-critical casework.</w:t>
            </w:r>
          </w:p>
        </w:tc>
        <w:tc>
          <w:tcPr>
            <w:tcW w:w="2644" w:type="pct"/>
          </w:tcPr>
          <w:p>
            <w:r>
              <w:t>Maintain ATO continuity through a Security &amp; Privacy Officer-led continuous monitoring program with monthly OS/database/web/network vulnerability scan delivery, POA&amp;M updates against the HHS standard (15-day critical / 30-day high / 90-day medium / 360-day low), 3PAO annual reassessment scheduled outside Open Enrollment and tax season, and FedRAMP sponsor obligations for the Snowflake deployment governed as a standing responsibility rather than ad-hoc activity.</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Cross-Contractor Coordination Dependencies</w:t>
            </w:r>
          </w:p>
        </w:tc>
        <w:tc>
          <w:tcPr>
            <w:tcW w:w="1380" w:type="pct"/>
          </w:tcPr>
          <w:p>
            <w:r>
              <w:t>ER&amp;R cannot be delivered in isolation — performance depends on continuous coordination with the CMS Data Services Hub (DSH), Eligibility Support, Federal Exchange Call Center, FMPS, Marketplace System Integrator (MSI), Operations Analytics, Operations Support, Federal Exchange Print, and Stakeholder Engagement contractors. A misaligned interface, an undocumented schedule change, or a transition gap at any of those boundaries creates downstream casework volume Deloitte cannot prevent unilaterally.</w:t>
            </w:r>
          </w:p>
        </w:tc>
        <w:tc>
          <w:tcPr>
            <w:tcW w:w="2644" w:type="pct"/>
          </w:tcPr>
          <w:p>
            <w:r>
              <w:t>Establish a standing cross-contractor coordination cadence anchored to the SOW interfaces: weekly CMS issuer calls, monthly SBE calls, daily operational reconciliation workgroup participation, and structured handoff protocols documented in the Project Implementation and Oversight Plan. Maintain interface monitoring on every external dependency (Operations Analytics for reconciliation files; Print Contractor for notices; DSH for SOAP/HTTPS exchange) with alerts when latency or error rates breach thresholds — surfacing other-contractor issues to CMS through the COR with root-cause analysis rather than absorbing them silently.</w:t>
            </w:r>
          </w:p>
        </w:tc>
      </w:tr>
    </w:tbl>
    <w:p w14:paraId="4721D3FC" w14:textId="77777777" w:rsidR="0019300F" w:rsidRDefault="0019300F" w:rsidP="00075038">
      <w:pPr>
        <w:pStyle w:val="ParagraphSpacer"/>
      </w:pPr>
    </w:p>
    <w:p w14:paraId="445773EE" w14:textId="7A2784A3" w:rsidR="00EA3009" w:rsidRPr="006303EA" w:rsidRDefault="00FA56E7" w:rsidP="00882233">
      <w:pPr>
        <w:pStyle w:val="Subheading1"/>
      </w:pPr>
      <w:r>
        <w:t xml:space="preserve">Processes </w:t>
      </w:r>
      <w:r w:rsidR="00882233">
        <w:t xml:space="preserve">to Identify Additional Risks </w:t>
      </w:r>
    </w:p>
    <w:p w14:paraId="19F5B687" w14:textId="22B63B1B" w:rsidR="0001573B" w:rsidRPr="00882233" w:rsidRDefault="0069625E" w:rsidP="00EC785A">
      <w:pPr>
        <w:pStyle w:val="BodyText"/>
      </w:pPr>
      <w:r w:rsidRPr="0069625E">
        <w:t>Deloitte will apply a structured, six-phase risk management lifecycle throughout the period of performance — a framework refined through years of leading large-scale federal program takeovers and system transitions across the United States. This process is not limited to the risks identified above — it is designed to surface and address new risks as they emerge across all ten SOW tasks, all contract years, and all phases of the enrollment and tax reporting cycle</w:t>
      </w:r>
    </w:p>
    <w:p w14:paraId="5CDCFFAF" w14:textId="289C4670" w:rsidR="00DD7489" w:rsidRDefault="00EC785A" w:rsidP="00EC785A">
      <w:pPr>
        <w:pStyle w:val="TableTitle"/>
      </w:pPr>
      <w:r>
        <w:t>Table 1.3-1. Risk Register and Mitigation Strategies.</w:t>
      </w:r>
      <w:r w:rsidRPr="00374D6C"/>
      <w:r/>
      <w:r w:rsidRPr="00374D6C"/>
      <w:r/>
    </w:p>
    <w:tbl>
      <w:tblPr>
        <w:tblStyle w:val="DeloitteTable2"/>
        <w:tblW w:w="5000" w:type="pct"/>
        <w:tblLook w:val="06A0" w:firstRow="1" w:lastRow="0" w:firstColumn="1" w:lastColumn="0" w:noHBand="1" w:noVBand="1"/>
      </w:tblPr>
      <w:tblGrid>
        <w:gridCol w:w="2065"/>
        <w:gridCol w:w="7285"/>
      </w:tblGrid>
      <w:tr w:rsidR="00DD7489" w14:paraId="0C5BCE6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613D5A98" w14:textId="4A6FE1A8" w:rsidR="00DD7489" w:rsidRDefault="00DD7489" w:rsidP="00DD7489">
            <w:pPr>
              <w:pStyle w:val="TableHeading"/>
            </w:pPr>
            <w:r w:rsidRPr="0049321E">
              <w:t>Process Phase</w:t>
            </w:r>
          </w:p>
        </w:tc>
        <w:tc>
          <w:tcPr>
            <w:tcW w:w="7285" w:type="dxa"/>
          </w:tcPr>
          <w:p w14:paraId="09C958AE" w14:textId="066FA6BB" w:rsidR="00DD7489" w:rsidRPr="00E65890" w:rsidRDefault="00DD7489" w:rsidP="00DD7489">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DD7489" w14:paraId="3EE47806" w14:textId="77777777">
        <w:tc>
          <w:tcPr>
            <w:cnfStyle w:val="001000000000" w:firstRow="0" w:lastRow="0" w:firstColumn="1" w:lastColumn="0" w:oddVBand="0" w:evenVBand="0" w:oddHBand="0" w:evenHBand="0" w:firstRowFirstColumn="0" w:firstRowLastColumn="0" w:lastRowFirstColumn="0" w:lastRowLastColumn="0"/>
            <w:tcW w:w="2065" w:type="dxa"/>
          </w:tcPr>
          <w:p w14:paraId="390ADC74" w14:textId="09C03A6F" w:rsidR="00DD7489" w:rsidRDefault="00DD7489" w:rsidP="00DD7489">
            <w:pPr>
              <w:pStyle w:val="TableRowHeading"/>
            </w:pPr>
            <w:r w:rsidRPr="00DE299C">
              <w:t>Ongoing Identification</w:t>
            </w:r>
          </w:p>
        </w:tc>
        <w:tc>
          <w:tcPr>
            <w:tcW w:w="7285" w:type="dxa"/>
          </w:tcPr>
          <w:p w14:paraId="24D85FCF"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Risks are identified through multiple continuous channels:</w:t>
            </w:r>
          </w:p>
          <w:p w14:paraId="1BE0402C" w14:textId="458EC47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Weekly COR meetings:</w:t>
            </w:r>
            <w:r>
              <w:t xml:space="preserve"> standing agenda item for emerging risks and issues</w:t>
            </w:r>
          </w:p>
          <w:p w14:paraId="050AA5C4" w14:textId="122003C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Progress Reports:</w:t>
            </w:r>
            <w:r>
              <w:t xml:space="preserve"> risk register reviewed and updated with new entries, status changes, and closures</w:t>
            </w:r>
          </w:p>
          <w:p w14:paraId="0485F226" w14:textId="460FD04F"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QA audits:</w:t>
            </w:r>
            <w:r>
              <w:t xml:space="preserve"> operational data analyzed for performance degradation patterns that may signal emerging risks</w:t>
            </w:r>
          </w:p>
          <w:p w14:paraId="21A75A26" w14:textId="46B66B6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Continuous monitoring dashboards:</w:t>
            </w:r>
            <w:r>
              <w:t xml:space="preserve"> real-time alerts on SLA performance, system uptime, and dispute aging</w:t>
            </w:r>
          </w:p>
          <w:p w14:paraId="2C3A1C14" w14:textId="0E2929C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Staff feedback loops:</w:t>
            </w:r>
            <w:r>
              <w:t xml:space="preserve"> frontline analysts and developers surface operational risks through weekly team stand-ups</w:t>
            </w:r>
          </w:p>
          <w:p w14:paraId="609B3F9E" w14:textId="2FDD8047"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lastRenderedPageBreak/>
              <w:t>Cross-contractor liaison:</w:t>
            </w:r>
            <w:r>
              <w:t xml:space="preserve"> interface issues flagged as risks before they become incidents</w:t>
            </w:r>
          </w:p>
        </w:tc>
      </w:tr>
      <w:tr w:rsidR="00DD7489" w14:paraId="41486165" w14:textId="77777777">
        <w:tc>
          <w:tcPr>
            <w:cnfStyle w:val="001000000000" w:firstRow="0" w:lastRow="0" w:firstColumn="1" w:lastColumn="0" w:oddVBand="0" w:evenVBand="0" w:oddHBand="0" w:evenHBand="0" w:firstRowFirstColumn="0" w:firstRowLastColumn="0" w:lastRowFirstColumn="0" w:lastRowLastColumn="0"/>
            <w:tcW w:w="2065" w:type="dxa"/>
          </w:tcPr>
          <w:p w14:paraId="5DDD6009" w14:textId="2E8E6CE5" w:rsidR="00DD7489" w:rsidRDefault="00DD7489" w:rsidP="00DD7489">
            <w:pPr>
              <w:pStyle w:val="TableRowHeading"/>
            </w:pPr>
            <w:r w:rsidRPr="00DE299C">
              <w:lastRenderedPageBreak/>
              <w:t>Risk Scoring &amp; Prioritization</w:t>
            </w:r>
          </w:p>
        </w:tc>
        <w:tc>
          <w:tcPr>
            <w:tcW w:w="7285" w:type="dxa"/>
          </w:tcPr>
          <w:p w14:paraId="7D4A6DEE"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Each identified risk is scored on two dimensions:</w:t>
            </w:r>
          </w:p>
          <w:p w14:paraId="2B684B88" w14:textId="3969B2EA"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Probability:</w:t>
            </w:r>
            <w:r>
              <w:t xml:space="preserve"> Likelihood of occurrence (High / Medium / Low) based on historical data, contract context, and expert judgment</w:t>
            </w:r>
          </w:p>
          <w:p w14:paraId="5B2674D9" w14:textId="198BCDF8"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Impact:</w:t>
            </w:r>
            <w:r>
              <w:t xml:space="preserve"> Consequence severity across cost, schedule, performance, and government oversight burden</w:t>
            </w:r>
          </w:p>
          <w:p w14:paraId="4EC39C1A" w14:textId="41CEBB5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Composite risk score drives prioritization</w:t>
            </w:r>
            <w:r>
              <w:rPr>
                <w:rStyle w:val="CharacterBold"/>
              </w:rPr>
              <w:t>:</w:t>
            </w:r>
            <w:r>
              <w:t xml:space="preserve"> High/High risks escalated to COR within 24 hours; Medium risks addressed in the next weekly meeting; Low risks tracked in the register</w:t>
            </w:r>
          </w:p>
        </w:tc>
      </w:tr>
      <w:tr w:rsidR="00DD7489" w14:paraId="0A4F3797" w14:textId="77777777">
        <w:tc>
          <w:tcPr>
            <w:cnfStyle w:val="001000000000" w:firstRow="0" w:lastRow="0" w:firstColumn="1" w:lastColumn="0" w:oddVBand="0" w:evenVBand="0" w:oddHBand="0" w:evenHBand="0" w:firstRowFirstColumn="0" w:firstRowLastColumn="0" w:lastRowFirstColumn="0" w:lastRowLastColumn="0"/>
            <w:tcW w:w="2065" w:type="dxa"/>
          </w:tcPr>
          <w:p w14:paraId="10CD3244" w14:textId="28F46C5A" w:rsidR="00DD7489" w:rsidRDefault="00DD7489" w:rsidP="00DD7489">
            <w:pPr>
              <w:pStyle w:val="TableRowHeading"/>
            </w:pPr>
            <w:r w:rsidRPr="00DE299C">
              <w:t>Mitigation Planning &amp; Execution</w:t>
            </w:r>
          </w:p>
        </w:tc>
        <w:tc>
          <w:tcPr>
            <w:tcW w:w="7285" w:type="dxa"/>
          </w:tcPr>
          <w:p w14:paraId="19B3ABBB"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For each risk above the Low threshold:</w:t>
            </w:r>
          </w:p>
          <w:p w14:paraId="1CCFDB7C" w14:textId="5FDE89A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A Mitigation Action Plan (MAP) is developed within 5 business days of identification, owned by the responsible Project Manager</w:t>
            </w:r>
          </w:p>
          <w:p w14:paraId="6D23E083" w14:textId="6CF1E32B"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The MAP defines specific actions, owners, target dates, and success criteria</w:t>
            </w:r>
          </w:p>
          <w:p w14:paraId="1468F1D6" w14:textId="09D61EFE"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Progress against MAP actions is tracked in the risk register and reported monthly to the COR</w:t>
            </w:r>
          </w:p>
          <w:p w14:paraId="563A0142" w14:textId="7A2D2B8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Residual risk is re-scored after mitigation to confirm acceptance or trigger additional action</w:t>
            </w:r>
          </w:p>
        </w:tc>
      </w:tr>
      <w:tr w:rsidR="00DD7489" w14:paraId="64BBA090" w14:textId="77777777">
        <w:tc>
          <w:tcPr>
            <w:cnfStyle w:val="001000000000" w:firstRow="0" w:lastRow="0" w:firstColumn="1" w:lastColumn="0" w:oddVBand="0" w:evenVBand="0" w:oddHBand="0" w:evenHBand="0" w:firstRowFirstColumn="0" w:firstRowLastColumn="0" w:lastRowFirstColumn="0" w:lastRowLastColumn="0"/>
            <w:tcW w:w="2065" w:type="dxa"/>
          </w:tcPr>
          <w:p w14:paraId="1C1463F0" w14:textId="43ED8665" w:rsidR="00DD7489" w:rsidRDefault="00DD7489" w:rsidP="00DD7489">
            <w:pPr>
              <w:pStyle w:val="TableRowHeading"/>
            </w:pPr>
            <w:r w:rsidRPr="00DE299C">
              <w:t>Escalation to CMS</w:t>
            </w:r>
          </w:p>
        </w:tc>
        <w:tc>
          <w:tcPr>
            <w:tcW w:w="7285" w:type="dxa"/>
          </w:tcPr>
          <w:p w14:paraId="0142D0A8"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Risks that meet any of the following criteria are escalated to the COR immediately:</w:t>
            </w:r>
          </w:p>
          <w:p w14:paraId="7B4B766C" w14:textId="7D7DDDE9"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Probability and impact are both High</w:t>
            </w:r>
          </w:p>
          <w:p w14:paraId="190B12AF" w14:textId="0C33B547"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involves PII/PHI/FTI exposure or a potential security incident</w:t>
            </w:r>
          </w:p>
          <w:p w14:paraId="58D895EB" w14:textId="40B8E69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could cause a missed statutory deadline (e.g., January 31 Form 1095-A mailing)</w:t>
            </w:r>
          </w:p>
          <w:p w14:paraId="07FC4A1E" w14:textId="5D9B4D18"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requires resources, decisions, or actions outside the Contractor's authority</w:t>
            </w:r>
          </w:p>
          <w:p w14:paraId="2A965806" w14:textId="60468578"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[Offeror Name] will never self-manage a risk that requires Government awareness or action</w:t>
            </w:r>
          </w:p>
        </w:tc>
      </w:tr>
      <w:tr w:rsidR="00DD7489" w14:paraId="45183B49" w14:textId="77777777">
        <w:tc>
          <w:tcPr>
            <w:cnfStyle w:val="001000000000" w:firstRow="0" w:lastRow="0" w:firstColumn="1" w:lastColumn="0" w:oddVBand="0" w:evenVBand="0" w:oddHBand="0" w:evenHBand="0" w:firstRowFirstColumn="0" w:firstRowLastColumn="0" w:lastRowFirstColumn="0" w:lastRowLastColumn="0"/>
            <w:tcW w:w="2065" w:type="dxa"/>
          </w:tcPr>
          <w:p w14:paraId="0D0BB1F8" w14:textId="0A49B865" w:rsidR="00DD7489" w:rsidRDefault="00DD7489" w:rsidP="00DD7489">
            <w:pPr>
              <w:pStyle w:val="TableRowHeading"/>
            </w:pPr>
            <w:r w:rsidRPr="00DE299C">
              <w:t>Quarterly Risk Reviews</w:t>
            </w:r>
          </w:p>
        </w:tc>
        <w:tc>
          <w:tcPr>
            <w:tcW w:w="7285" w:type="dxa"/>
          </w:tcPr>
          <w:p w14:paraId="226BE672"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In addition to continuous monitoring, [Offeror Name] will conduct formal quarterly risk reviews that:</w:t>
            </w:r>
          </w:p>
          <w:p w14:paraId="2074632E" w14:textId="4F6F2005"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Reassess the full risk register — close resolved risks, update status on active risks, and identify new risks from the prior quarter's operational data</w:t>
            </w:r>
          </w:p>
          <w:p w14:paraId="2C0DA54B" w14:textId="2A4CB22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Incorporate lessons learned from any SLA misses, incidents, or near-misses in the quarter</w:t>
            </w:r>
          </w:p>
          <w:p w14:paraId="228AEFF6" w14:textId="4232BB3C"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Adjust mitigation strategies based on regulatory changes, volume trends, and system evolution</w:t>
            </w:r>
          </w:p>
          <w:p w14:paraId="556CAC3B" w14:textId="7AA7AAC3"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Present findings to CMS at the quarterly in-person meeting with recommended actions</w:t>
            </w:r>
          </w:p>
        </w:tc>
      </w:tr>
      <w:tr w:rsidR="00DD7489" w14:paraId="7685C0D8" w14:textId="77777777">
        <w:tc>
          <w:tcPr>
            <w:cnfStyle w:val="001000000000" w:firstRow="0" w:lastRow="0" w:firstColumn="1" w:lastColumn="0" w:oddVBand="0" w:evenVBand="0" w:oddHBand="0" w:evenHBand="0" w:firstRowFirstColumn="0" w:firstRowLastColumn="0" w:lastRowFirstColumn="0" w:lastRowLastColumn="0"/>
            <w:tcW w:w="2065" w:type="dxa"/>
          </w:tcPr>
          <w:p w14:paraId="4DA72FEB" w14:textId="4933BD27" w:rsidR="00DD7489" w:rsidRDefault="00DD7489" w:rsidP="00DD7489">
            <w:pPr>
              <w:pStyle w:val="TableRowHeading"/>
            </w:pPr>
            <w:r w:rsidRPr="00DE299C">
              <w:t>Lessons Learned &amp; Continuous Improvement</w:t>
            </w:r>
          </w:p>
        </w:tc>
        <w:tc>
          <w:tcPr>
            <w:tcW w:w="7285" w:type="dxa"/>
          </w:tcPr>
          <w:p w14:paraId="4E46FECD"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At the conclusion of each contract year, [Offeror Name] will conduct a formal lessons-learned review that:</w:t>
            </w:r>
          </w:p>
          <w:p w14:paraId="14A9CFD9" w14:textId="2AF57FF3"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Documents risks that materialized and evaluates whether mitigation strategies were effective</w:t>
            </w:r>
          </w:p>
          <w:p w14:paraId="51977559" w14:textId="2B51ABEF"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Identifies risk categories that were under-estimated and recalibrates the risk model for the following period</w:t>
            </w:r>
          </w:p>
          <w:p w14:paraId="3A7DB60B" w14:textId="1E2ADA11"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Feeds findings into the annual SOP update cycle and the Task Order Summary Report</w:t>
            </w:r>
          </w:p>
          <w:p w14:paraId="147563E3" w14:textId="26C44505"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Shares relevant lessons with CMS and partner contractors to reduce program-wide risk exposure</w:t>
            </w:r>
          </w:p>
        </w:tc>
      </w:tr>
    </w:tbl>
    <w:p w14:paraId="24CEC26F" w14:textId="77777777" w:rsidR="00882233" w:rsidRDefault="00882233">
      <w:pPr>
        <w:spacing w:line="24" w:lineRule="auto"/>
        <w:rPr>
          <w:rFonts w:ascii="Arial Narrow" w:eastAsiaTheme="majorEastAsia" w:hAnsi="Arial Narrow" w:cstheme="majorBidi"/>
          <w:b/>
          <w:bCs/>
          <w:color w:val="005587"/>
          <w:sz w:val="28"/>
          <w:szCs w:val="28"/>
        </w:rPr>
      </w:pPr>
      <w:r>
        <w:br w:type="page"/>
      </w:r>
    </w:p>
    <w:p w14:paraId="7B6AFA15" w14:textId="5923B70E" w:rsidR="004C7234" w:rsidRDefault="004C7234" w:rsidP="00775066">
      <w:pPr>
        <w:pStyle w:val="Heading1"/>
      </w:pPr>
      <w:bookmarkStart w:id="84" w:name="_Toc227883187"/>
      <w:r>
        <w:lastRenderedPageBreak/>
        <w:t>2.0</w:t>
      </w:r>
      <w:r>
        <w:tab/>
      </w:r>
      <w:r w:rsidRPr="004C7234">
        <w:t>Section 2: Management Approach, Quality Assurance and Surveillance Plan, and Staffing Plan</w:t>
      </w:r>
      <w:bookmarkEnd w:id="84"/>
      <w:r w:rsidR="00A10BAA">
        <w:t xml:space="preserve"> </w:t>
      </w:r>
      <w:r w:rsidR="00A10BAA" w:rsidRPr="00806273">
        <w:rPr>
          <w:color w:val="FF0000"/>
        </w:rPr>
        <w:t>(</w:t>
      </w:r>
      <w:r w:rsidR="003D0CAF">
        <w:rPr>
          <w:color w:val="FF0000"/>
        </w:rPr>
        <w:t>Total 11</w:t>
      </w:r>
      <w:r w:rsidR="00A10BAA" w:rsidRPr="00806273">
        <w:rPr>
          <w:color w:val="FF0000"/>
        </w:rPr>
        <w:t xml:space="preserve"> Pages)</w:t>
      </w:r>
    </w:p>
    <w:p w14:paraId="3ED7E47D" w14:textId="7B7E9D7E" w:rsidR="00775066" w:rsidRDefault="00775066" w:rsidP="00775066">
      <w:pPr>
        <w:pStyle w:val="Heading2"/>
      </w:pPr>
      <w:bookmarkStart w:id="85" w:name="_Toc227883188"/>
      <w:r>
        <w:t>2.1</w:t>
      </w:r>
      <w:r>
        <w:tab/>
      </w:r>
      <w:commentRangeStart w:id="86"/>
      <w:r w:rsidRPr="00775066">
        <w:t>Sub-Section 2A: Management Approach</w:t>
      </w:r>
      <w:bookmarkEnd w:id="85"/>
      <w:commentRangeEnd w:id="86"/>
      <w:r w:rsidR="00044EEF">
        <w:rPr>
          <w:rStyle w:val="CommentReference"/>
          <w:sz w:val="26"/>
          <w:szCs w:val="26"/>
        </w:rPr>
        <w:commentReference w:id="86"/>
      </w:r>
      <w:r w:rsidR="003D0CAF">
        <w:t xml:space="preserve"> </w:t>
      </w:r>
      <w:r w:rsidR="003D0CAF" w:rsidRPr="00806273">
        <w:rPr>
          <w:color w:val="FF0000"/>
        </w:rPr>
        <w:t>(</w:t>
      </w:r>
      <w:r w:rsidR="003D0CAF">
        <w:rPr>
          <w:color w:val="FF0000"/>
        </w:rPr>
        <w:t>6</w:t>
      </w:r>
      <w:r w:rsidR="003D0CAF" w:rsidRPr="00806273">
        <w:rPr>
          <w:color w:val="FF0000"/>
        </w:rPr>
        <w:t xml:space="preserve"> </w:t>
      </w:r>
      <w:commentRangeStart w:id="87"/>
      <w:r w:rsidR="003D0CAF" w:rsidRPr="00806273">
        <w:rPr>
          <w:color w:val="FF0000"/>
        </w:rPr>
        <w:t>Pages</w:t>
      </w:r>
      <w:commentRangeEnd w:id="87"/>
      <w:r w:rsidR="00952715" w:rsidRPr="00806273">
        <w:rPr>
          <w:rStyle w:val="CommentReference"/>
          <w:color w:val="FF0000"/>
          <w:sz w:val="26"/>
          <w:szCs w:val="26"/>
        </w:rPr>
        <w:commentReference w:id="87"/>
      </w:r>
      <w:r w:rsidR="003D0CAF" w:rsidRPr="00806273">
        <w:rPr>
          <w:color w:val="FF0000"/>
        </w:rPr>
        <w:t>)</w:t>
      </w:r>
    </w:p>
    <w:p w14:paraId="50A74961" w14:textId="1FEE9EC3" w:rsidR="00775066" w:rsidRDefault="00BC43A6" w:rsidP="00BC43A6">
      <w:pPr>
        <w:pStyle w:val="Heading3"/>
      </w:pPr>
      <w:bookmarkStart w:id="88" w:name="_Toc227883189"/>
      <w:r>
        <w:t>2.1.1</w:t>
      </w:r>
      <w:r>
        <w:tab/>
      </w:r>
      <w:commentRangeStart w:id="89"/>
      <w:r w:rsidR="00036443" w:rsidRPr="00036443">
        <w:t>Task 1: Program Implementation and Oversight (PI&amp;O)</w:t>
      </w:r>
      <w:r w:rsidR="000306D0" w:rsidRPr="000306D0">
        <w:t xml:space="preserve"> </w:t>
      </w:r>
      <w:commentRangeEnd w:id="89"/>
      <w:r w:rsidR="009210AC" w:rsidRPr="000306D0">
        <w:rPr>
          <w:rStyle w:val="CommentReference"/>
          <w:sz w:val="24"/>
          <w:szCs w:val="26"/>
          <w:vertAlign w:val="superscript"/>
        </w:rPr>
        <w:commentReference w:id="89"/>
      </w:r>
      <w:r w:rsidR="000306D0" w:rsidRPr="000306D0">
        <w:rPr>
          <w:vertAlign w:val="superscript"/>
        </w:rPr>
        <w:t>(SOW 3.1)</w:t>
      </w:r>
      <w:bookmarkEnd w:id="88"/>
    </w:p>
    <w:p w14:paraId="5E5E8A92" w14:textId="3A9333EF" w:rsidR="009F2DA5" w:rsidRDefault="009F2DA5" w:rsidP="009F2DA5">
      <w:pPr>
        <w:pStyle w:val="BodyText"/>
      </w:pPr>
      <w:commentRangeStart w:id="90"/>
      <w:commentRangeStart w:id="91"/>
      <w:commentRangeStart w:id="92"/>
      <w:commentRangeStart w:id="93"/>
      <w:r>
        <w:t>ER&amp;R is not a single program — it is twelve interlocking tasks, four production systems, and a casework operation that touches more than 24 million Marketplace consumers each year. Disciplined program management is what keeps that operation running when issuer dispute volumes hit four million annually, when 1095-A volumes triple in February, when a single business-rule change can ripple across five State-Based Exchanges, and when a regulatory update lands mid-cycle. Deloitte will manage this task order through a single integrated operating model anchored to the SOW §3.1 schedule of obligations: contract kickoff within 12 business days of the start of the base period, a draft Project Implementation and Oversight Plan (PIOP) within 7 business days, the final PIOP within 60 days, and a working operating cadence in place from Day 1.</w:t>
      </w:r>
      <w:commentRangeEnd w:id="90"/>
      <w:r w:rsidR="004A3D30">
        <w:rPr>
          <w:rStyle w:val="CommentReference"/>
          <w:sz w:val="24"/>
          <w:szCs w:val="22"/>
        </w:rPr>
      </w:r>
      <w:commentRangeEnd w:id="91"/>
      <w:r>
        <w:rPr>
          <w:rStyle w:val="CommentReference"/>
          <w:sz w:val="24"/>
          <w:szCs w:val="22"/>
        </w:rPr>
      </w:r>
      <w:r/>
      <w:r w:rsidRPr="00DD7489">
        <w:rPr>
          <w:rStyle w:val="CharacterBold"/>
        </w:rPr>
      </w:r>
      <w:r w:rsidRPr="006909BC">
        <w:rPr>
          <w:b/>
        </w:rPr>
      </w:r>
      <w:r/>
      <w:commentRangeEnd w:id="92"/>
      <w:r w:rsidR="00887F22">
        <w:rPr>
          <w:rStyle w:val="CommentReference"/>
          <w:sz w:val="24"/>
          <w:szCs w:val="22"/>
        </w:rPr>
      </w:r>
      <w:commentRangeEnd w:id="93"/>
      <w:r w:rsidR="00241FD6">
        <w:rPr>
          <w:rStyle w:val="CommentReference"/>
          <w:sz w:val="24"/>
          <w:szCs w:val="22"/>
        </w:rPr>
      </w:r>
    </w:p>
    <w:p w14:paraId="7D08016B" w14:textId="6524BF74" w:rsidR="009F2DA5" w:rsidRDefault="009F2DA5" w:rsidP="009F2DA5">
      <w:pPr>
        <w:pStyle w:val="BodyText"/>
      </w:pPr>
      <w:r>
        <w:t>The PIOP is the primary management instrument and Deloitte's commitment of record to CMS. The PIOP will document Deloitte's approach across every project management knowledge area required by Attachment 2 §2A — scope management, time management, cost management, communication management, information security and privacy management, subcontractor monitoring, and risk and issue management — and will incorporate the work breakdown structure (WBS), schedule, milestones, key personnel, technology and AI transparency, and the structured collaboration model with CMS staff and other CMS contractors. The PIOP will be updated quarterly and ad hoc as conditions change, and Deloitte will not commit to any major staffing or ODC action without prior COR approval. Tooling discipline reinforces the plan: an integrated RAID log, a decision log, a milestone dashboard, and a JIRA-based change request backlog all maintained in a CMS-accessible workspace so the COR has continuous visibility, not periodic snapshots.</w:t>
      </w:r>
      <w:commentRangeStart w:id="94"/>
      <w:r/>
      <w:commentRangeEnd w:id="94"/>
      <w:r w:rsidR="00241FD6">
        <w:rPr>
          <w:rStyle w:val="CommentReference"/>
          <w:sz w:val="24"/>
          <w:szCs w:val="22"/>
        </w:rPr>
      </w:r>
      <w:r/>
      <w:r w:rsidRPr="00DD7489">
        <w:rPr>
          <w:rStyle w:val="CharacterBold"/>
        </w:rPr>
      </w:r>
      <w:r/>
    </w:p>
    <w:p w14:paraId="58836A32" w14:textId="15D84596" w:rsidR="009F2DA5" w:rsidRPr="00B23D8B" w:rsidRDefault="009F2DA5" w:rsidP="009F2DA5">
      <w:pPr>
        <w:pStyle w:val="BodyText"/>
      </w:pPr>
      <w:r>
        <w:t>Reporting cadence and meeting discipline are the engine that makes the PIOP operate as a living document rather than a one-time deliverable. Deloitte will deliver the Monthly Progress, Data and Cost Report by the third Monday of each month — two days before the Monthly Budget Review — covering task-by-task activity narrative, upcoming meetings and actions, outstanding issues requiring CMS action, unresolved items from the prior month, and full cost tracking by labor category, hours, rates, subcontractor costs, travel, ODCs, indirect costs, and total costs aggregated and broken out by task and sub-task. The monthly Form 1095-A Consumer Disputes and Enrollment Process Improvement Report will deliver prioritized, evidence-supported improvement recommendations covering the eight content elements in SOW §3.1 (education needs, triage and enrollment process changes, system integration, system efficiency improvements, regulatory authorization needs, cost-benefit analysis, stakeholder coordination, and data-churn reduction). Weekly meetings begin the week after kickoff with agenda one day prior, minutes within two business days, and at least four in-person meetings per year in the Baltimore-Washington corridor or at a CMS Regional Office. The Task Order Summary Report will deliver in draft in the 10th month of the final period of performance and final 30 days before task order end.</w:t>
      </w:r>
      <w:r w:rsidRPr="00DD7489">
        <w:rPr>
          <w:rStyle w:val="CharacterBold"/>
        </w:rPr>
      </w:r>
      <w:r/>
    </w:p>
    <w:p w14:paraId="0DB67D10" w14:textId="198C0180" w:rsidR="00074BEF" w:rsidRPr="00B23D8B" w:rsidRDefault="0054721F" w:rsidP="009F2DA5">
      <w:pPr>
        <w:pStyle w:val="BodyText"/>
      </w:pPr>
      <w:r w:rsidRPr="0054721F">
        <w:t>Risk and issue resolution is governed through the same six-phase risk management lifecycle described in Sub-Section 1C. Risks are identified continuously across all ten SOW tasks, scored for likelihood and impact, assigned an owner, and tracked to closure with mitigation actions documented in the RAID log and reviewed weekly. Communication runs through the COR as the single technical-direction channel, with a structured communication plan covering CMS, the Eligibility Support Contractor, the Federal Exchange Call Center Contractor, FMPS, the Marketplace System Integrator, the Operations Analytics Contractor, the Operations Support Contractor, the Federal Exchange Print Contractor, and the Stakeholder Engagement Contractor. Subcontractor work is governed under the same SLAs, QA standards, and reporting discipline that apply to Deloitte's prime work and is monitored through the Small Business Liaison Officer (Section 4) and the integrated quality program (Sub-Section 2B). Information security and privacy management is led by the Security &amp; Privacy Officer (Section 3.1) and operates as a continuous control function, not a periodic compliance review.</w:t>
      </w:r>
      <w:r w:rsidRPr="0054721F"/>
      <w:r w:rsidR="005F08C6"/>
      <w:r w:rsidR="00B469A1"/>
      <w:r w:rsidR="00B469A1" w:rsidRPr="00B469A1">
        <w:rPr>
          <w:highlight w:val="yellow"/>
        </w:rPr>
      </w:r>
      <w:r w:rsidR="00074BEF" w:rsidRPr="00B469A1">
        <w:rPr>
          <w:highlight w:val="yellow"/>
        </w:rPr>
      </w:r>
      <w:r w:rsidR="00074BEF" w:rsidRPr="00074BEF"/>
    </w:p>
    <w:p w14:paraId="6E78407A" w14:textId="5E12C0E7" w:rsidR="0081163E" w:rsidRDefault="0081163E" w:rsidP="0081163E">
      <w:pPr>
        <w:pStyle w:val="TableTitle"/>
      </w:pPr>
      <w:r>
        <w:t>Table 2.1.1-1. Approach Summary.</w:t>
      </w:r>
      <w:r w:rsidRPr="00374D6C"/>
      <w:r/>
      <w:r w:rsidRPr="00374D6C"/>
      <w:r/>
    </w:p>
    <w:tbl>
      <w:tblPr>
        <w:tblStyle w:val="DeloitteTable2"/>
        <w:tblW w:w="5000" w:type="pct"/>
        <w:tblLook w:val="06A0" w:firstRow="1" w:lastRow="0" w:firstColumn="1" w:lastColumn="0" w:noHBand="1" w:noVBand="1"/>
      </w:tblPr>
      <w:tblGrid>
        <w:gridCol w:w="1957"/>
        <w:gridCol w:w="7393"/>
      </w:tblGrid>
      <w:tr w:rsidR="0081163E" w14:paraId="3CE94D2B"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164E79FD" w14:textId="511CFB49" w:rsidR="0081163E" w:rsidRDefault="009237B3">
            <w:pPr>
              <w:pStyle w:val="TableHeading"/>
            </w:pPr>
            <w:r>
              <w:t>Column Heading</w:t>
            </w:r>
          </w:p>
        </w:tc>
        <w:tc>
          <w:tcPr>
            <w:tcW w:w="4233" w:type="pct"/>
          </w:tcPr>
          <w:p w14:paraId="5BAAA784" w14:textId="4B80FE97" w:rsidR="0081163E" w:rsidRDefault="009237B3">
            <w:pPr>
              <w:pStyle w:val="TableHeading"/>
              <w:cnfStyle w:val="100000000000" w:firstRow="1" w:lastRow="0" w:firstColumn="0" w:lastColumn="0" w:oddVBand="0" w:evenVBand="0" w:oddHBand="0" w:evenHBand="0" w:firstRowFirstColumn="0" w:firstRowLastColumn="0" w:lastRowFirstColumn="0" w:lastRowLastColumn="0"/>
            </w:pPr>
            <w:r>
              <w:t>Description</w:t>
            </w:r>
          </w:p>
        </w:tc>
      </w:tr>
      <w:tr w:rsidR="0081163E" w14:paraId="2A88E49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D4238C5" w14:textId="51C3A34C" w:rsidR="0081163E" w:rsidRPr="00C669B5" w:rsidRDefault="0081163E" w:rsidP="00C669B5">
            <w:pPr>
              <w:pStyle w:val="TableRowHeading"/>
              <w:rPr>
                <w:rStyle w:val="CharacterBold"/>
                <w:b/>
              </w:rPr>
            </w:pPr>
            <w:commentRangeStart w:id="95"/>
            <w:r w:rsidRPr="00C669B5">
              <w:t xml:space="preserve">Project </w:t>
            </w:r>
            <w:commentRangeEnd w:id="95"/>
            <w:r w:rsidR="008313B5" w:rsidRPr="00C669B5">
              <w:rPr>
                <w:rStyle w:val="CommentReference"/>
                <w:sz w:val="20"/>
                <w:szCs w:val="22"/>
              </w:rPr>
              <w:commentReference w:id="95"/>
            </w:r>
            <w:r w:rsidRPr="00C669B5">
              <w:t>Implementation and Oversight</w:t>
            </w:r>
          </w:p>
        </w:tc>
        <w:tc>
          <w:tcPr>
            <w:tcW w:w="4233" w:type="pct"/>
          </w:tcPr>
          <w:p w14:paraId="25CF1ABE" w14:textId="75009A0E"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9237B3">
              <w:rPr>
                <w:rStyle w:val="CharacterBold"/>
              </w:rPr>
              <w:t xml:space="preserve">Scope </w:t>
            </w:r>
            <w:r w:rsidR="002E47A4">
              <w:rPr>
                <w:rStyle w:val="CharacterBold"/>
              </w:rPr>
              <w:t>M</w:t>
            </w:r>
            <w:r w:rsidRPr="009237B3">
              <w:rPr>
                <w:rStyle w:val="CharacterBold"/>
              </w:rPr>
              <w:t>anagement</w:t>
            </w:r>
            <w:r w:rsidR="009237B3" w:rsidRPr="009237B3">
              <w:rPr>
                <w:rStyle w:val="CharacterBold"/>
              </w:rPr>
              <w:t>.</w:t>
            </w:r>
            <w:r w:rsidR="00752DAE">
              <w:t xml:space="preserve"> </w:t>
            </w:r>
            <w:r w:rsidR="00752DAE" w:rsidRPr="00DD7489">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6F8888BF" w14:textId="038E30D1"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9237B3">
              <w:rPr>
                <w:rStyle w:val="CharacterBold"/>
              </w:rPr>
              <w:t xml:space="preserve">Time </w:t>
            </w:r>
            <w:r w:rsidR="002E47A4">
              <w:rPr>
                <w:rStyle w:val="CharacterBold"/>
              </w:rPr>
              <w:t>M</w:t>
            </w:r>
            <w:r w:rsidRPr="009237B3">
              <w:rPr>
                <w:rStyle w:val="CharacterBold"/>
              </w:rPr>
              <w:t>anagement</w:t>
            </w:r>
            <w:r w:rsidR="009237B3" w:rsidRPr="009237B3">
              <w:rPr>
                <w:rStyle w:val="CharacterBold"/>
              </w:rPr>
              <w:t>.</w:t>
            </w:r>
            <w:r w:rsidR="009237B3" w:rsidRPr="00A54353">
              <w:rPr>
                <w:rStyle w:val="CharacterBold"/>
              </w:rPr>
              <w:t xml:space="preserve"> </w:t>
            </w:r>
            <w:r w:rsidR="00B7056C" w:rsidRPr="00DD7489">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t>.</w:t>
            </w:r>
          </w:p>
          <w:p w14:paraId="6C5D63AB" w14:textId="5C32B76E"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DD7489">
              <w:t>ER&amp;R workloads are affected by</w:t>
            </w:r>
            <w:r w:rsidRPr="00242F02">
              <w:rPr>
                <w:rStyle w:val="CharacterBold"/>
                <w:b w:val="0"/>
                <w:bCs/>
              </w:rPr>
              <w:t xml:space="preserve"> </w:t>
            </w:r>
            <w:r w:rsidRPr="009A2A60">
              <w:rPr>
                <w:rStyle w:val="CharacterBold"/>
              </w:rPr>
              <w:t>seasonal peaks, dispute spikes, and time-sensitive processing cycles</w:t>
            </w:r>
            <w:r w:rsidRPr="00242F02">
              <w:rPr>
                <w:rStyle w:val="CharacterBold"/>
                <w:b w:val="0"/>
                <w:bCs/>
              </w:rPr>
              <w:t xml:space="preserve">. </w:t>
            </w:r>
            <w:r w:rsidRPr="00DD7489">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5BD89806" w14:textId="6FD02FAB"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6"/>
            <w:r w:rsidRPr="00455B46">
              <w:rPr>
                <w:rStyle w:val="CharacterBold"/>
              </w:rPr>
              <w:t>Key Milestones and Target Dates.</w:t>
            </w:r>
            <w:r w:rsidRPr="00A54353">
              <w:rPr>
                <w:rStyle w:val="CharacterBold"/>
              </w:rPr>
              <w:t xml:space="preserve"> </w:t>
            </w:r>
            <w:r w:rsidRPr="00A54353">
              <w:rPr>
                <w:rStyle w:val="CharacterBold"/>
                <w:b w:val="0"/>
                <w:bCs/>
              </w:rPr>
              <w:t>XXX</w:t>
            </w:r>
            <w:commentRangeEnd w:id="96"/>
            <w:r w:rsidR="009E3168">
              <w:rPr>
                <w:rStyle w:val="CommentReference"/>
                <w:bCs/>
                <w:sz w:val="20"/>
                <w:szCs w:val="22"/>
              </w:rPr>
              <w:commentReference w:id="96"/>
            </w:r>
            <w:r w:rsidR="009E3168">
              <w:rPr>
                <w:rStyle w:val="CharacterBold"/>
                <w:b w:val="0"/>
                <w:bCs/>
              </w:rPr>
              <w:t xml:space="preserve"> </w:t>
            </w:r>
          </w:p>
          <w:p w14:paraId="7E9C7443" w14:textId="08B91EDC"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pPr>
            <w:r>
              <w:rPr>
                <w:rStyle w:val="CharacterBold"/>
              </w:rPr>
              <w:t>I</w:t>
            </w:r>
            <w:r w:rsidRPr="00280008">
              <w:rPr>
                <w:rStyle w:val="CharacterBold"/>
              </w:rPr>
              <w:t xml:space="preserve">nformation Security and Privacy </w:t>
            </w:r>
            <w:r>
              <w:rPr>
                <w:rStyle w:val="CharacterBold"/>
              </w:rPr>
              <w:t>M</w:t>
            </w:r>
            <w:r w:rsidRPr="00280008">
              <w:rPr>
                <w:rStyle w:val="CharacterBold"/>
              </w:rPr>
              <w:t>anagement</w:t>
            </w:r>
            <w:r>
              <w:rPr>
                <w:rStyle w:val="CharacterBold"/>
              </w:rPr>
              <w:t xml:space="preserve">. </w:t>
            </w:r>
            <w:r w:rsidR="00546BBA" w:rsidRPr="00DD7489">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t xml:space="preserve"> </w:t>
            </w:r>
            <w:r w:rsidR="00546BBA" w:rsidRPr="00257D77">
              <w:rPr>
                <w:rStyle w:val="CharacterBold"/>
              </w:rPr>
              <w:t>Data encryption</w:t>
            </w:r>
            <w:r w:rsidR="00546BBA" w:rsidRPr="00DD7489">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w:t>
            </w:r>
            <w:r w:rsidR="00546BBA" w:rsidRPr="00DD7489">
              <w:lastRenderedPageBreak/>
              <w:t>and PHI can benefit from a multi-layered encryption approach that combines AES-256 for data protection and RSA encryption for secure key management. Furthermore, Transport Layer Security (TLS), Virtual Private Networks (VPNs), and Internet Protocol Security (IPSec) protocols should be employed for secure communications across network components</w:t>
            </w:r>
            <w:r w:rsidR="00015AF2" w:rsidRPr="00DD7489">
              <w:t>.</w:t>
            </w:r>
            <w:r w:rsidR="00C83BB4" w:rsidRPr="00DD7489">
              <w:t xml:space="preserve"> </w:t>
            </w:r>
            <w:r w:rsidR="00546BBA" w:rsidRPr="00257D77">
              <w:rPr>
                <w:rStyle w:val="CharacterBold"/>
              </w:rPr>
              <w:t>User authentication and access controls</w:t>
            </w:r>
            <w:r w:rsidR="00546BBA" w:rsidRPr="00546BBA">
              <w:rPr>
                <w:rStyle w:val="CharacterBold"/>
                <w:b w:val="0"/>
                <w:bCs/>
              </w:rPr>
              <w:t xml:space="preserve"> </w:t>
            </w:r>
            <w:r w:rsidR="00546BBA" w:rsidRPr="00DD7489">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rPr>
              <w:t>Routine security audits and vulnerability assessments</w:t>
            </w:r>
            <w:r w:rsidR="00546BBA" w:rsidRPr="00546BBA">
              <w:rPr>
                <w:rStyle w:val="CharacterBold"/>
                <w:b w:val="0"/>
                <w:bCs/>
              </w:rPr>
              <w:t xml:space="preserve"> </w:t>
            </w:r>
            <w:r w:rsidR="00546BBA" w:rsidRPr="00DD7489">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rPr>
              <w:t xml:space="preserve"> </w:t>
            </w:r>
            <w:r w:rsidR="00546BBA" w:rsidRPr="00257D77">
              <w:rPr>
                <w:rStyle w:val="CharacterBold"/>
              </w:rPr>
              <w:t>physical safeguards</w:t>
            </w:r>
            <w:r w:rsidR="00546BBA" w:rsidRPr="00546BBA">
              <w:rPr>
                <w:rStyle w:val="CharacterBold"/>
                <w:b w:val="0"/>
                <w:bCs/>
              </w:rPr>
              <w:t xml:space="preserve"> </w:t>
            </w:r>
            <w:r w:rsidR="00546BBA" w:rsidRPr="00DD7489">
              <w:t xml:space="preserve">should secure facilities housing data from environmental hazards and unauthorized intrusion. By integrating these stringent controls, </w:t>
            </w:r>
            <w:r w:rsidR="00C83BB4" w:rsidRPr="00DD7489">
              <w:t>we</w:t>
            </w:r>
            <w:r w:rsidR="00546BBA" w:rsidRPr="00DD7489">
              <w:t xml:space="preserve"> can effectively safeguard sensitive data while adhering to CMS security guidelines and other regulatory requirements.</w:t>
            </w:r>
          </w:p>
          <w:p w14:paraId="5BDEDDA8" w14:textId="6802F890"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E47A4">
              <w:rPr>
                <w:rStyle w:val="CharacterBold"/>
              </w:rPr>
              <w:t>Subcontract</w:t>
            </w:r>
            <w:r w:rsidR="002E47A4" w:rsidRPr="002E47A4">
              <w:rPr>
                <w:rStyle w:val="CharacterBold"/>
              </w:rPr>
              <w:t>or Management.</w:t>
            </w:r>
            <w:r w:rsidR="002E47A4" w:rsidRPr="00A54353">
              <w:rPr>
                <w:rStyle w:val="CharacterBold"/>
              </w:rPr>
              <w:t xml:space="preserve"> </w:t>
            </w:r>
            <w:r w:rsidR="00E767F3" w:rsidRPr="00E767F3">
              <w:rPr>
                <w:rStyle w:val="CharacterBold"/>
                <w:b w:val="0"/>
                <w:bCs/>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rPr>
              <w:t xml:space="preserve"> </w:t>
            </w:r>
            <w:r w:rsidR="00636861">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t>.</w:t>
            </w:r>
            <w:r w:rsidR="00A41A48">
              <w:t xml:space="preserve"> Should performance gaps arise, Deloitte implements a proactive mitigation process, requiring subcontractors to develop a Remedy Action Plan that proposes corrective measures to address identified challenges.</w:t>
            </w:r>
          </w:p>
          <w:p w14:paraId="5088C8B7" w14:textId="169909DD"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7"/>
            <w:r w:rsidRPr="00A54353">
              <w:rPr>
                <w:rStyle w:val="CharacterBold"/>
              </w:rPr>
              <w:t xml:space="preserve">Organizational Chart.  </w:t>
            </w:r>
            <w:r w:rsidRPr="00A54353">
              <w:rPr>
                <w:rStyle w:val="CharacterBold"/>
                <w:b w:val="0"/>
                <w:bCs/>
              </w:rPr>
              <w:t>X</w:t>
            </w:r>
            <w:commentRangeEnd w:id="97"/>
            <w:r w:rsidR="00DF1400" w:rsidRPr="00A54353">
              <w:rPr>
                <w:rStyle w:val="CommentReference"/>
                <w:b/>
                <w:sz w:val="20"/>
                <w:szCs w:val="22"/>
              </w:rPr>
              <w:commentReference w:id="97"/>
            </w:r>
          </w:p>
        </w:tc>
      </w:tr>
      <w:tr w:rsidR="0081163E" w14:paraId="3DDF38D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0B5E246" w14:textId="1B38943B" w:rsidR="0081163E" w:rsidRDefault="009527C9">
            <w:pPr>
              <w:pStyle w:val="TableRowHeading"/>
            </w:pPr>
            <w:r w:rsidRPr="009527C9">
              <w:lastRenderedPageBreak/>
              <w:t>Financial Planning and Management</w:t>
            </w:r>
          </w:p>
        </w:tc>
        <w:tc>
          <w:tcPr>
            <w:tcW w:w="4233" w:type="pct"/>
          </w:tcPr>
          <w:p w14:paraId="3CB66F79" w14:textId="14609D45"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Cost </w:t>
            </w:r>
            <w:r w:rsidR="002E47A4">
              <w:rPr>
                <w:rStyle w:val="CharacterBold"/>
              </w:rPr>
              <w:t>M</w:t>
            </w:r>
            <w:r w:rsidRPr="009237B3">
              <w:rPr>
                <w:rStyle w:val="CharacterBold"/>
              </w:rPr>
              <w:t>anagement</w:t>
            </w:r>
            <w:r w:rsidR="009237B3" w:rsidRPr="009237B3">
              <w:rPr>
                <w:rStyle w:val="CharacterBold"/>
              </w:rPr>
              <w:t>.</w:t>
            </w:r>
            <w:r w:rsidR="009237B3">
              <w:t xml:space="preserve"> </w:t>
            </w:r>
            <w:r w:rsidR="00984E86" w:rsidRPr="00984E86">
              <w:t xml:space="preserve">We will closely manage costs and integrate efficiencies into our work to drive the highest possible return on CMS’ investment. Internally, our </w:t>
            </w:r>
            <w:r w:rsidR="00995A07" w:rsidRPr="00995A07">
              <w:rPr>
                <w:highlight w:val="yellow"/>
              </w:rPr>
              <w:t>XX Lead</w:t>
            </w:r>
            <w:r w:rsidR="00984E86" w:rsidRPr="00984E86">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spend, especially as it relates to </w:t>
            </w:r>
            <w:r w:rsidR="00540B46">
              <w:t>surge and peak-period readiness</w:t>
            </w:r>
            <w:r w:rsidR="00984E86" w:rsidRPr="00984E86">
              <w:t xml:space="preserve">. We will build on our experience creating tailored financial reports including </w:t>
            </w:r>
            <w:r w:rsidR="0069297A" w:rsidRPr="0069297A">
              <w:rPr>
                <w:highlight w:val="yellow"/>
              </w:rPr>
              <w:t>XX example</w:t>
            </w:r>
            <w:r w:rsidR="00984E86" w:rsidRPr="0069297A">
              <w:rPr>
                <w:highlight w:val="yellow"/>
              </w:rPr>
              <w:t>.</w:t>
            </w:r>
          </w:p>
        </w:tc>
      </w:tr>
      <w:tr w:rsidR="0081163E" w14:paraId="3CE55A2D"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37947FAD" w14:textId="3F5C2627" w:rsidR="0081163E" w:rsidRDefault="009527C9">
            <w:pPr>
              <w:pStyle w:val="TableRowHeading"/>
            </w:pPr>
            <w:r w:rsidRPr="009527C9">
              <w:t>Risk Planning and Mitigation</w:t>
            </w:r>
          </w:p>
        </w:tc>
        <w:tc>
          <w:tcPr>
            <w:tcW w:w="4233" w:type="pct"/>
          </w:tcPr>
          <w:p w14:paraId="01CC8D41"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pPr>
            <w:r w:rsidRPr="00DD7489">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56F2D515" w14:textId="372EDA40"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pPr>
            <w:commentRangeStart w:id="98"/>
            <w:r>
              <w:rPr>
                <w:b/>
                <w:bCs/>
              </w:rPr>
              <w:t>Example Risk and Mitigation Strategy:</w:t>
            </w:r>
            <w:commentRangeEnd w:id="98"/>
            <w:r w:rsidR="00306A9C" w:rsidRPr="007A6221">
              <w:rPr>
                <w:rStyle w:val="CommentReference"/>
                <w:b/>
                <w:bCs/>
                <w:sz w:val="20"/>
                <w:szCs w:val="22"/>
              </w:rPr>
              <w:commentReference w:id="98"/>
            </w:r>
          </w:p>
        </w:tc>
      </w:tr>
      <w:tr w:rsidR="0081163E" w14:paraId="47E38CE9"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45C13821" w14:textId="0E456D2E" w:rsidR="0081163E" w:rsidRDefault="009527C9">
            <w:pPr>
              <w:pStyle w:val="TableRowHeading"/>
            </w:pPr>
            <w:r w:rsidRPr="009527C9">
              <w:t>Issue Resolution</w:t>
            </w:r>
          </w:p>
        </w:tc>
        <w:tc>
          <w:tcPr>
            <w:tcW w:w="4233" w:type="pct"/>
          </w:tcPr>
          <w:p w14:paraId="20932447" w14:textId="2C917592"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pPr>
            <w:r>
              <w:t>T</w:t>
            </w:r>
            <w:r w:rsidRPr="000817B9">
              <w:t xml:space="preserve">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w:t>
            </w:r>
            <w:r w:rsidRPr="000817B9">
              <w:lastRenderedPageBreak/>
              <w:t>PIOP, we will ensure that issue resolution is disciplined, visible, and directly connected to the broader oversight model rather than being handled informally.</w:t>
            </w:r>
          </w:p>
        </w:tc>
      </w:tr>
      <w:tr w:rsidR="009527C9" w14:paraId="74EC9D87"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5839DA3" w14:textId="45E595DF" w:rsidR="009527C9" w:rsidRPr="009527C9" w:rsidRDefault="009527C9">
            <w:pPr>
              <w:pStyle w:val="TableRowHeading"/>
            </w:pPr>
            <w:r w:rsidRPr="009527C9">
              <w:lastRenderedPageBreak/>
              <w:t>Communications with all stakeholders, including CMS</w:t>
            </w:r>
          </w:p>
        </w:tc>
        <w:tc>
          <w:tcPr>
            <w:tcW w:w="4233" w:type="pct"/>
          </w:tcPr>
          <w:p w14:paraId="1EB0B42D"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Communication </w:t>
            </w:r>
            <w:r w:rsidR="00744312">
              <w:rPr>
                <w:rStyle w:val="CharacterBold"/>
              </w:rPr>
              <w:t>M</w:t>
            </w:r>
            <w:r w:rsidRPr="009237B3">
              <w:rPr>
                <w:rStyle w:val="CharacterBold"/>
              </w:rPr>
              <w:t>anagement</w:t>
            </w:r>
            <w:r w:rsidR="009237B3">
              <w:t xml:space="preserve">. </w:t>
            </w:r>
            <w:r w:rsidR="006017BB">
              <w:t>Deloitte</w:t>
            </w:r>
            <w:r w:rsidR="008A7A4B" w:rsidRPr="008A7A4B">
              <w:t xml:space="preserve"> will be responsive to the many stakeholders, internal and external, crucial to this project. Our Communications Plan, part of our P</w:t>
            </w:r>
            <w:r w:rsidR="00970C2C">
              <w:t>IO</w:t>
            </w:r>
            <w:r w:rsidR="008A7A4B" w:rsidRPr="008A7A4B">
              <w:t>P, will clearly define communication channels across our team, and with stakeholders we interact with during delivery</w:t>
            </w:r>
            <w:r w:rsidR="007C7D8E">
              <w:t>.</w:t>
            </w:r>
            <w:r w:rsidR="00881FF0">
              <w:t xml:space="preserve"> </w:t>
            </w:r>
            <w:r w:rsidR="00881FF0" w:rsidRPr="00881FF0">
              <w:t>It will define the forums, cadences, reporting pathways, agendas, milestone updates, escalation channels, and 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354360FD" w14:textId="0C5D0DB5"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pPr>
            <w:r w:rsidRPr="006323A5">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0016413A" w14:textId="77777777" w:rsidR="00516B66" w:rsidRDefault="00516B66" w:rsidP="007B780B">
      <w:pPr>
        <w:pStyle w:val="ParagraphSpacer"/>
      </w:pPr>
    </w:p>
    <w:p w14:paraId="63DE4BBD" w14:textId="5E25E71F" w:rsidR="00187EDF" w:rsidRPr="00C4326E" w:rsidRDefault="00A8308B" w:rsidP="00DD7489">
      <w:pPr>
        <w:pStyle w:val="FigureTitle"/>
      </w:pPr>
      <w:r w:rsidRPr="00DD7489">
        <w:t>Figure 2.1.1-1. [Deloitte to populate: figure title and graphic].</w:t>
      </w:r>
      <w:r>
        <w:rPr>
          <w:highlight w:val="yellow"/>
        </w:rPr>
      </w:r>
      <w:r w:rsidR="00BB1407" w:rsidRPr="00187EDF">
        <w:rPr>
          <w:highlight w:val="yellow"/>
        </w:rPr>
      </w:r>
      <w:r w:rsidR="00347CF1" w:rsidRPr="00187EDF">
        <w:rPr>
          <w:highlight w:val="yellow"/>
        </w:rPr>
      </w:r>
      <w:r w:rsidR="00187EDF" w:rsidRPr="00187EDF">
        <w:rPr>
          <w:highlight w:val="yellow"/>
        </w:rPr>
      </w:r>
      <w:r w:rsidR="00DD7489"/>
    </w:p>
    <w:p w14:paraId="1426937F" w14:textId="1D882EE6"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1ADE3593" w14:textId="77777777" w:rsidR="00ED26DC" w:rsidRDefault="00ED26DC" w:rsidP="00A8308B">
      <w:pPr>
        <w:pStyle w:val="ParagraphSpacer"/>
      </w:pPr>
      <w:bookmarkStart w:id="99" w:name="_Toc150157226"/>
    </w:p>
    <w:bookmarkEnd w:id="99"/>
    <w:p w14:paraId="421AC6CF" w14:textId="4029053A" w:rsidR="00A8308B" w:rsidRPr="00DA6753" w:rsidRDefault="00A8308B" w:rsidP="00A8308B">
      <w:pPr>
        <w:pStyle w:val="TableTitle"/>
      </w:pPr>
      <w:r>
        <w:t>Table 2.1.1-2. Illustrative Milestone Measures by Task.</w:t>
      </w:r>
      <w:r w:rsidRPr="00A8308B"/>
      <w:r/>
    </w:p>
    <w:tbl>
      <w:tblPr>
        <w:tblStyle w:val="DeloitteTable2"/>
        <w:tblW w:w="5000" w:type="pct"/>
        <w:tblLook w:val="06A0" w:firstRow="1" w:lastRow="0" w:firstColumn="1" w:lastColumn="0" w:noHBand="1" w:noVBand="1"/>
      </w:tblPr>
      <w:tblGrid>
        <w:gridCol w:w="2065"/>
        <w:gridCol w:w="7285"/>
      </w:tblGrid>
      <w:tr w:rsidR="00890D0E" w14:paraId="4AE32CA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3E9DB830" w14:textId="77777777" w:rsidR="00890D0E" w:rsidRPr="009F5EDF" w:rsidRDefault="00890D0E">
            <w:pPr>
              <w:pStyle w:val="TableHeading"/>
            </w:pPr>
            <w:r w:rsidRPr="003B1BA6">
              <w:t>Task</w:t>
            </w:r>
          </w:p>
        </w:tc>
        <w:tc>
          <w:tcPr>
            <w:tcW w:w="7285" w:type="dxa"/>
          </w:tcPr>
          <w:p w14:paraId="43AFD09F"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pPr>
            <w:r w:rsidRPr="00D524F5">
              <w:t>Illustrative Measures</w:t>
            </w:r>
          </w:p>
        </w:tc>
      </w:tr>
      <w:tr w:rsidR="00890D0E" w14:paraId="47E46E08" w14:textId="77777777">
        <w:tc>
          <w:tcPr>
            <w:cnfStyle w:val="001000000000" w:firstRow="0" w:lastRow="0" w:firstColumn="1" w:lastColumn="0" w:oddVBand="0" w:evenVBand="0" w:oddHBand="0" w:evenHBand="0" w:firstRowFirstColumn="0" w:firstRowLastColumn="0" w:lastRowFirstColumn="0" w:lastRowLastColumn="0"/>
            <w:tcW w:w="2065" w:type="dxa"/>
          </w:tcPr>
          <w:p w14:paraId="08356BD9" w14:textId="77777777" w:rsidR="00890D0E" w:rsidRDefault="00890D0E">
            <w:pPr>
              <w:pStyle w:val="TableRowHeading"/>
            </w:pPr>
            <w:r w:rsidRPr="00A112B6">
              <w:t>Task 1:</w:t>
            </w:r>
            <w:r w:rsidRPr="00521071">
              <w:t xml:space="preserve"> National Learning Approach</w:t>
            </w:r>
          </w:p>
        </w:tc>
        <w:tc>
          <w:tcPr>
            <w:tcW w:w="7285" w:type="dxa"/>
          </w:tcPr>
          <w:p w14:paraId="04772181"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Connect download rates of materials supporting care delivery requirements</w:t>
            </w:r>
          </w:p>
          <w:p w14:paraId="694CF1C8"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 of participants engaging in peer-to-peer learning events and other webinars</w:t>
            </w:r>
          </w:p>
        </w:tc>
      </w:tr>
      <w:tr w:rsidR="00890D0E" w14:paraId="517593F7" w14:textId="77777777">
        <w:tc>
          <w:tcPr>
            <w:cnfStyle w:val="001000000000" w:firstRow="0" w:lastRow="0" w:firstColumn="1" w:lastColumn="0" w:oddVBand="0" w:evenVBand="0" w:oddHBand="0" w:evenHBand="0" w:firstRowFirstColumn="0" w:firstRowLastColumn="0" w:lastRowFirstColumn="0" w:lastRowLastColumn="0"/>
            <w:tcW w:w="2065" w:type="dxa"/>
          </w:tcPr>
          <w:p w14:paraId="215E03B9" w14:textId="77777777" w:rsidR="00890D0E" w:rsidRDefault="00890D0E">
            <w:pPr>
              <w:pStyle w:val="TableRowHeading"/>
            </w:pPr>
            <w:r w:rsidRPr="00A112B6">
              <w:t>Task 2:</w:t>
            </w:r>
            <w:r w:rsidRPr="00CA59E2">
              <w:t xml:space="preserve"> Accelerate Multi Payer Alignment</w:t>
            </w:r>
          </w:p>
        </w:tc>
        <w:tc>
          <w:tcPr>
            <w:tcW w:w="7285" w:type="dxa"/>
          </w:tcPr>
          <w:p w14:paraId="2EC1896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Meeting agendas regularly</w:t>
            </w:r>
            <w:r w:rsidRPr="007743D5">
              <w:t xml:space="preserve"> include alignment discussion and priority items</w:t>
            </w:r>
          </w:p>
          <w:p w14:paraId="51C0186B"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Two or more payers (other than CMS) engaged for </w:t>
            </w:r>
            <w:r w:rsidRPr="007743D5">
              <w:t>each state</w:t>
            </w:r>
          </w:p>
        </w:tc>
      </w:tr>
      <w:tr w:rsidR="00890D0E" w14:paraId="5FCB2013" w14:textId="77777777">
        <w:tc>
          <w:tcPr>
            <w:cnfStyle w:val="001000000000" w:firstRow="0" w:lastRow="0" w:firstColumn="1" w:lastColumn="0" w:oddVBand="0" w:evenVBand="0" w:oddHBand="0" w:evenHBand="0" w:firstRowFirstColumn="0" w:firstRowLastColumn="0" w:lastRowFirstColumn="0" w:lastRowLastColumn="0"/>
            <w:tcW w:w="2065" w:type="dxa"/>
          </w:tcPr>
          <w:p w14:paraId="26BA556E" w14:textId="77777777" w:rsidR="00890D0E" w:rsidRDefault="00890D0E">
            <w:pPr>
              <w:pStyle w:val="TableRowHeading"/>
            </w:pPr>
            <w:r w:rsidRPr="00A112B6">
              <w:t>Task 3:</w:t>
            </w:r>
            <w:r w:rsidRPr="00816C7D">
              <w:t xml:space="preserve"> State-level Stakeholder Convenings </w:t>
            </w:r>
          </w:p>
        </w:tc>
        <w:tc>
          <w:tcPr>
            <w:tcW w:w="7285" w:type="dxa"/>
          </w:tcPr>
          <w:p w14:paraId="556C299D"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Meeting agendas regularly </w:t>
            </w:r>
            <w:r w:rsidRPr="007743D5">
              <w:t>include discussion of the agreed upon priority health outcomes</w:t>
            </w:r>
          </w:p>
          <w:p w14:paraId="31853EE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Participants agree upon mea</w:t>
            </w:r>
            <w:r w:rsidRPr="007743D5">
              <w:t>sures used to report out on progress towards priority health outcomes</w:t>
            </w:r>
          </w:p>
        </w:tc>
      </w:tr>
      <w:tr w:rsidR="00890D0E" w14:paraId="61730CD4" w14:textId="77777777">
        <w:tc>
          <w:tcPr>
            <w:cnfStyle w:val="001000000000" w:firstRow="0" w:lastRow="0" w:firstColumn="1" w:lastColumn="0" w:oddVBand="0" w:evenVBand="0" w:oddHBand="0" w:evenHBand="0" w:firstRowFirstColumn="0" w:firstRowLastColumn="0" w:lastRowFirstColumn="0" w:lastRowLastColumn="0"/>
            <w:tcW w:w="2065" w:type="dxa"/>
          </w:tcPr>
          <w:p w14:paraId="0E9A51EC" w14:textId="77777777" w:rsidR="00890D0E" w:rsidRDefault="00890D0E">
            <w:pPr>
              <w:pStyle w:val="TableRowHeading"/>
            </w:pPr>
            <w:r w:rsidRPr="00A112B6">
              <w:t>Task 4:</w:t>
            </w:r>
            <w:r w:rsidRPr="009A369A">
              <w:t xml:space="preserve"> Dissemination and Diffusion of Learning to Participants</w:t>
            </w:r>
          </w:p>
        </w:tc>
        <w:tc>
          <w:tcPr>
            <w:tcW w:w="7285" w:type="dxa"/>
          </w:tcPr>
          <w:p w14:paraId="5145761E"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shared learnings diss</w:t>
            </w:r>
            <w:r w:rsidRPr="007743D5">
              <w:t>eminated</w:t>
            </w:r>
          </w:p>
          <w:p w14:paraId="70D13D4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Download/</w:t>
            </w:r>
            <w:r w:rsidRPr="007743D5">
              <w:t>view rates of webinars, podcasts, guides, etc.</w:t>
            </w:r>
          </w:p>
          <w:p w14:paraId="2627D715"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states engaged</w:t>
            </w:r>
            <w:r w:rsidRPr="007743D5">
              <w:t xml:space="preserve"> in dissemination activities</w:t>
            </w:r>
          </w:p>
        </w:tc>
      </w:tr>
      <w:tr w:rsidR="00890D0E" w14:paraId="139A1583" w14:textId="77777777">
        <w:tc>
          <w:tcPr>
            <w:cnfStyle w:val="001000000000" w:firstRow="0" w:lastRow="0" w:firstColumn="1" w:lastColumn="0" w:oddVBand="0" w:evenVBand="0" w:oddHBand="0" w:evenHBand="0" w:firstRowFirstColumn="0" w:firstRowLastColumn="0" w:lastRowFirstColumn="0" w:lastRowLastColumn="0"/>
            <w:tcW w:w="2065" w:type="dxa"/>
          </w:tcPr>
          <w:p w14:paraId="15C016CE" w14:textId="77777777" w:rsidR="00890D0E" w:rsidRPr="009A369A" w:rsidRDefault="00890D0E">
            <w:pPr>
              <w:pStyle w:val="TableRowHeading"/>
            </w:pPr>
            <w:r w:rsidRPr="00A112B6">
              <w:t>Task 5:</w:t>
            </w:r>
            <w:r w:rsidRPr="00B517B7">
              <w:t xml:space="preserve"> Participant Coaching and facilitation</w:t>
            </w:r>
          </w:p>
        </w:tc>
        <w:tc>
          <w:tcPr>
            <w:tcW w:w="7285" w:type="dxa"/>
          </w:tcPr>
          <w:p w14:paraId="0537A4F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 of </w:t>
            </w:r>
            <w:r w:rsidRPr="007743D5">
              <w:t>participants assessed for coaching needs</w:t>
            </w:r>
          </w:p>
          <w:p w14:paraId="42C17B0A"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local coaches/ facilit</w:t>
            </w:r>
            <w:r w:rsidRPr="007743D5">
              <w:t>ators available in each state</w:t>
            </w:r>
          </w:p>
        </w:tc>
      </w:tr>
      <w:tr w:rsidR="00890D0E" w14:paraId="3F704AB0" w14:textId="77777777">
        <w:tc>
          <w:tcPr>
            <w:cnfStyle w:val="001000000000" w:firstRow="0" w:lastRow="0" w:firstColumn="1" w:lastColumn="0" w:oddVBand="0" w:evenVBand="0" w:oddHBand="0" w:evenHBand="0" w:firstRowFirstColumn="0" w:firstRowLastColumn="0" w:lastRowFirstColumn="0" w:lastRowLastColumn="0"/>
            <w:tcW w:w="2065" w:type="dxa"/>
          </w:tcPr>
          <w:p w14:paraId="19380521" w14:textId="77777777" w:rsidR="00890D0E" w:rsidRPr="009A369A" w:rsidRDefault="00890D0E">
            <w:pPr>
              <w:pStyle w:val="TableRowHeading"/>
            </w:pPr>
            <w:r w:rsidRPr="00A112B6">
              <w:t>Task 6:</w:t>
            </w:r>
            <w:r w:rsidRPr="00B47159">
              <w:t xml:space="preserve"> </w:t>
            </w:r>
            <w:r>
              <w:t>Performance Requirements</w:t>
            </w:r>
          </w:p>
        </w:tc>
        <w:tc>
          <w:tcPr>
            <w:tcW w:w="7285" w:type="dxa"/>
          </w:tcPr>
          <w:p w14:paraId="152981DB"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pPr>
            <w:r w:rsidRPr="00112857">
              <w:t>On time submission rate of report</w:t>
            </w:r>
            <w:r w:rsidRPr="008F2381">
              <w:t>s</w:t>
            </w:r>
          </w:p>
          <w:p w14:paraId="7467713E"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Consiste</w:t>
            </w:r>
            <w:r w:rsidRPr="008F2381">
              <w:t>nt meeting schedule with CMS</w:t>
            </w:r>
          </w:p>
        </w:tc>
      </w:tr>
    </w:tbl>
    <w:p w14:paraId="021F6A94" w14:textId="77777777" w:rsidR="00890D0E" w:rsidRPr="00C4326E" w:rsidRDefault="00890D0E" w:rsidP="00ED26DC">
      <w:pPr>
        <w:pStyle w:val="ParagraphSpacer"/>
      </w:pPr>
    </w:p>
    <w:p w14:paraId="0B23DBC4" w14:textId="24611B0D" w:rsidR="000B59AA" w:rsidRDefault="00BC43A6" w:rsidP="00BC43A6">
      <w:pPr>
        <w:pStyle w:val="Heading3"/>
      </w:pPr>
      <w:bookmarkStart w:id="100" w:name="_Toc227883190"/>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00"/>
    </w:p>
    <w:p w14:paraId="1BE30B08" w14:textId="77777777" w:rsidR="00DC167C" w:rsidRPr="00ED26DC" w:rsidRDefault="001F629B" w:rsidP="00DC167C">
      <w:pPr>
        <w:pStyle w:val="BodyText"/>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457D8801" w14:textId="7DE94605" w:rsidR="00BC43A6" w:rsidRPr="005B1A72" w:rsidRDefault="167ACF0F" w:rsidP="00BC43A6">
      <w:pPr>
        <w:pStyle w:val="BodyText"/>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disruptions and maintain operational excellence. This plan will focus on documentation, knowledge transfer, and alignment of operational priorities, ensuring the continuity of services and adherence to CMS objectives.</w:t>
      </w:r>
    </w:p>
    <w:p w14:paraId="7BD76EB8" w14:textId="6AEE2CC7" w:rsidR="00BC43A6" w:rsidRPr="00ED26DC" w:rsidRDefault="008F6218" w:rsidP="67059926">
      <w:pPr>
        <w:pStyle w:val="BodyText"/>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w:t>
      </w:r>
      <w:r w:rsidR="00862E73" w:rsidRPr="00862E73">
        <w:lastRenderedPageBreak/>
        <w:t>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maintain POA&amp;M discipline, and enforce security readiness gates so that access changes, cutovers, and final turnover occur in a controlled, compliant, and low-risk manner.</w:t>
      </w:r>
    </w:p>
    <w:p w14:paraId="12BF84C7" w14:textId="5A0A3E41" w:rsidR="00BC43A6" w:rsidRPr="00BC43A6" w:rsidRDefault="001F629B" w:rsidP="00BC43A6">
      <w:pPr>
        <w:pStyle w:val="BodyText"/>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64B12F44" w14:textId="5F55479D" w:rsidR="001677A6" w:rsidRPr="00BC43A6" w:rsidRDefault="001677A6" w:rsidP="001677A6">
      <w:pPr>
        <w:pStyle w:val="BodyText"/>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7C6F410E" w14:textId="77777777" w:rsidR="001677A6" w:rsidRPr="00BC43A6" w:rsidRDefault="001677A6" w:rsidP="001677A6">
      <w:pPr>
        <w:pStyle w:val="BodyText"/>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611343C2" w14:textId="5C5A9F5A" w:rsidR="000B59AA" w:rsidRDefault="00BC43A6" w:rsidP="00BC43A6">
      <w:pPr>
        <w:pStyle w:val="Heading3"/>
      </w:pPr>
      <w:bookmarkStart w:id="101" w:name="_Toc227883191"/>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01"/>
    </w:p>
    <w:p w14:paraId="69E2EEB0" w14:textId="1712B340" w:rsidR="00020E14" w:rsidRDefault="00D90655" w:rsidP="00DA6753">
      <w:pPr>
        <w:pStyle w:val="BodyTextBulletIntr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54D0380" w14:textId="77777777" w:rsidR="00B07DCB" w:rsidRPr="00B07DCB" w:rsidRDefault="00B07DCB" w:rsidP="00DA6753">
      <w:pPr>
        <w:pStyle w:val="Bulletlevel1"/>
      </w:pPr>
      <w:r w:rsidRPr="00DA6753">
        <w:rPr>
          <w:rStyle w:val="CharacterBold"/>
        </w:rPr>
        <w:t>Governance and Agreement:</w:t>
      </w:r>
      <w:r w:rsidRPr="00B07DCB">
        <w:rPr>
          <w:rFonts w:eastAsia="Open Sans" w:cs="Open Sans"/>
          <w:b/>
          <w:color w:val="1D1D1B"/>
          <w:szCs w:val="24"/>
        </w:rPr>
        <w:t xml:space="preserve"> </w:t>
      </w:r>
      <w:r w:rsidRPr="00B07DCB">
        <w:rPr>
          <w:rFonts w:eastAsia="Open Sans" w:cs="Open Sans"/>
          <w:color w:val="1D1D1B"/>
          <w:szCs w:val="24"/>
        </w:rPr>
        <w:t>Timely execution of the Joint Operating Agreement (JOA) within 7 calendar days, supported by disciplined transition governance, RAID management, and a decision log aligned to the Task 1 Project Implementation and Oversight Plan (PIOP).</w:t>
      </w:r>
    </w:p>
    <w:p w14:paraId="268C349F" w14:textId="2ECE1773" w:rsidR="00B07DCB" w:rsidRPr="00B07DCB" w:rsidRDefault="00B07DCB" w:rsidP="00DA6753">
      <w:pPr>
        <w:pStyle w:val="Bulletlevel1"/>
      </w:pPr>
      <w:r w:rsidRPr="00DA6753">
        <w:rPr>
          <w:rStyle w:val="CharacterBold"/>
        </w:rPr>
        <w:t>Integrated Planning:</w:t>
      </w:r>
      <w:r w:rsidRPr="00B07DCB">
        <w:rPr>
          <w:rFonts w:eastAsia="Open Sans" w:cs="Open Sans"/>
          <w:b/>
          <w:color w:val="1D1D1B"/>
          <w:szCs w:val="24"/>
        </w:rPr>
        <w:t xml:space="preserve"> </w:t>
      </w:r>
      <w:r w:rsidRPr="00B07DCB">
        <w:rPr>
          <w:rFonts w:eastAsia="Open Sans" w:cs="Open Sans"/>
          <w:color w:val="1D1D1B"/>
          <w:szCs w:val="24"/>
        </w:rPr>
        <w:t xml:space="preserve">Rapid development of an initial Transition Management Plan </w:t>
      </w:r>
      <w:r w:rsidR="00FC057F">
        <w:rPr>
          <w:rFonts w:eastAsia="Open Sans" w:cs="Open Sans"/>
          <w:color w:val="1D1D1B"/>
          <w:szCs w:val="24"/>
        </w:rPr>
        <w:t>–</w:t>
      </w:r>
      <w:r w:rsidRPr="00B07DCB">
        <w:rPr>
          <w:rFonts w:eastAsia="Open Sans" w:cs="Open Sans"/>
          <w:color w:val="1D1D1B"/>
          <w:szCs w:val="24"/>
        </w:rPr>
        <w:t xml:space="preserve"> delivered within 8 business days </w:t>
      </w:r>
      <w:r w:rsidR="00FC057F">
        <w:rPr>
          <w:rFonts w:eastAsia="Open Sans" w:cs="Open Sans"/>
          <w:color w:val="1D1D1B"/>
          <w:szCs w:val="24"/>
        </w:rPr>
        <w:t>–</w:t>
      </w:r>
      <w:r w:rsidRPr="00B07DCB">
        <w:rPr>
          <w:rFonts w:eastAsia="Open Sans" w:cs="Open Sans"/>
          <w:color w:val="1D1D1B"/>
          <w:szCs w:val="24"/>
        </w:rPr>
        <w:t xml:space="preserve"> that integrates with the PIOP and reflects a realistic critical path with COR-aligned milestones.</w:t>
      </w:r>
    </w:p>
    <w:p w14:paraId="6BCB799F" w14:textId="4F8781DA" w:rsidR="00B07DCB" w:rsidRPr="00B07DCB" w:rsidRDefault="00B07DCB" w:rsidP="00DA6753">
      <w:pPr>
        <w:pStyle w:val="Bulletlevel1"/>
      </w:pPr>
      <w:r w:rsidRPr="00DA6753">
        <w:rPr>
          <w:rStyle w:val="CharacterBold"/>
        </w:rPr>
        <w:t>Comprehensive Discovery:</w:t>
      </w:r>
      <w:r w:rsidRPr="00B07DCB">
        <w:rPr>
          <w:rFonts w:eastAsia="Open Sans" w:cs="Open Sans"/>
          <w:b/>
          <w:color w:val="1D1D1B"/>
          <w:szCs w:val="24"/>
        </w:rPr>
        <w:t xml:space="preserve"> </w:t>
      </w:r>
      <w:r w:rsidRPr="00B07DCB">
        <w:rPr>
          <w:rFonts w:eastAsia="Open Sans" w:cs="Open Sans"/>
          <w:color w:val="1D1D1B"/>
          <w:szCs w:val="24"/>
        </w:rPr>
        <w:t xml:space="preserve">Establishment of a clear baseline of the current environment </w:t>
      </w:r>
      <w:r w:rsidR="00FC057F">
        <w:rPr>
          <w:rFonts w:eastAsia="Open Sans" w:cs="Open Sans"/>
          <w:color w:val="1D1D1B"/>
          <w:szCs w:val="24"/>
        </w:rPr>
        <w:t>–</w:t>
      </w:r>
      <w:r w:rsidRPr="00B07DCB">
        <w:rPr>
          <w:rFonts w:eastAsia="Open Sans" w:cs="Open Sans"/>
          <w:color w:val="1D1D1B"/>
          <w:szCs w:val="24"/>
        </w:rPr>
        <w:t xml:space="preserve"> covering systems, interfaces, data (including PII), in-flight activities, licenses, warranties, SOPs, and </w:t>
      </w:r>
      <w:r w:rsidRPr="00B07DCB">
        <w:rPr>
          <w:rFonts w:eastAsia="Open Sans" w:cs="Open Sans"/>
          <w:color w:val="1D1D1B"/>
          <w:szCs w:val="24"/>
        </w:rPr>
        <w:lastRenderedPageBreak/>
        <w:t xml:space="preserve">security/ATO status </w:t>
      </w:r>
      <w:r w:rsidR="007513DF">
        <w:rPr>
          <w:rFonts w:eastAsia="Open Sans" w:cs="Open Sans"/>
          <w:color w:val="1D1D1B"/>
          <w:szCs w:val="24"/>
        </w:rPr>
        <w:t>–</w:t>
      </w:r>
      <w:r w:rsidRPr="00B07DCB">
        <w:rPr>
          <w:rFonts w:eastAsia="Open Sans" w:cs="Open Sans"/>
          <w:color w:val="1D1D1B"/>
          <w:szCs w:val="24"/>
        </w:rPr>
        <w:t xml:space="preserve"> so that responsibilities can be transferred with full operational, technical, and compliance visibility.</w:t>
      </w:r>
    </w:p>
    <w:p w14:paraId="0F0A33EE" w14:textId="58450DFF" w:rsidR="00B07DCB" w:rsidRPr="00B07DCB" w:rsidRDefault="00B07DCB" w:rsidP="00DA6753">
      <w:pPr>
        <w:pStyle w:val="Bulletlevel1"/>
      </w:pPr>
      <w:r w:rsidRPr="00DA6753">
        <w:rPr>
          <w:rStyle w:val="CharacterBold"/>
        </w:rPr>
        <w:t>Phased Operational Handoff:</w:t>
      </w:r>
      <w:r w:rsidRPr="00B07DCB">
        <w:rPr>
          <w:rFonts w:eastAsia="Open Sans" w:cs="Open Sans"/>
          <w:b/>
          <w:color w:val="1D1D1B"/>
          <w:szCs w:val="24"/>
        </w:rPr>
        <w:t xml:space="preserve"> </w:t>
      </w:r>
      <w:r w:rsidRPr="00B07DCB">
        <w:rPr>
          <w:rFonts w:eastAsia="Open Sans" w:cs="Open Sans"/>
          <w:color w:val="1D1D1B"/>
          <w:szCs w:val="24"/>
        </w:rPr>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430B418D" w14:textId="0C0643C0" w:rsidR="00A76080" w:rsidRPr="00DA6753" w:rsidRDefault="00A76080" w:rsidP="00595155">
      <w:pPr>
        <w:pStyle w:val="BodyText"/>
      </w:pPr>
      <w:r w:rsidRPr="00DA6753">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60EE00AB" w14:textId="0DB3BAA0" w:rsidR="00930A32" w:rsidRPr="00595155" w:rsidRDefault="00D90655" w:rsidP="00595155">
      <w:pPr>
        <w:pStyle w:val="BodyText"/>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64B4544D" w14:textId="40ADC9CF" w:rsidR="00DA6753" w:rsidRPr="00DA6753" w:rsidRDefault="00DA6753" w:rsidP="00DA6753">
      <w:pPr>
        <w:pStyle w:val="TableTitle"/>
      </w:pPr>
      <w:r>
        <w:t>Table 2.1.3-1. Approach Summary.</w:t>
      </w:r>
    </w:p>
    <w:tbl>
      <w:tblPr>
        <w:tblStyle w:val="DeloitteTable2"/>
        <w:tblW w:w="5000" w:type="pct"/>
        <w:tblLook w:val="06A0" w:firstRow="1" w:lastRow="0" w:firstColumn="1" w:lastColumn="0" w:noHBand="1" w:noVBand="1"/>
      </w:tblPr>
      <w:tblGrid>
        <w:gridCol w:w="2245"/>
        <w:gridCol w:w="3743"/>
        <w:gridCol w:w="3362"/>
      </w:tblGrid>
      <w:tr w:rsidR="00DA6753" w14:paraId="0C741460" w14:textId="77777777" w:rsidTr="00DA675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6CFC4397" w14:textId="5229E0CE" w:rsidR="00DA6753" w:rsidRDefault="00DA6753" w:rsidP="00DA6753">
            <w:pPr>
              <w:pStyle w:val="TableHeading"/>
            </w:pPr>
            <w:r w:rsidRPr="004372C3">
              <w:t>Phase / Step</w:t>
            </w:r>
          </w:p>
        </w:tc>
        <w:tc>
          <w:tcPr>
            <w:tcW w:w="3743" w:type="dxa"/>
          </w:tcPr>
          <w:p w14:paraId="284F43BA" w14:textId="07BB7271" w:rsidR="00DA6753" w:rsidRPr="00E65890"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Key Activities</w:t>
            </w:r>
          </w:p>
        </w:tc>
        <w:tc>
          <w:tcPr>
            <w:tcW w:w="3362" w:type="dxa"/>
          </w:tcPr>
          <w:p w14:paraId="24B9F18A" w14:textId="5E61478D" w:rsidR="00DA6753"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Proposed Outcomes</w:t>
            </w:r>
          </w:p>
        </w:tc>
      </w:tr>
      <w:tr w:rsidR="00DA6753" w14:paraId="3E22E208"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088A40" w14:textId="238C8A7E" w:rsidR="00DA6753" w:rsidRDefault="00DA6753" w:rsidP="00DA6753">
            <w:pPr>
              <w:pStyle w:val="TableRowHeading"/>
            </w:pPr>
            <w:r w:rsidRPr="00AB30D7">
              <w:t>Phase 1: Governance &amp; Mobilization (Days 0–7)</w:t>
            </w:r>
          </w:p>
        </w:tc>
        <w:tc>
          <w:tcPr>
            <w:tcW w:w="3743" w:type="dxa"/>
          </w:tcPr>
          <w:p w14:paraId="0E08643C" w14:textId="0D18A65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Stand up transition governance cadence with CMS COR and incumbent</w:t>
            </w:r>
          </w:p>
          <w:p w14:paraId="72FA0AD1" w14:textId="0A18A5B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Joint Operating Agreement (JOA) within 7 calendar days</w:t>
            </w:r>
          </w:p>
          <w:p w14:paraId="7D7DD687" w14:textId="0C6F5B8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RAID and decision logs; define single-intake rules and owner-of-record per work item</w:t>
            </w:r>
          </w:p>
          <w:p w14:paraId="77987460" w14:textId="5812005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Submit Day 1 critical path and timeline realism check</w:t>
            </w:r>
          </w:p>
        </w:tc>
        <w:tc>
          <w:tcPr>
            <w:tcW w:w="3362" w:type="dxa"/>
          </w:tcPr>
          <w:p w14:paraId="52981F4B" w14:textId="168396F4"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JOA executed; dual-ops protocols active</w:t>
            </w:r>
          </w:p>
          <w:p w14:paraId="30F572F6" w14:textId="63DCC24D"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Governance structure and escalation paths in place</w:t>
            </w:r>
          </w:p>
          <w:p w14:paraId="534824BA" w14:textId="4C4CC99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RAID and decision logs initialized</w:t>
            </w:r>
          </w:p>
          <w:p w14:paraId="1FACAAD8" w14:textId="15DE8DD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COR-aligned communication cadence established</w:t>
            </w:r>
          </w:p>
        </w:tc>
      </w:tr>
      <w:tr w:rsidR="00DA6753" w14:paraId="6367DEA3"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2CEA6354" w14:textId="61A9C3C3" w:rsidR="00DA6753" w:rsidRDefault="00DA6753" w:rsidP="00DA6753">
            <w:pPr>
              <w:pStyle w:val="TableRowHeading"/>
            </w:pPr>
            <w:r w:rsidRPr="00AB30D7">
              <w:t>Phase 2: Discovery &amp; Baseline (Days 8–14)</w:t>
            </w:r>
          </w:p>
        </w:tc>
        <w:tc>
          <w:tcPr>
            <w:tcW w:w="3743" w:type="dxa"/>
          </w:tcPr>
          <w:p w14:paraId="5634FF91" w14:textId="3E1B5BA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Deliver initial Transition Management Plan (within 8 business days); integrate with Task 1 PIOP</w:t>
            </w:r>
          </w:p>
          <w:p w14:paraId="4A3D4DC5" w14:textId="66A7FF2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Inventory systems, interfaces, data (PII), in-flight work, licenses/warranties, SOPs, and ATO status</w:t>
            </w:r>
          </w:p>
          <w:p w14:paraId="707EC8B4" w14:textId="092B3A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security/ATO workstream; map HSPD-12/PIV access as critical-path dependencies</w:t>
            </w:r>
          </w:p>
        </w:tc>
        <w:tc>
          <w:tcPr>
            <w:tcW w:w="3362" w:type="dxa"/>
          </w:tcPr>
          <w:p w14:paraId="2C3CDD7D" w14:textId="2976C1D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Integrated Transition Management Plan delivered</w:t>
            </w:r>
          </w:p>
          <w:p w14:paraId="3609D4A9" w14:textId="7C92673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Complete baseline inventory established</w:t>
            </w:r>
          </w:p>
          <w:p w14:paraId="36F15573" w14:textId="6CC61CA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Security readiness gaps identified and tracked in POA&amp;M</w:t>
            </w:r>
          </w:p>
        </w:tc>
      </w:tr>
      <w:tr w:rsidR="00DA6753" w14:paraId="4621019D"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6577EA" w14:textId="48C7EE53" w:rsidR="00DA6753" w:rsidRDefault="00DA6753" w:rsidP="00DA6753">
            <w:pPr>
              <w:pStyle w:val="TableRowHeading"/>
            </w:pPr>
            <w:r w:rsidRPr="00AB30D7">
              <w:t>Phase 3: Knowledge Transfer &amp; Shadow Ops (Weeks 2–8)</w:t>
            </w:r>
          </w:p>
        </w:tc>
        <w:tc>
          <w:tcPr>
            <w:tcW w:w="3743" w:type="dxa"/>
          </w:tcPr>
          <w:p w14:paraId="022B5E66" w14:textId="429FA4B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structured KT sessions, walkthroughs, and shadowing/reverse-shadowing exercises</w:t>
            </w:r>
          </w:p>
          <w:p w14:paraId="54D11471" w14:textId="31C5A10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Enable controlled access; progressively assume responsibility by workstream</w:t>
            </w:r>
          </w:p>
          <w:p w14:paraId="740A2564" w14:textId="2BC8DAFC"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Apply WIP handling rules (handoff thresholds, freeze windows, backlog burn-down)</w:t>
            </w:r>
          </w:p>
          <w:p w14:paraId="5A9D7D6E" w14:textId="17818E3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Validate readiness via KT scorecards and artifact transfer register</w:t>
            </w:r>
          </w:p>
        </w:tc>
        <w:tc>
          <w:tcPr>
            <w:tcW w:w="3362" w:type="dxa"/>
          </w:tcPr>
          <w:p w14:paraId="626522FA" w14:textId="6507D4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Institutional knowledge captured and documented</w:t>
            </w:r>
          </w:p>
          <w:p w14:paraId="5CFBB406" w14:textId="51372DE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Deloitte team progressively owns queues and processes</w:t>
            </w:r>
          </w:p>
          <w:p w14:paraId="0CB63BCE" w14:textId="57C5395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Artifact transfer register validated with completeness evidence</w:t>
            </w:r>
          </w:p>
        </w:tc>
      </w:tr>
      <w:tr w:rsidR="00DA6753" w14:paraId="1553CE5C"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07804C41" w14:textId="390EC1DE" w:rsidR="00DA6753" w:rsidRDefault="00DA6753" w:rsidP="00DA6753">
            <w:pPr>
              <w:pStyle w:val="TableRowHeading"/>
            </w:pPr>
            <w:r w:rsidRPr="00AB30D7">
              <w:lastRenderedPageBreak/>
              <w:t>Phase 4: Phased Cutover &amp; Stabilization (Weeks 9–12)</w:t>
            </w:r>
          </w:p>
        </w:tc>
        <w:tc>
          <w:tcPr>
            <w:tcW w:w="3743" w:type="dxa"/>
          </w:tcPr>
          <w:p w14:paraId="59D9CD5B" w14:textId="5CDE5FA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phased production cutovers by workstream/system</w:t>
            </w:r>
          </w:p>
          <w:p w14:paraId="13A7FAEC" w14:textId="07FDAC6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Run stabilization sprints; confirm exit criteria with COR</w:t>
            </w:r>
          </w:p>
          <w:p w14:paraId="2E51E190" w14:textId="629D5E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final transition acceptance review and update documentation</w:t>
            </w:r>
          </w:p>
          <w:p w14:paraId="08AC4CB0" w14:textId="04AC3DD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Identify continuous improvement opportunities; hand off to steady-state operations</w:t>
            </w:r>
          </w:p>
        </w:tc>
        <w:tc>
          <w:tcPr>
            <w:tcW w:w="3362" w:type="dxa"/>
          </w:tcPr>
          <w:p w14:paraId="192A37A2" w14:textId="197DD689"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All workstreams transitioned with validated exit criteria</w:t>
            </w:r>
          </w:p>
          <w:p w14:paraId="03A505BE" w14:textId="4FD5F9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Steady-state operations established with no service disruption</w:t>
            </w:r>
          </w:p>
          <w:p w14:paraId="5FFA030C" w14:textId="551ED12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Final transition acceptance documented and accepted by COR</w:t>
            </w:r>
          </w:p>
        </w:tc>
      </w:tr>
    </w:tbl>
    <w:p w14:paraId="15B857FE" w14:textId="77777777" w:rsidR="00B52445" w:rsidRDefault="00B52445" w:rsidP="0017680B">
      <w:pPr>
        <w:pStyle w:val="ParagraphSpacer"/>
      </w:pPr>
    </w:p>
    <w:p w14:paraId="0CA0420D" w14:textId="782B0FC2" w:rsidR="00F0274C" w:rsidRPr="00305FFE" w:rsidRDefault="00930A32" w:rsidP="00F0274C">
      <w:pPr>
        <w:pStyle w:val="BodyText"/>
        <w:rPr>
          <w:color w:val="000000" w:themeColor="text1"/>
        </w:rPr>
      </w:pPr>
      <w:r w:rsidRPr="00ED04D4">
        <w:rPr>
          <w:rFonts w:eastAsia="Open Sans" w:cs="Open Sans"/>
          <w:color w:val="1D1D1B"/>
          <w:szCs w:val="24"/>
        </w:rPr>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rPr>
          <w:color w:val="000000" w:themeColor="text1"/>
        </w:rPr>
        <w:t xml:space="preserve"> </w:t>
      </w:r>
      <w:r w:rsidR="00F0274C">
        <w:rPr>
          <w:color w:val="000000" w:themeColor="text1"/>
        </w:rPr>
        <w:t>Deloitte already has deep knowledge of the CMS System Access process, and we will be able to easily support onboarding of these data access requests.</w:t>
      </w:r>
    </w:p>
    <w:p w14:paraId="7B12988D" w14:textId="77777777" w:rsidR="00F0274C" w:rsidRPr="00BC43A6" w:rsidRDefault="00F0274C" w:rsidP="00F0274C">
      <w:pPr>
        <w:pStyle w:val="BodyText"/>
      </w:pPr>
      <w:r>
        <w:t>We have included a proposed high-level timeline for the 90-day transition-in period, see timeline below:</w:t>
      </w:r>
    </w:p>
    <w:p w14:paraId="13736365" w14:textId="35F52D0C" w:rsidR="00F0274C" w:rsidRDefault="0017680B" w:rsidP="0017680B">
      <w:pPr>
        <w:pStyle w:val="FigureTitle"/>
      </w:pPr>
      <w:r>
        <w:t>Figure 2.1.3-1. [Deloitte to populate: figure title and graphic].</w:t>
      </w:r>
      <w:r w:rsidRPr="0017680B">
        <w:rPr>
          <w:highlight w:val="yellow"/>
        </w:rPr>
      </w:r>
      <w:r/>
    </w:p>
    <w:p w14:paraId="7D81C4B6" w14:textId="12FE80CD"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4BDE58C4" w14:textId="77777777" w:rsidR="00930A32" w:rsidRPr="00F0274C" w:rsidRDefault="00930A32" w:rsidP="0017680B">
      <w:pPr>
        <w:pStyle w:val="ParagraphSpacer"/>
      </w:pPr>
    </w:p>
    <w:p w14:paraId="3B96F5EC" w14:textId="18A3B1A0" w:rsidR="001677A6" w:rsidRPr="0017680B" w:rsidRDefault="00F071E8" w:rsidP="001677A6">
      <w:pPr>
        <w:pStyle w:val="BodyText"/>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w:t>
      </w:r>
      <w:commentRangeStart w:id="102"/>
      <w:r w:rsidR="001677A6" w:rsidRPr="0017680B">
        <w:t xml:space="preserve">This process was successfully implemented in projects such as the Wyoming integrated eligibility application and data center transition, Texas Department of Information Resources (DIR) transitions, and California infrastructure migration to cloud operations. </w:t>
      </w:r>
      <w:commentRangeEnd w:id="102"/>
      <w:r w:rsidR="001677A6" w:rsidRPr="0017680B">
        <w:rPr>
          <w:rStyle w:val="CommentReference"/>
          <w:sz w:val="24"/>
          <w:szCs w:val="22"/>
        </w:rPr>
        <w:commentReference w:id="102"/>
      </w:r>
      <w:r w:rsidR="001677A6" w:rsidRPr="0017680B">
        <w:t xml:space="preserve">These experiences inform our approach, emphasizing rigorous entry and exit criteria for each phase, feedback loops, and constant risk evaluation. </w:t>
      </w:r>
    </w:p>
    <w:p w14:paraId="4E906183" w14:textId="39924720" w:rsidR="001E5A5A" w:rsidRDefault="001E5A5A" w:rsidP="001E5A5A">
      <w:pPr>
        <w:pStyle w:val="BodyText"/>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5CE53D08" w14:textId="73E0690B" w:rsidR="001349CE" w:rsidRDefault="001349CE" w:rsidP="001349CE">
      <w:pPr>
        <w:pStyle w:val="TableTitle"/>
      </w:pPr>
      <w:r>
        <w:t>Table 2.1.3-2. Approach Summary.</w:t>
      </w:r>
      <w:r w:rsidR="0017680B"/>
      <w:r/>
      <w:r w:rsidR="0017680B"/>
    </w:p>
    <w:tbl>
      <w:tblPr>
        <w:tblStyle w:val="DeloitteTable2"/>
        <w:tblW w:w="5000" w:type="pct"/>
        <w:tblLook w:val="0620" w:firstRow="1" w:lastRow="0" w:firstColumn="0" w:lastColumn="0" w:noHBand="1" w:noVBand="1"/>
      </w:tblPr>
      <w:tblGrid>
        <w:gridCol w:w="4315"/>
        <w:gridCol w:w="5035"/>
      </w:tblGrid>
      <w:tr w:rsidR="001349CE" w14:paraId="29583EF3"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29A5A666" w14:textId="468F0BFD" w:rsidR="001349CE" w:rsidRDefault="001349CE" w:rsidP="001349CE">
            <w:pPr>
              <w:pStyle w:val="TableHeading"/>
            </w:pPr>
            <w:r w:rsidRPr="00E65890">
              <w:t>C</w:t>
            </w:r>
            <w:r>
              <w:t>hallenge</w:t>
            </w:r>
          </w:p>
        </w:tc>
        <w:tc>
          <w:tcPr>
            <w:tcW w:w="5035" w:type="dxa"/>
          </w:tcPr>
          <w:p w14:paraId="52ED6D85" w14:textId="0A25F71C" w:rsidR="001349CE" w:rsidRDefault="001349CE" w:rsidP="001349CE">
            <w:pPr>
              <w:pStyle w:val="TableHeading"/>
            </w:pPr>
            <w:r w:rsidRPr="00E65890">
              <w:t>Mitigation Strategy</w:t>
            </w:r>
          </w:p>
        </w:tc>
      </w:tr>
      <w:tr w:rsidR="001349CE" w14:paraId="1EE8978B" w14:textId="77777777" w:rsidTr="001349CE">
        <w:tc>
          <w:tcPr>
            <w:tcW w:w="4315" w:type="dxa"/>
          </w:tcPr>
          <w:p w14:paraId="051945F2" w14:textId="77777777" w:rsidR="001349CE" w:rsidRDefault="001349CE" w:rsidP="001349CE">
            <w:pPr>
              <w:pStyle w:val="TableRowHeading"/>
            </w:pPr>
            <w:r>
              <w:t>Compressed Start-Up Timeline &amp; Dual-Ops Coordination</w:t>
            </w:r>
          </w:p>
          <w:p w14:paraId="3973C10D" w14:textId="359D16C7" w:rsidR="001349CE" w:rsidRDefault="001349CE" w:rsidP="001349CE">
            <w:pPr>
              <w:pStyle w:val="TableBody"/>
            </w:pPr>
            <w:r>
              <w:t>The JOA must be executed within 7 calendar days and an integrated Transition Plan delivered within 8 business days, while simultaneously managing workload with the incumbent under active dual-ops. Delays in the incumbent's JOA response or misaligned "rules of the road" can cascade into schedule and service disruptions.</w:t>
            </w:r>
          </w:p>
        </w:tc>
        <w:tc>
          <w:tcPr>
            <w:tcW w:w="5035" w:type="dxa"/>
          </w:tcPr>
          <w:p w14:paraId="28C1E238" w14:textId="3875D4D9" w:rsidR="001349CE" w:rsidRDefault="001349CE" w:rsidP="001349CE">
            <w:pPr>
              <w:pStyle w:val="TableBody"/>
            </w:pPr>
            <w:r w:rsidRPr="004766F8">
              <w:t>Deloitte will pre-stage a Day 0–7 "JOA-ready" package including redlines, roles, single-intake workflow, WIP ownership rules, and escalation paths. A Day 1 critical-path and timeline realism check will validate dependencies and COR decision points, enabling JOA execution on time even if the incumbent is delayed. Daily transition governance, a RAID log, and a decision log aligned to the PIOP will maintain continuity throughout.</w:t>
            </w:r>
          </w:p>
        </w:tc>
      </w:tr>
      <w:tr w:rsidR="001349CE" w14:paraId="7C902FCC" w14:textId="77777777" w:rsidTr="001349CE">
        <w:tc>
          <w:tcPr>
            <w:tcW w:w="4315" w:type="dxa"/>
          </w:tcPr>
          <w:p w14:paraId="6CE8EE92" w14:textId="77777777" w:rsidR="001349CE" w:rsidRDefault="001349CE" w:rsidP="001349CE">
            <w:pPr>
              <w:pStyle w:val="TableRowHeading"/>
            </w:pPr>
            <w:r>
              <w:t>Incomplete or Uneven Transfer of In-Flight Work and Artifacts</w:t>
            </w:r>
          </w:p>
          <w:p w14:paraId="5C0A7B19" w14:textId="3F1553F2" w:rsidR="001349CE" w:rsidRDefault="001349CE" w:rsidP="001349CE">
            <w:pPr>
              <w:pStyle w:val="TableBody"/>
            </w:pPr>
            <w: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1921527D" w14:textId="342A4E55" w:rsidR="001349CE" w:rsidRDefault="001349CE" w:rsidP="001349CE">
            <w:pPr>
              <w:pStyle w:val="TableBody"/>
            </w:pPr>
            <w:r w:rsidRPr="004766F8">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50DEB157" w14:textId="77777777" w:rsidTr="001349CE">
        <w:tc>
          <w:tcPr>
            <w:tcW w:w="4315" w:type="dxa"/>
          </w:tcPr>
          <w:p w14:paraId="3D94E075" w14:textId="77777777" w:rsidR="001349CE" w:rsidRDefault="001349CE" w:rsidP="001349CE">
            <w:pPr>
              <w:pStyle w:val="TableRowHeading"/>
            </w:pPr>
            <w:r>
              <w:t>Security, ATO, and Sensitive-Asset Inventory Constraints</w:t>
            </w:r>
          </w:p>
          <w:p w14:paraId="42869966" w14:textId="1373B54F" w:rsidR="001349CE" w:rsidRDefault="001349CE" w:rsidP="001349CE">
            <w:pPr>
              <w:pStyle w:val="TableBody"/>
            </w:pPr>
            <w:r>
              <w:t>Transition activities must address PII, GFE, and GFI inventories alongside stringent FedRAMP/A&amp;A and ATO obligations — including POA&amp;M tracking, scanning, configuration baselines, and access onboarding (HSPD-12/PIV) — which can become a critical-path dependency.</w:t>
            </w:r>
          </w:p>
        </w:tc>
        <w:tc>
          <w:tcPr>
            <w:tcW w:w="5035" w:type="dxa"/>
          </w:tcPr>
          <w:p w14:paraId="40B7B44C" w14:textId="560BEE97" w:rsidR="001349CE" w:rsidRDefault="001349CE" w:rsidP="001349CE">
            <w:pPr>
              <w:pStyle w:val="TableBody"/>
            </w:pPr>
            <w:r w:rsidRPr="004766F8">
              <w:t>A dedicated security/privacy and ATO workstream will be established on Day 1 to baseline PII, GFE, and GFI inventories, map access and approval dependencies as critical-path items, and maintain A&amp;A/FedRAMP-aligned controls with continuous monitoring and POA&amp;M discipline. Production cutovers will only proceed after security readiness gates are met.</w:t>
            </w:r>
          </w:p>
        </w:tc>
      </w:tr>
      <w:tr w:rsidR="001349CE" w14:paraId="3CF08D26" w14:textId="77777777" w:rsidTr="001349CE">
        <w:tc>
          <w:tcPr>
            <w:tcW w:w="4315" w:type="dxa"/>
          </w:tcPr>
          <w:p w14:paraId="392C072C" w14:textId="77777777" w:rsidR="001349CE" w:rsidRDefault="001349CE" w:rsidP="001349CE">
            <w:pPr>
              <w:pStyle w:val="TableRowHeading"/>
            </w:pPr>
            <w:r>
              <w:t>Stakeholder Alignment and Incumbent Cooperation</w:t>
            </w:r>
          </w:p>
          <w:p w14:paraId="0A4631F2" w14:textId="691BF27B" w:rsidR="001349CE" w:rsidRDefault="001349CE" w:rsidP="001349CE">
            <w:pPr>
              <w:pStyle w:val="TableBody"/>
            </w:pPr>
            <w: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41F6D480" w14:textId="22CCFD49" w:rsidR="001349CE" w:rsidRDefault="001349CE" w:rsidP="001349CE">
            <w:pPr>
              <w:pStyle w:val="TableBody"/>
            </w:pPr>
            <w:r w:rsidRPr="004766F8">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37B7C96A" w14:textId="77777777" w:rsidR="00CB2DED" w:rsidRPr="00BC43A6" w:rsidRDefault="00CB2DED" w:rsidP="001349CE">
      <w:pPr>
        <w:pStyle w:val="ParagraphSpacer"/>
      </w:pPr>
    </w:p>
    <w:p w14:paraId="46C3B0D9" w14:textId="0AFE0A0E" w:rsidR="00775066" w:rsidRDefault="00775066" w:rsidP="00775066">
      <w:pPr>
        <w:pStyle w:val="Heading2"/>
        <w:rPr>
          <w:color w:val="FF0000"/>
        </w:rPr>
      </w:pPr>
      <w:bookmarkStart w:id="103" w:name="_Toc227883192"/>
      <w:r>
        <w:t>2.2</w:t>
      </w:r>
      <w:r>
        <w:tab/>
      </w:r>
      <w:commentRangeStart w:id="104"/>
      <w:r w:rsidRPr="00775066">
        <w:t>Sub-Section 2B: Quality Assurance Approach</w:t>
      </w:r>
      <w:bookmarkEnd w:id="103"/>
      <w:commentRangeEnd w:id="104"/>
      <w:r w:rsidR="000F5F6F">
        <w:rPr>
          <w:rStyle w:val="CommentReference"/>
          <w:sz w:val="26"/>
          <w:szCs w:val="26"/>
        </w:rPr>
        <w:commentReference w:id="104"/>
      </w:r>
      <w:r w:rsidR="003D0CAF">
        <w:t xml:space="preserve"> </w:t>
      </w:r>
      <w:r w:rsidR="003D0CAF" w:rsidRPr="00806273">
        <w:rPr>
          <w:color w:val="FF0000"/>
        </w:rPr>
        <w:t>(</w:t>
      </w:r>
      <w:r w:rsidR="005038DA">
        <w:rPr>
          <w:color w:val="FF0000"/>
        </w:rPr>
        <w:t>3</w:t>
      </w:r>
      <w:r w:rsidR="003D0CAF" w:rsidRPr="00806273">
        <w:rPr>
          <w:color w:val="FF0000"/>
        </w:rPr>
        <w:t xml:space="preserve"> Pages)</w:t>
      </w:r>
      <w:commentRangeStart w:id="105"/>
      <w:commentRangeStart w:id="106"/>
      <w:commentRangeEnd w:id="105"/>
      <w:r>
        <w:rPr>
          <w:rStyle w:val="CommentReference"/>
          <w:color w:val="FF0000"/>
          <w:sz w:val="26"/>
          <w:szCs w:val="26"/>
        </w:rPr>
        <w:commentReference w:id="105"/>
      </w:r>
      <w:commentRangeEnd w:id="106"/>
      <w:r>
        <w:rPr>
          <w:rStyle w:val="CommentReference"/>
          <w:color w:val="FF0000"/>
          <w:sz w:val="26"/>
          <w:szCs w:val="26"/>
        </w:rPr>
        <w:commentReference w:id="106"/>
      </w:r>
    </w:p>
    <w:p w14:paraId="1DD94A57" w14:textId="2A83B19E" w:rsidR="006932F9" w:rsidRPr="006932F9" w:rsidRDefault="000B6E3E" w:rsidP="00F2405B">
      <w:pPr>
        <w:pStyle w:val="Subheading1"/>
      </w:pPr>
      <w:commentRangeStart w:id="108"/>
      <w:r w:rsidRPr="000B6E3E">
        <w:t>Performance Management and Quality Control Methodologies and Approach</w:t>
      </w:r>
      <w:commentRangeEnd w:id="108"/>
      <w:r w:rsidR="00DF0388" w:rsidRPr="006932F9">
        <w:rPr>
          <w:rStyle w:val="CommentReference"/>
          <w:sz w:val="24"/>
          <w:szCs w:val="22"/>
        </w:rPr>
        <w:commentReference w:id="108"/>
      </w:r>
    </w:p>
    <w:p w14:paraId="15C04957" w14:textId="74A3C0E6" w:rsidR="671ED0E9" w:rsidRDefault="6B933427" w:rsidP="001349CE">
      <w:pPr>
        <w:pStyle w:val="BodyText"/>
      </w:pPr>
      <w:r>
        <w:t>Quality assurance for ER&amp;R is governed by the Service Level Agreements in SOW Tables 3 and 4, the Acceptable Quality Levels (AQLs) and Key Performance Indicators (KPIs) developed under SOW §3.9, and a Quality Assurance Surveillance Plan (QASP) that Deloitte will deliver within 45 days of the start of the base period. Deloitte's quality model is designed around three operating commitments. First, every quality measure ties directly to an SOW SLA, an AQL the contract obligates Deloitte to meet, or a KPI tied to a measurable program outcome — not to abstract maturity-model citations. Second, quality is built into execution rather than inspected at the end: every dispute, casework determination, FFE update, notice generation, and call interaction passes through pre-defined quality controls before it reaches CMS or a consumer. Third, quality findings drive process and SOP changes within a defined turnaround, so the same defect does not surface twice.</w:t>
      </w:r>
      <w:r/>
      <w:r/>
    </w:p>
    <w:p w14:paraId="3405A0CE" w14:textId="400FA360" w:rsidR="006932F9" w:rsidRPr="006932F9" w:rsidRDefault="006932F9" w:rsidP="00F2405B">
      <w:pPr>
        <w:pStyle w:val="Subheading1"/>
      </w:pPr>
      <w:r w:rsidRPr="006932F9">
        <w:t>Performance Controls and Monitoring Techniques</w:t>
      </w:r>
    </w:p>
    <w:p w14:paraId="788F26B6" w14:textId="1B7BAE13" w:rsidR="671ED0E9" w:rsidRDefault="6C7327A2" w:rsidP="671ED0E9">
      <w:pPr>
        <w:pStyle w:val="BodyText"/>
      </w:pPr>
      <w:r>
        <w:t>Performance is monitored continuously through a layered control architecture. Real-time operational dashboards in CERRS, HICS, SEED, and EDA CORE expose case status, dispute aging, SLA clock position, BUU cycle progress, notice generation pipeline state, call abandonment rate, voicemail age, and 834 ingestion job health to both Deloitte operations leadership and the COR. A daily operations stand-up reviews open SLA-at-risk cases, dispute trend anomalies, and any cross-task issue identified through the weekly cross-task data share described in Section 1B. Weekly Deloitte-CMS performance reviews summarize prior-week performance against every SOW SLA and AQL, surface root cause for any deviation, and document corrective action with a closure date. Monthly executive performance reporting feeds the Monthly Progress, Data and Cost Report, and quarterly portfolio reviews surface multi-month trends that warrant SOP, training, or staffing-model adjustments.</w:t>
      </w:r>
    </w:p>
    <w:p w14:paraId="56F6D753" w14:textId="59DBF2F3" w:rsidR="006932F9" w:rsidRPr="006932F9" w:rsidRDefault="00C76CD2" w:rsidP="00F2405B">
      <w:pPr>
        <w:pStyle w:val="Subheading1"/>
      </w:pPr>
      <w:r w:rsidRPr="00C76CD2">
        <w:t>Quality Control Governance and Accountability</w:t>
      </w:r>
    </w:p>
    <w:p w14:paraId="25DCAFFC" w14:textId="06C99081" w:rsidR="00F2405B" w:rsidRPr="00F2405B" w:rsidRDefault="2C1F4B69" w:rsidP="00F2405B">
      <w:pPr>
        <w:pStyle w:val="BodyText"/>
      </w:pPr>
      <w:r>
        <w:t>Deloitte's Quality Oversight Lead, accountable directly to the Project Director and reporting independently to the COR on quality matters, owns the QC program. Day-to-day QC operates with separation of duties — caseworkers do not review their own work; supervisors review against published QC checklists; an independent QA team samples closed cases at rates calibrated to risk (elevated sampling for APTC determinations, retroactive adjustments, manual overrides, and any case involving CMS-directed VIP escalation). Every deliverable carries a documented QC sign-off before submission, with the reviewer name, review date, and any discrepancy log retained for audit. QC accountability is reinforced through performance metrics built into supervisor and lead role descriptions and through the SBLO governance applied to subcontractor work.</w:t>
      </w:r>
      <w:r w:rsidR="5FB2FB71"/>
      <w:r/>
      <w:r w:rsidR="3E03E27C"/>
      <w:r/>
    </w:p>
    <w:p w14:paraId="56AF78D9" w14:textId="65191974" w:rsidR="006932F9" w:rsidRPr="006932F9" w:rsidRDefault="006932F9" w:rsidP="00F2405B">
      <w:pPr>
        <w:pStyle w:val="Subheading1"/>
      </w:pPr>
      <w:r w:rsidRPr="006932F9">
        <w:t xml:space="preserve">Acceptable Quality Levels </w:t>
      </w:r>
      <w:r w:rsidR="00F2405B">
        <w:t>(AQLs)</w:t>
      </w:r>
      <w:r w:rsidRPr="006932F9">
        <w:t xml:space="preserve"> </w:t>
      </w:r>
    </w:p>
    <w:p w14:paraId="2396AE07" w14:textId="0AD32B00" w:rsidR="00F2405B" w:rsidRPr="00F2405B" w:rsidRDefault="2DF00727" w:rsidP="00F2405B">
      <w:pPr>
        <w:pStyle w:val="BodyText"/>
      </w:pPr>
      <w:r>
        <w:t>Deloitte will meet or exceed every AQL defined in the SOW, including the explicit Service Level Agreements: 95% of high-complexity issuer disputes resolved within 10 business days (SOW Table 3); 100% of low-complexity Form 1095-A consumer disputes resolved within 2 business days; 100% of medium-complexity 1095-A disputes resolved within 5 business days; and 100% of high-complexity 1095-A disputes resolved within 10 business days (SOW Table 4). Additional AQLs developed jointly with CMS during the QASP finalization will cover deliverable acceptance (clarity, accuracy, timeliness, completeness), call center performance (speed of answer, abandonment, voicemail one-business-day response), notice generation pipeline accuracy and translation compliance, FFE update precision (zero sequencing errors per BUU cycle), and reporting timeliness (Monthly Progress, Data and Cost Report by the third Monday). Where ambiguity exists at the start of the base period, Deloitte will confirm AQLs with CMS during PIOP review rather than operate against an unverified standard.</w:t>
      </w:r>
      <w:r w:rsidR="03D6186F"/>
      <w:r/>
      <w:r w:rsidR="366DEA8E"/>
      <w:r/>
    </w:p>
    <w:p w14:paraId="46AC55A3" w14:textId="1A0F5BB3" w:rsidR="00B816F9" w:rsidRPr="00B816F9" w:rsidRDefault="00347C45" w:rsidP="00F2405B">
      <w:pPr>
        <w:pStyle w:val="Subheading1"/>
      </w:pPr>
      <w:r w:rsidRPr="00347C45">
        <w:t xml:space="preserve">Contractor </w:t>
      </w:r>
      <w:r w:rsidR="006932F9" w:rsidRPr="006932F9">
        <w:t>Performance Analysis</w:t>
      </w:r>
    </w:p>
    <w:p w14:paraId="0AD4313E" w14:textId="2331BFEF" w:rsidR="00F2405B" w:rsidRPr="00F2405B" w:rsidRDefault="0D5385F2" w:rsidP="00F2405B">
      <w:pPr>
        <w:pStyle w:val="BodyText"/>
      </w:pPr>
      <w:r>
        <w:t>Deloitte will operate a structured performance self-assessment that runs in parallel with CMS oversight, not as a substitute for it. Each month, Deloitte's Quality Oversight Lead produces a self-assessment scorecard that grades performance against every published SLA, AQL, and KPI, identifies trend lines, and proposes any needed corrective action — submitted to the COR alongside the Monthly Progress, Data and Cost Report. This self-assessment is independent of operational reporting from caseworkers and supervisors and is the primary input to the quarterly performance trend review with CMS. The output also feeds Deloitte's Contractor Performance Assessment Reporting System (CPARS) input.</w:t>
      </w:r>
    </w:p>
    <w:p w14:paraId="5C5E226F" w14:textId="355AE3A2" w:rsidR="00B816F9" w:rsidRPr="00B816F9" w:rsidRDefault="00B816F9" w:rsidP="00F2405B">
      <w:pPr>
        <w:pStyle w:val="Subheading1"/>
      </w:pPr>
      <w:r w:rsidRPr="00B816F9">
        <w:lastRenderedPageBreak/>
        <w:t>Performance Reporting</w:t>
      </w:r>
    </w:p>
    <w:p w14:paraId="29C26524" w14:textId="1AEABDF2" w:rsidR="00F2405B" w:rsidRPr="00F2405B" w:rsidRDefault="685C895E" w:rsidP="00F2405B">
      <w:pPr>
        <w:pStyle w:val="BodyText"/>
      </w:pPr>
      <w:r>
        <w:t>Deloitte will deliver three monthly QA-related reports per SOW §3.9 (Quality Assurance Report, Monthly Performance Report, Business Process Improvement Report) and integrate performance data into the Monthly Progress, Data and Cost Report. Each QA report includes a forward-looking corrective action plan rather than a backward-looking metric dump: every defect, missed AQL, or trend deviation is paired with a root-cause hypothesis, a corrective action, an owner, and a closure date. Where Deloitte recommends a corrective action plan that requires CMS approval, that recommendation is brought forward in writing in the same reporting cycle the issue is observed.</w:t>
      </w:r>
    </w:p>
    <w:p w14:paraId="225BDC76" w14:textId="70798802" w:rsidR="00B816F9" w:rsidRPr="00B816F9" w:rsidRDefault="00B816F9" w:rsidP="00F2405B">
      <w:pPr>
        <w:pStyle w:val="Subheading1"/>
      </w:pPr>
      <w:r w:rsidRPr="00B816F9">
        <w:t>Performance Correction Mechanisms</w:t>
      </w:r>
    </w:p>
    <w:p w14:paraId="095D763F" w14:textId="6B2359D2" w:rsidR="00F2405B" w:rsidRPr="00F2405B" w:rsidRDefault="1CF15ED9" w:rsidP="00F2405B">
      <w:pPr>
        <w:pStyle w:val="BodyText"/>
      </w:pPr>
      <w:r>
        <w:t>Deloitte applies a tiered correction model. Tier 1 (operational): caseworker-level errors are corrected by the caseworker, peer-reviewed by a supervisor, and logged for trend analysis. Tier 2 (process): repeated errors of the same type trigger an SOP review, a targeted training refresh, and a 30-day monitoring window before the action closes. Tier 3 (program): a missed AQL or a systemic trend triggers a formal Corrective Action Plan submitted to the COR within 5 business days of identification, including root cause analysis, remediation milestones, performance metrics demonstrating recovery, and a structured close-out review. Corrective actions are tracked to closure in the integrated RAID log, with monthly status visible to the COR.</w:t>
      </w:r>
    </w:p>
    <w:p w14:paraId="39255011" w14:textId="7809EDF9" w:rsidR="00B816F9" w:rsidRPr="00B816F9" w:rsidRDefault="00B816F9" w:rsidP="00F2405B">
      <w:pPr>
        <w:pStyle w:val="Subheading1"/>
      </w:pPr>
      <w:r w:rsidRPr="00B816F9">
        <w:t>Performance Metrics and Key Performance Indicators (KPIs)</w:t>
      </w:r>
    </w:p>
    <w:p w14:paraId="5B642E73" w14:textId="1BD9CF72" w:rsidR="00F2405B" w:rsidRPr="00F2405B" w:rsidRDefault="3BC1CA6C" w:rsidP="00F2405B">
      <w:pPr>
        <w:pStyle w:val="BodyText"/>
      </w:pPr>
      <w:r>
        <w:t>KPIs are derived from the SOW §3.9 data collection and analysis elements (a) entity submission types, (b) enrollee data accuracy, (c) reason codes, (d) effective dates, (e) terminations, (f) cancellations, (g) plan-level accuracy, (h) APTC/CSR validations, (i) ASC X12N 834/820 transaction reconciliation, (j) error reports, (k) error correction, (l) error reporting, (m) trending analysis of reconciliation, (n) source/content of common inquiries, (o) vulnerability identification, and (p) additional CMS-identified elements. The Performance Measurement Plan in this volume aligns each of these elements to a measurable KPI with a numeric target, a monitoring cadence, and an early-warning threshold. KPI definitions are presented to the COR for refinement and approval at the business process improvement kick-off and reported monthly thereafter through the Monthly Performance Report.</w:t>
      </w:r>
    </w:p>
    <w:p w14:paraId="677D74AA" w14:textId="2A987E40" w:rsidR="00B816F9" w:rsidRPr="00B816F9" w:rsidRDefault="00B816F9" w:rsidP="00F2405B">
      <w:pPr>
        <w:pStyle w:val="Subheading1"/>
      </w:pPr>
      <w:r w:rsidRPr="00B816F9">
        <w:t>Service Level Agreements (SLAs)</w:t>
      </w:r>
    </w:p>
    <w:p w14:paraId="0DB6B0C8" w14:textId="78093177" w:rsidR="25A76845" w:rsidRDefault="25A76845" w:rsidP="001349CE">
      <w:pPr>
        <w:pStyle w:val="BodyText"/>
      </w:pPr>
      <w:r>
        <w:t>SLA management is operated as a continuous control function rather than a periodic review. Every case, dispute, deliverable, and call has its SLA clock started at intake — automatically in CERRS, HICS, and SEED for system-tracked items, and through the operational dashboard for non-system-tracked items. An SLA Risk Engine triggers supervisor intervention when any case crosses 70% of its allowed window, before the SLA itself is breached. SLA performance is reviewed daily at the operations stand-up and weekly at the Deloitte-CMS performance review, with any breach pattern triggering the Tier 3 Corrective Action Plan described above. SLA reporting follows the SOW deliverables schedule with daily, weekly, and monthly cadences as defined per task.</w:t>
      </w:r>
      <w:r w:rsidR="3BCF5B88"/>
      <w:r/>
    </w:p>
    <w:p w14:paraId="473E9F54" w14:textId="0DA874D2" w:rsidR="006932F9" w:rsidRPr="00775066" w:rsidRDefault="00B816F9" w:rsidP="00F2405B">
      <w:pPr>
        <w:pStyle w:val="Subheading1"/>
      </w:pPr>
      <w:r w:rsidRPr="00B816F9">
        <w:lastRenderedPageBreak/>
        <w:t xml:space="preserve">QASP alignment to SLAs, AQLs, KPIs and </w:t>
      </w:r>
      <w:r w:rsidR="00B27AEE">
        <w:t>E</w:t>
      </w:r>
      <w:r w:rsidRPr="00B816F9">
        <w:t xml:space="preserve">scalation </w:t>
      </w:r>
      <w:r w:rsidR="00B27AEE">
        <w:t>M</w:t>
      </w:r>
      <w:r w:rsidRPr="00B816F9">
        <w:t>echanisms</w:t>
      </w:r>
    </w:p>
    <w:p w14:paraId="55E9F122" w14:textId="20D5D8D7" w:rsidR="00F2405B" w:rsidRPr="00F2405B" w:rsidRDefault="1510CDC3" w:rsidP="00F2405B">
      <w:pPr>
        <w:pStyle w:val="BodyText"/>
      </w:pPr>
      <w:r>
        <w:t>Deloitte will deliver a draft Quality Assurance Surveillance Plan (QASP) within 45 days of the start of the base period per SOW §3.9, jointly review and finalize the QASP with the COR within 30 days of that review, and store the approved QASP in a CMS-approved location with version control. The QASP defines, for every SOW SLA and AQL: the measurement method, the data source, the responsible owner, the reporting cadence, the acceptable performance threshold, and the escalation mechanism for non-conformance. QASP updates follow PIOP change-control discipline and are submitted to CMS for review and approval whenever a PWS change, regulatory update, or COR direction warrants revision. The QASP is the single instrument linking Deloitte's performance to CPARS — making the relationship between day-to-day execution and downstream contractor evaluation transparent and verifiable.</w:t>
      </w:r>
    </w:p>
    <w:p w14:paraId="6565CF54" w14:textId="2940BAE9" w:rsidR="00775066" w:rsidRPr="00B17029" w:rsidRDefault="00775066" w:rsidP="00775066">
      <w:pPr>
        <w:pStyle w:val="Heading2"/>
        <w:rPr>
          <w:color w:val="FF0000"/>
        </w:rPr>
      </w:pPr>
      <w:bookmarkStart w:id="109" w:name="_Toc227883193"/>
      <w:r>
        <w:t>2.3</w:t>
      </w:r>
      <w:r>
        <w:tab/>
      </w:r>
      <w:commentRangeStart w:id="110"/>
      <w:r w:rsidRPr="00775066">
        <w:t>Sub-Section 2C: Staffing Plan</w:t>
      </w:r>
      <w:bookmarkEnd w:id="109"/>
      <w:commentRangeEnd w:id="110"/>
      <w:r w:rsidR="006828B1">
        <w:rPr>
          <w:rStyle w:val="CommentReference"/>
          <w:sz w:val="26"/>
          <w:szCs w:val="26"/>
        </w:rPr>
        <w:commentReference w:id="110"/>
      </w:r>
      <w:r w:rsidR="005038DA">
        <w:t xml:space="preserve"> </w:t>
      </w:r>
      <w:r w:rsidR="005038DA" w:rsidRPr="00806273">
        <w:rPr>
          <w:color w:val="FF0000"/>
        </w:rPr>
        <w:t>(2 Pages)</w:t>
      </w:r>
    </w:p>
    <w:p w14:paraId="14368C83" w14:textId="2095AE59" w:rsidR="0071582C" w:rsidRPr="0071582C" w:rsidRDefault="00CC7DEC" w:rsidP="00B17029">
      <w:pPr>
        <w:pStyle w:val="Subheading1"/>
      </w:pPr>
      <w:r>
        <w:t xml:space="preserve">Workforce </w:t>
      </w:r>
      <w:r w:rsidR="00672182">
        <w:t xml:space="preserve">Delivering the SOW Tasks and Requirements </w:t>
      </w:r>
    </w:p>
    <w:p w14:paraId="498CD2D1" w14:textId="342250FA" w:rsidR="00B17029" w:rsidRDefault="00B22AFA" w:rsidP="00B17029">
      <w:pPr>
        <w:pStyle w:val="BodyText"/>
        <w:rPr>
          <w:b/>
        </w:rPr>
      </w:pPr>
      <w:commentRangeStart w:id="111"/>
      <w:r w:rsidRPr="00B22AFA">
        <w:t xml:space="preserve">CMS is seeking a Staffing Plan that demonstrates the Contractor has the </w:t>
      </w:r>
      <w:r w:rsidRPr="001349CE">
        <w:rPr>
          <w:rStyle w:val="CharacterBold"/>
        </w:rPr>
        <w:t>appropriate staffing resources at all levels</w:t>
      </w:r>
      <w:r w:rsidRPr="00B22AFA">
        <w:t xml:space="preserve"> to perform the ER&amp;R scope, with the </w:t>
      </w:r>
      <w:r w:rsidRPr="001349CE">
        <w:rPr>
          <w:rStyle w:val="CharacterBold"/>
        </w:rPr>
        <w:t>knowledge, experience, labor mix, and subject matter expertise</w:t>
      </w:r>
      <w:r w:rsidRPr="00B22AFA">
        <w:t xml:space="preserve"> needed to execute work across Enrollment Resolution and Reconciliation (ER&amp;R), Form 1095-A Data Reconciliation and Reporting, Complex Case Help Center (CCHC), contact center support, system maintenance and operations, enhancements, service desk support, reporting and analytics, quality assurance, and related ad hoc activities. CMS is also requesting a description of the </w:t>
      </w:r>
      <w:r w:rsidRPr="001349CE">
        <w:rPr>
          <w:rStyle w:val="CharacterBold"/>
        </w:rPr>
        <w:t>resource management and staffing approach</w:t>
      </w:r>
      <w:r w:rsidRPr="00B22AFA">
        <w:t xml:space="preserve">, including recruitment, retention, roles and responsibilities, resource allocations, transitions across lifecycle phases, available resources, labor hours by task/subtask, and surge support during peak operational periods, while maintaining the required </w:t>
      </w:r>
      <w:r w:rsidRPr="001349CE">
        <w:rPr>
          <w:rStyle w:val="CharacterBold"/>
        </w:rPr>
        <w:t>technical, security, and SME support</w:t>
      </w:r>
      <w:r w:rsidRPr="00B22AFA">
        <w:t xml:space="preserve"> across the period of performance.</w:t>
      </w:r>
      <w:r>
        <w:t xml:space="preserve"> </w:t>
      </w:r>
      <w:r w:rsidR="00B17029" w:rsidRPr="001349CE">
        <w:rPr>
          <w:rStyle w:val="CharacterBold"/>
        </w:rPr>
        <w:t>Deloitte’s Staffing Plan responds directly to these requirements through a workload-driven, function-based workforce model aligned to the ER&amp;R operating environment. Deloitte will provide a staffing structure that reflects the scale and complexity of the ER&amp;R environment at contract start, supports continuity of operations across the in-scope systems and workstreams, and positions the program for measured efficiencies over time without introducing avoidable operational risk.</w:t>
      </w:r>
      <w:commentRangeEnd w:id="111"/>
      <w:r w:rsidR="00C33993">
        <w:rPr>
          <w:rStyle w:val="CommentReference"/>
          <w:rFonts w:ascii="Courier New" w:hAnsi="Courier New"/>
        </w:rPr>
        <w:commentReference w:id="111"/>
      </w:r>
    </w:p>
    <w:p w14:paraId="419B470C" w14:textId="01B93D6E" w:rsidR="00B17029" w:rsidRPr="0071582C" w:rsidRDefault="00FB51CD" w:rsidP="001349CE">
      <w:pPr>
        <w:pStyle w:val="FigureTitle"/>
      </w:pPr>
      <w:commentRangeStart w:id="112"/>
      <w:r>
        <w:lastRenderedPageBreak/>
        <w:t>Figure</w:t>
      </w:r>
      <w:commentRangeEnd w:id="112"/>
      <w:r>
        <w:rPr>
          <w:rStyle w:val="CommentReference"/>
          <w:sz w:val="24"/>
          <w:szCs w:val="22"/>
        </w:rPr>
        <w:commentReference w:id="112"/>
      </w:r>
      <w:r>
        <w:t xml:space="preserve"> 2.3-1. </w:t>
      </w:r>
      <w:r w:rsidR="001349CE">
        <w:t>Organizational Chart.</w:t>
      </w:r>
    </w:p>
    <w:p w14:paraId="325B2AF5" w14:textId="70C868A4" w:rsidR="001349CE" w:rsidRPr="001349CE" w:rsidRDefault="001349CE" w:rsidP="001349CE">
      <w:pPr>
        <w:pStyle w:val="FigureGraphic"/>
      </w:pPr>
      <w:commentRangeStart w:id="113"/>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commentRangeEnd w:id="113"/>
      <w:r w:rsidRPr="001349CE">
        <w:rPr>
          <w:rStyle w:val="CommentReference"/>
          <w:sz w:val="20"/>
          <w:szCs w:val="22"/>
        </w:rPr>
        <w:commentReference w:id="113"/>
      </w:r>
    </w:p>
    <w:p w14:paraId="1309C6A7" w14:textId="7D2075DB" w:rsidR="005C1CC9" w:rsidRPr="005C1CC9" w:rsidRDefault="006507E8" w:rsidP="0071582C">
      <w:pPr>
        <w:pStyle w:val="Subheading1"/>
      </w:pPr>
      <w:r>
        <w:t xml:space="preserve">Resource Management and Staffing Approach </w:t>
      </w:r>
    </w:p>
    <w:p w14:paraId="443D1F10" w14:textId="7ED66FFC" w:rsidR="00C91D75" w:rsidRDefault="00367BA6" w:rsidP="00C91D75">
      <w:pPr>
        <w:pStyle w:val="BodyText"/>
      </w:pPr>
      <w:commentRangeStart w:id="114"/>
      <w:r w:rsidRPr="00367BA6">
        <w:rPr>
          <w:b/>
          <w:bCs/>
        </w:rPr>
        <w:t>Understanding:</w:t>
      </w:r>
      <w:r w:rsidRPr="00367BA6">
        <w:t xml:space="preserve"> </w:t>
      </w:r>
      <w:r w:rsidR="00C91D75" w:rsidRPr="00C91D75">
        <w:t>CMS is requesting a resource management and staffing approach that shows how the Contractor will organize, assign, and manage staff across the ER&amp;R scope while sustaining continuity of service and maintaining the business, technical, operational, security, and SME support needed to perform the work across a multi-system operating environment.</w:t>
      </w:r>
      <w:commentRangeEnd w:id="114"/>
      <w:r w:rsidR="00956174">
        <w:rPr>
          <w:rStyle w:val="CommentReference"/>
          <w:rFonts w:ascii="Courier New" w:hAnsi="Courier New"/>
        </w:rPr>
        <w:commentReference w:id="114"/>
      </w:r>
    </w:p>
    <w:p w14:paraId="22D1C03C" w14:textId="77777777" w:rsidR="00BE2520" w:rsidRPr="00BE2520" w:rsidRDefault="00BE2520" w:rsidP="00FB51CD">
      <w:pPr>
        <w:pStyle w:val="Bulletlevel1"/>
      </w:pPr>
      <w:r w:rsidRPr="00FB51CD">
        <w:rPr>
          <w:rStyle w:val="CharacterBold"/>
        </w:rPr>
        <w:t>Organize</w:t>
      </w:r>
      <w:r w:rsidRPr="00BE2520">
        <w:t xml:space="preserve"> the workforce into the major delivery towers required to perform the ER&amp;R scope — Business Operations, Technology Management, Program Management / Program Controls, Quality Assurance / SOP / Knowledge Management, and SME / Program Integrity support — so staffing mirrors how work is performed across the ER&amp;R environment rather than grouping unlike functions into a single generalized team.</w:t>
      </w:r>
    </w:p>
    <w:p w14:paraId="63C88859" w14:textId="77777777" w:rsidR="00BE2520" w:rsidRPr="00BE2520" w:rsidRDefault="00BE2520" w:rsidP="00FB51CD">
      <w:pPr>
        <w:pStyle w:val="Bulletlevel1"/>
      </w:pPr>
      <w:r w:rsidRPr="00FB51CD">
        <w:rPr>
          <w:rStyle w:val="CharacterBold"/>
        </w:rPr>
        <w:t>Staff Business Operations</w:t>
      </w:r>
      <w:r w:rsidRPr="00BE2520">
        <w:rPr>
          <w:b/>
          <w:bCs/>
        </w:rPr>
        <w:t xml:space="preserve"> </w:t>
      </w:r>
      <w:r w:rsidRPr="00BE2520">
        <w:t>as the core delivery tower supporting issuer disputes, Form 1095-A disputes, complex case handling, telephone and correspondence support, and related operational analysis, with staffing differentiated by work type and case complexity: call center personnel support front-line telephone and correspondence interactions; caseworkers support dispute research, analysis, case progression, and resolution; senior resources and SMEs support escalated, high-complexity, or high-risk matters; and operational leadership supports workload balancing, quality oversight, and issue escalation.</w:t>
      </w:r>
    </w:p>
    <w:p w14:paraId="1F23B446" w14:textId="77777777" w:rsidR="00BE2520" w:rsidRPr="00BE2520" w:rsidRDefault="00BE2520" w:rsidP="00FB51CD">
      <w:pPr>
        <w:pStyle w:val="Bulletlevel1"/>
      </w:pPr>
      <w:r w:rsidRPr="00FB51CD">
        <w:rPr>
          <w:rStyle w:val="CharacterBold"/>
        </w:rPr>
        <w:t>Staff Technology Management</w:t>
      </w:r>
      <w:r w:rsidRPr="00BE2520">
        <w:t xml:space="preserve"> as a distinct delivery tower supporting </w:t>
      </w:r>
      <w:r w:rsidRPr="00FB51CD">
        <w:rPr>
          <w:rStyle w:val="CharacterBold"/>
        </w:rPr>
        <w:t>CERRS, HICS, SEED, EDA CORE, related interfaces, notice-generation support, telephony/contact-center technologies, and supporting operational tooling</w:t>
      </w:r>
      <w:r w:rsidRPr="00BE2520">
        <w:rPr>
          <w:b/>
          <w:bCs/>
        </w:rPr>
        <w:t>,</w:t>
      </w:r>
      <w:r w:rsidRPr="00BE2520">
        <w:t xml:space="preserve"> with resources aligned across maintenance and operations, infrastructure and monitoring, application support, service desk / internal user support, enhancements and SDLC support, testing and release support, data and reporting support, security, privacy, and compliance support, notice-related technical support, and coordination across systems, repositories, and interfaces.</w:t>
      </w:r>
    </w:p>
    <w:p w14:paraId="37C79129" w14:textId="77777777" w:rsidR="00BE2520" w:rsidRPr="00BE2520" w:rsidRDefault="00BE2520" w:rsidP="00FB51CD">
      <w:pPr>
        <w:pStyle w:val="Bulletlevel1"/>
      </w:pPr>
      <w:r w:rsidRPr="00FB51CD">
        <w:rPr>
          <w:rStyle w:val="CharacterBold"/>
        </w:rPr>
        <w:t>Staff Program Management / Program Controls, Quality Assurance / SOP / Knowledge Management, and SME / Program Integrity support</w:t>
      </w:r>
      <w:r w:rsidRPr="00BE2520">
        <w:t xml:space="preserve"> to provide governance, contract management, milestone tracking, issue and risk management, performance reporting, QASP execution, QA reviews, SOP maintenance, training support, validation support, operational consistency, and targeted expertise </w:t>
      </w:r>
      <w:r w:rsidRPr="00BE2520">
        <w:lastRenderedPageBreak/>
        <w:t>aligned to enrollment, Form 1095-A, reconciliation, complex case handling, policy/notice-sensitive workflows, and control-oriented support across the environment.</w:t>
      </w:r>
    </w:p>
    <w:p w14:paraId="7E18A06A" w14:textId="77777777" w:rsidR="00BE2520" w:rsidRPr="00BE2520" w:rsidRDefault="00BE2520" w:rsidP="00FB51CD">
      <w:pPr>
        <w:pStyle w:val="Bulletlevel1"/>
      </w:pPr>
      <w:r w:rsidRPr="00FB51CD">
        <w:rPr>
          <w:rStyle w:val="CharacterBold"/>
        </w:rPr>
        <w:t>Align</w:t>
      </w:r>
      <w:r w:rsidRPr="00BE2520">
        <w:t xml:space="preserve"> the largest concentrations of staffing to the primary workload drivers of the ER&amp;R scope — dispute resolution, Form 1095-A workstreams, Complex Case Help Center operations, IT systems maintenance and operations, and telephone/correspondence support — so the staffing model reflects where operational demand, technical dependency, and service risk are concentrated.</w:t>
      </w:r>
    </w:p>
    <w:p w14:paraId="11CF1080" w14:textId="77777777" w:rsidR="00BE2520" w:rsidRPr="00BE2520" w:rsidRDefault="00BE2520" w:rsidP="00FB51CD">
      <w:pPr>
        <w:pStyle w:val="Bulletlevel1"/>
      </w:pPr>
      <w:r w:rsidRPr="00FB51CD">
        <w:rPr>
          <w:rStyle w:val="CharacterBold"/>
        </w:rPr>
        <w:t>Structure</w:t>
      </w:r>
      <w:r w:rsidRPr="00BE2520">
        <w:t xml:space="preserve"> the workforce to reflect that ER&amp;R is a multi-system operating environment, not a single-system support model, and therefore requires coordinated staffing across case management, contact center, data/reporting, technical support, and control/support functions to sustain continuity of operations.</w:t>
      </w:r>
    </w:p>
    <w:p w14:paraId="4FB8BA11" w14:textId="77777777" w:rsidR="00BE2520" w:rsidRPr="00BE2520" w:rsidRDefault="00BE2520" w:rsidP="00FB51CD">
      <w:pPr>
        <w:pStyle w:val="Bulletlevel1"/>
      </w:pPr>
      <w:r w:rsidRPr="00FB51CD">
        <w:rPr>
          <w:rStyle w:val="CharacterBold"/>
        </w:rPr>
        <w:t>Assign</w:t>
      </w:r>
      <w:r w:rsidRPr="00BE2520">
        <w:t xml:space="preserve"> staff by </w:t>
      </w:r>
      <w:r w:rsidRPr="00FB51CD">
        <w:rPr>
          <w:rStyle w:val="CharacterBold"/>
        </w:rPr>
        <w:t>function, complexity, operational demand, and lifecycle phase</w:t>
      </w:r>
      <w:r w:rsidRPr="00BE2520">
        <w:t xml:space="preserve"> so personnel are matched to the actual requirements of the work rather than allocated through a flat staffing model; support this approach through recruitment of personnel with the appropriate skills and competencies, retention and continuity practices that sustain workforce stability, role-based assignment, clearly defined responsibilities and allocations, and resource estimation based on workload, complexity, service levels, seasonality, supervision needs, and technical support requirements.</w:t>
      </w:r>
    </w:p>
    <w:p w14:paraId="7CC70786" w14:textId="77777777" w:rsidR="00BE2520" w:rsidRPr="00BE2520" w:rsidRDefault="00BE2520" w:rsidP="00FB51CD">
      <w:pPr>
        <w:pStyle w:val="Bulletlevel1"/>
      </w:pPr>
      <w:r w:rsidRPr="00FB51CD">
        <w:rPr>
          <w:rStyle w:val="CharacterBold"/>
        </w:rPr>
        <w:t>Apply a phase-based staffing model</w:t>
      </w:r>
      <w:r w:rsidRPr="00BE2520">
        <w:t xml:space="preserve"> across transition-in, steady-state operations, peak periods, and transition-out, with transition-in focused on knowledge transfer, documentation review, access setup, incumbent coordination, technical discovery, readiness activities, interface and support validation, repository review, and stabilization support; steady-state focused on workload responsiveness, service continuity, quality, performance management, and controlled enhancement support; and transition-out focused on orderly turnover, documentation capture, continuity preservation, and knowledge transfer.</w:t>
      </w:r>
    </w:p>
    <w:p w14:paraId="7A78885A" w14:textId="77777777" w:rsidR="00BE2520" w:rsidRPr="00BE2520" w:rsidRDefault="00BE2520" w:rsidP="00FB51CD">
      <w:pPr>
        <w:pStyle w:val="Bulletlevel1"/>
      </w:pPr>
      <w:r w:rsidRPr="00FB51CD">
        <w:rPr>
          <w:rStyle w:val="CharacterBold"/>
        </w:rPr>
        <w:t>Use</w:t>
      </w:r>
      <w:r w:rsidRPr="00BE2520">
        <w:t xml:space="preserve"> a labor mix that includes senior staff, leads, SMEs, and operational personnel so complex cases, escalated issues, quality reviews, technical support needs, and high-risk or control-sensitive activities receive the appropriate level of oversight and human review.</w:t>
      </w:r>
    </w:p>
    <w:p w14:paraId="7D13DB74" w14:textId="77777777" w:rsidR="00BE2520" w:rsidRPr="00BE2520" w:rsidRDefault="00BE2520" w:rsidP="00FB51CD">
      <w:pPr>
        <w:pStyle w:val="Bulletlevel1"/>
      </w:pPr>
      <w:r w:rsidRPr="00FB51CD">
        <w:rPr>
          <w:rStyle w:val="CharacterBold"/>
        </w:rPr>
        <w:t>Operate</w:t>
      </w:r>
      <w:r w:rsidRPr="00BE2520">
        <w:t xml:space="preserve"> prime and subcontractor personnel as one integrated delivery workforce with defined workshare and responsibilities while maintaining Deloitte accountability for leadership, governance, integration, and performance.</w:t>
      </w:r>
    </w:p>
    <w:p w14:paraId="7DD6ED98" w14:textId="77777777" w:rsidR="00BE2520" w:rsidRPr="00BE2520" w:rsidRDefault="00BE2520" w:rsidP="00FB51CD">
      <w:pPr>
        <w:pStyle w:val="Bulletlevel1"/>
      </w:pPr>
      <w:r w:rsidRPr="00FB51CD">
        <w:rPr>
          <w:rStyle w:val="CharacterBold"/>
        </w:rPr>
        <w:t>Staff</w:t>
      </w:r>
      <w:r w:rsidRPr="00BE2520">
        <w:rPr>
          <w:b/>
          <w:bCs/>
        </w:rPr>
        <w:t xml:space="preserve"> </w:t>
      </w:r>
      <w:r w:rsidRPr="00BE2520">
        <w:t>Year 1 to support stability, service continuity, and full operational coverage across the in-scope systems and support functions rather than immediate staffing reductions, then deliver later-year efficiencies through process improvement, tooling, automation, and streamlined support practices after the operating baseline is established and performance is stabilized.</w:t>
      </w:r>
    </w:p>
    <w:p w14:paraId="3953BD36" w14:textId="75C7D238" w:rsidR="0071582C" w:rsidRDefault="00BE2520" w:rsidP="00FB51CD">
      <w:pPr>
        <w:pStyle w:val="Bulletlevel1"/>
      </w:pPr>
      <w:r w:rsidRPr="00FB51CD">
        <w:rPr>
          <w:rStyle w:val="CharacterBold"/>
        </w:rPr>
        <w:t>Maintain</w:t>
      </w:r>
      <w:r w:rsidRPr="00BE2520">
        <w:t xml:space="preserve"> a clear distinction between business-operations staffing and service-desk / technical-user support staffing so internal system-user support is not blended into front-line dispute-resolution staffing; service-desk resources will support internal users of the ER&amp;R applications and reporting environment — including caseworkers, agents, supervisors, and other operational users — and will operate with their own staffing model, skill mix, and escalation paths.</w:t>
      </w:r>
    </w:p>
    <w:p w14:paraId="63ABC5AC" w14:textId="63380A3E" w:rsidR="00760C47" w:rsidRPr="00760C47" w:rsidRDefault="00760C47" w:rsidP="0071582C">
      <w:pPr>
        <w:pStyle w:val="BodyText"/>
        <w:rPr>
          <w:b/>
          <w:color w:val="00B0F0"/>
        </w:rPr>
      </w:pPr>
      <w:r w:rsidRPr="00760C47">
        <w:rPr>
          <w:b/>
          <w:color w:val="00B0F0"/>
        </w:rPr>
        <w:t xml:space="preserve">Description of </w:t>
      </w:r>
      <w:r>
        <w:rPr>
          <w:b/>
          <w:color w:val="00B0F0"/>
        </w:rPr>
        <w:t xml:space="preserve">Available </w:t>
      </w:r>
      <w:r w:rsidRPr="00760C47">
        <w:rPr>
          <w:b/>
          <w:color w:val="00B0F0"/>
        </w:rPr>
        <w:t xml:space="preserve">Resources </w:t>
      </w:r>
      <w:r w:rsidR="00445B8E">
        <w:rPr>
          <w:b/>
          <w:color w:val="00B0F0"/>
        </w:rPr>
        <w:t xml:space="preserve">and Labor Hours </w:t>
      </w:r>
    </w:p>
    <w:p w14:paraId="4726D53E" w14:textId="4F30DE0F" w:rsidR="006404D2" w:rsidRPr="006A1D56" w:rsidRDefault="006A1D56" w:rsidP="00FB51CD">
      <w:pPr>
        <w:pStyle w:val="BodyTextBulletIntro"/>
      </w:pPr>
      <w:r w:rsidRPr="00FB51CD">
        <w:rPr>
          <w:rStyle w:val="CharacterBold"/>
        </w:rPr>
        <w:t>Understanding:</w:t>
      </w:r>
      <w:commentRangeStart w:id="115"/>
      <w:r w:rsidRPr="006A1D56">
        <w:t xml:space="preserve"> CMS is asking Offerors to describe the available resources and labor hours that will support performance of the ER&amp;R scope. The Staffing Plan must show the breadth of labor categories and resource groupings supporting the work, while the final staffing plan and labor mix provide the detailed allocation of labor categories, labor hours, and task/subtask support.</w:t>
      </w:r>
      <w:commentRangeEnd w:id="115"/>
      <w:r w:rsidRPr="006A1D56">
        <w:rPr>
          <w:rStyle w:val="CommentReference"/>
          <w:sz w:val="24"/>
          <w:szCs w:val="22"/>
        </w:rPr>
        <w:commentReference w:id="115"/>
      </w:r>
    </w:p>
    <w:p w14:paraId="70FF0735" w14:textId="77777777" w:rsidR="006A1D56" w:rsidRPr="006A1D56" w:rsidRDefault="006A1D56" w:rsidP="00FB51CD">
      <w:pPr>
        <w:pStyle w:val="Bulletlevel1"/>
      </w:pPr>
      <w:commentRangeStart w:id="116"/>
      <w:r w:rsidRPr="00FB51CD">
        <w:rPr>
          <w:rStyle w:val="CharacterBold"/>
        </w:rPr>
        <w:t>Provide</w:t>
      </w:r>
      <w:r w:rsidRPr="006A1D56">
        <w:t xml:space="preserve"> resources across the labor categories needed to perform the ER&amp;R scope, including project leadership and program-control personnel, case analysts and caseworkers, call center personnel, </w:t>
      </w:r>
      <w:r w:rsidRPr="006A1D56">
        <w:lastRenderedPageBreak/>
        <w:t>technical staff, service desk / user support personnel, reporting and analytics personnel, quality assurance resources, training and knowledge-management support, and subject matter experts aligned to enrollment, Form 1095-A, reconciliation, complex case handling, policy/notice-sensitive workflows, and program integrity.</w:t>
      </w:r>
    </w:p>
    <w:p w14:paraId="02C4654F" w14:textId="6F259BFE" w:rsidR="006A1D56" w:rsidRPr="006A1D56" w:rsidRDefault="006A1D56" w:rsidP="00FB51CD">
      <w:pPr>
        <w:pStyle w:val="Bulletlevel1"/>
      </w:pPr>
      <w:r w:rsidRPr="00FB51CD">
        <w:rPr>
          <w:rStyle w:val="CharacterBold"/>
        </w:rPr>
        <w:t>Use</w:t>
      </w:r>
      <w:r w:rsidRPr="006A1D56">
        <w:t xml:space="preserve"> the narrative staffing model to show how resources are aligned across the major delivery towers and task </w:t>
      </w:r>
      <w:r w:rsidR="00771B54" w:rsidRPr="006A1D56">
        <w:t>areas and</w:t>
      </w:r>
      <w:r w:rsidRPr="006A1D56">
        <w:t xml:space="preserve"> </w:t>
      </w:r>
      <w:r w:rsidRPr="00FB51CD">
        <w:rPr>
          <w:rStyle w:val="CharacterBold"/>
        </w:rPr>
        <w:t>reflect</w:t>
      </w:r>
      <w:r w:rsidRPr="006A1D56">
        <w:t xml:space="preserve"> the detailed level-of-effort allocations in the final Staffing Plan and labor mix.</w:t>
      </w:r>
    </w:p>
    <w:p w14:paraId="436F2E4A" w14:textId="77777777" w:rsidR="006A1D56" w:rsidRPr="006A1D56" w:rsidRDefault="006A1D56" w:rsidP="00FB51CD">
      <w:pPr>
        <w:pStyle w:val="Bulletlevel1"/>
      </w:pPr>
      <w:r w:rsidRPr="00FB51CD">
        <w:rPr>
          <w:rStyle w:val="CharacterBold"/>
        </w:rPr>
        <w:t>Identify</w:t>
      </w:r>
      <w:r w:rsidRPr="006A1D56">
        <w:t xml:space="preserve"> in the final Staffing Plan whether proposed resources are </w:t>
      </w:r>
      <w:r w:rsidRPr="00FB51CD">
        <w:rPr>
          <w:rStyle w:val="CharacterBold"/>
        </w:rPr>
        <w:t>currently on staff</w:t>
      </w:r>
      <w:r w:rsidRPr="006A1D56">
        <w:t xml:space="preserve">, proposed under the </w:t>
      </w:r>
      <w:r w:rsidRPr="00FB51CD">
        <w:rPr>
          <w:rStyle w:val="CharacterBold"/>
        </w:rPr>
        <w:t>prime</w:t>
      </w:r>
      <w:r w:rsidRPr="006A1D56">
        <w:t xml:space="preserve">, or proposed under </w:t>
      </w:r>
      <w:r w:rsidRPr="00FB51CD">
        <w:rPr>
          <w:rStyle w:val="CharacterBold"/>
        </w:rPr>
        <w:t>subcontractors</w:t>
      </w:r>
      <w:r w:rsidRPr="006A1D56">
        <w:t xml:space="preserve">, and </w:t>
      </w:r>
      <w:r w:rsidRPr="00FB51CD">
        <w:rPr>
          <w:rStyle w:val="CharacterBold"/>
        </w:rPr>
        <w:t>describe</w:t>
      </w:r>
      <w:r w:rsidRPr="006A1D56">
        <w:t xml:space="preserve"> how each resource grouping is utilized across business operations, contact center support, technical support, reporting and analytics, quality assurance, program controls, and SME support.</w:t>
      </w:r>
    </w:p>
    <w:p w14:paraId="1B4F9545" w14:textId="77777777" w:rsidR="006A1D56" w:rsidRPr="006A1D56" w:rsidRDefault="006A1D56" w:rsidP="00FB51CD">
      <w:pPr>
        <w:pStyle w:val="Bulletlevel1"/>
      </w:pPr>
      <w:r w:rsidRPr="00FB51CD">
        <w:rPr>
          <w:rStyle w:val="CharacterBold"/>
        </w:rPr>
        <w:t>Provide</w:t>
      </w:r>
      <w:r w:rsidRPr="006A1D56">
        <w:t xml:space="preserve"> a </w:t>
      </w:r>
      <w:r w:rsidRPr="00FB51CD">
        <w:rPr>
          <w:rStyle w:val="CharacterBold"/>
        </w:rPr>
        <w:t>final labor-hours matrix by labor category and task/subtask</w:t>
      </w:r>
      <w:r w:rsidRPr="006A1D56">
        <w:t xml:space="preserve"> showing labor mix by task/subtask, availability of senior, junior, and SME resources, and distribution of work between prime and subcontractor personnel.</w:t>
      </w:r>
    </w:p>
    <w:p w14:paraId="2AAED0E2" w14:textId="77777777" w:rsidR="007D1972" w:rsidRDefault="006A1D56" w:rsidP="00FB51CD">
      <w:pPr>
        <w:pStyle w:val="Bulletlevel1"/>
      </w:pPr>
      <w:r w:rsidRPr="00FB51CD">
        <w:rPr>
          <w:rStyle w:val="CharacterBold"/>
        </w:rPr>
        <w:t>Integrate</w:t>
      </w:r>
      <w:r w:rsidRPr="006A1D56">
        <w:t xml:space="preserve"> subcontractor capabilities in targeted areas that strengthen delivery across specialized functions</w:t>
      </w:r>
      <w:r w:rsidR="00253D58">
        <w:t>, including technology support</w:t>
      </w:r>
      <w:r w:rsidR="007D5703">
        <w:t>, FORM 1095-A and reconciliation workflows, data architecture and systems integration, and special projects/architecture advisory support, while maintaining Deloitte</w:t>
      </w:r>
      <w:r w:rsidR="007D1972">
        <w:t xml:space="preserve"> accountability for leadership, governance, integration, and performance.</w:t>
      </w:r>
    </w:p>
    <w:p w14:paraId="3BD820E7" w14:textId="77777777" w:rsidR="006A1D56" w:rsidRPr="006A1D56" w:rsidRDefault="006A1D56" w:rsidP="00FB51CD">
      <w:pPr>
        <w:pStyle w:val="Bulletlevel1"/>
      </w:pPr>
      <w:r w:rsidRPr="00FB51CD">
        <w:rPr>
          <w:rStyle w:val="CharacterBold"/>
        </w:rPr>
        <w:t>Align</w:t>
      </w:r>
      <w:r w:rsidRPr="006A1D56">
        <w:t xml:space="preserve"> the technical labor mix to the actual ER&amp;R systems landscape and support footprint, including </w:t>
      </w:r>
      <w:r w:rsidRPr="00FB51CD">
        <w:rPr>
          <w:rStyle w:val="CharacterBold"/>
        </w:rPr>
        <w:t>Microsoft Dynamics /.NET support, infrastructure and monitoring support, application support, service desk / user support, release and enhancement support, security/compliance support, and data/reporting support</w:t>
      </w:r>
      <w:r w:rsidRPr="006A1D56">
        <w:t>, so the proposed workforce is aligned not only to the business scope of ER&amp;R, but also to the technical stack, tools, interfaces, repositories, and multi-system support environment required to sustain service.</w:t>
      </w:r>
    </w:p>
    <w:p w14:paraId="4379347F" w14:textId="07014F12" w:rsidR="00760C47" w:rsidRDefault="006A1D56" w:rsidP="00FB51CD">
      <w:pPr>
        <w:pStyle w:val="Bulletlevel1"/>
      </w:pPr>
      <w:r w:rsidRPr="00FB51CD">
        <w:rPr>
          <w:rStyle w:val="CharacterBold"/>
        </w:rPr>
        <w:t>Present</w:t>
      </w:r>
      <w:r w:rsidRPr="006A1D56">
        <w:t xml:space="preserve"> enhancement-related support as a </w:t>
      </w:r>
      <w:r w:rsidRPr="00FB51CD">
        <w:rPr>
          <w:rStyle w:val="CharacterBold"/>
        </w:rPr>
        <w:t>managed delivery capacity</w:t>
      </w:r>
      <w:r w:rsidRPr="006A1D56">
        <w:t xml:space="preserve"> aligned to backlog management, prioritization, and sprint-based execution needs so CMS has a flexible and credible model for enhancement delivery while stable operations are preserved across the core environment.</w:t>
      </w:r>
      <w:commentRangeEnd w:id="116"/>
      <w:r>
        <w:rPr>
          <w:rStyle w:val="CommentReference"/>
          <w:sz w:val="24"/>
          <w:szCs w:val="22"/>
        </w:rPr>
        <w:commentReference w:id="116"/>
      </w:r>
    </w:p>
    <w:p w14:paraId="71020036" w14:textId="4EC42A6B" w:rsidR="00B8451D" w:rsidRPr="005C1CC9" w:rsidRDefault="0071582C" w:rsidP="0071582C">
      <w:pPr>
        <w:pStyle w:val="Subheading1"/>
      </w:pPr>
      <w:commentRangeStart w:id="117"/>
      <w:r w:rsidRPr="0071582C">
        <w:t>Surge</w:t>
      </w:r>
      <w:commentRangeEnd w:id="117"/>
      <w:r>
        <w:rPr>
          <w:rStyle w:val="CommentReference"/>
          <w:sz w:val="24"/>
          <w:szCs w:val="22"/>
        </w:rPr>
        <w:commentReference w:id="117"/>
      </w:r>
      <w:r w:rsidR="00760C47">
        <w:t xml:space="preserve"> </w:t>
      </w:r>
      <w:commentRangeStart w:id="118"/>
      <w:r w:rsidR="00760C47">
        <w:t>Support</w:t>
      </w:r>
      <w:commentRangeEnd w:id="118"/>
      <w:r>
        <w:rPr>
          <w:rStyle w:val="CommentReference"/>
          <w:sz w:val="24"/>
          <w:szCs w:val="22"/>
        </w:rPr>
        <w:commentReference w:id="118"/>
      </w:r>
      <w:r w:rsidR="00760C47">
        <w:t xml:space="preserve"> </w:t>
      </w:r>
    </w:p>
    <w:p w14:paraId="2B75A7BF" w14:textId="2DAEC4FA" w:rsidR="007840F7" w:rsidRPr="007840F7" w:rsidRDefault="007840F7" w:rsidP="00FB51CD">
      <w:pPr>
        <w:pStyle w:val="BodyTextBulletIntro"/>
      </w:pPr>
      <w:r w:rsidRPr="00FB51CD">
        <w:rPr>
          <w:rStyle w:val="CharacterBold"/>
        </w:rPr>
        <w:t>Understanding:</w:t>
      </w:r>
      <w:r w:rsidRPr="007840F7">
        <w:t xml:space="preserve"> ER&amp;R workload is not static. CMS requires a staffing model that can respond to seasonal peaks, surges in operational demand, escalations, and other events without compromising continuity, quality, or compliance</w:t>
      </w:r>
      <w:commentRangeStart w:id="119"/>
      <w:r w:rsidRPr="007840F7">
        <w:t>.</w:t>
      </w:r>
      <w:commentRangeEnd w:id="119"/>
      <w:r w:rsidRPr="007840F7">
        <w:rPr>
          <w:rStyle w:val="CommentReference"/>
          <w:sz w:val="24"/>
          <w:szCs w:val="22"/>
        </w:rPr>
        <w:commentReference w:id="119"/>
      </w:r>
    </w:p>
    <w:p w14:paraId="5BB1134A" w14:textId="77777777" w:rsidR="007840F7" w:rsidRPr="007840F7" w:rsidRDefault="007840F7" w:rsidP="00FB51CD">
      <w:pPr>
        <w:pStyle w:val="Bulletlevel1"/>
      </w:pPr>
      <w:r w:rsidRPr="00FB51CD">
        <w:rPr>
          <w:rStyle w:val="CharacterBold"/>
        </w:rPr>
        <w:t>Maintain</w:t>
      </w:r>
      <w:r w:rsidRPr="007840F7">
        <w:t xml:space="preserve"> visible </w:t>
      </w:r>
      <w:r w:rsidRPr="00FB51CD">
        <w:rPr>
          <w:rStyle w:val="CharacterBold"/>
        </w:rPr>
        <w:t>surge and flex capacity</w:t>
      </w:r>
      <w:r w:rsidRPr="007840F7">
        <w:t xml:space="preserve"> to support peak operational periods, including heightened demand associated with </w:t>
      </w:r>
      <w:r w:rsidRPr="00FB51CD">
        <w:rPr>
          <w:rStyle w:val="CharacterBold"/>
        </w:rPr>
        <w:t>Form 1095-A support during January through May</w:t>
      </w:r>
      <w:r w:rsidRPr="007840F7">
        <w:t xml:space="preserve"> and other workload spikes driven by seasonal activity, escalations, operational events, incident response, or release activity.</w:t>
      </w:r>
    </w:p>
    <w:p w14:paraId="333DF3F9" w14:textId="77777777" w:rsidR="007840F7" w:rsidRPr="007840F7" w:rsidRDefault="007840F7" w:rsidP="00FB51CD">
      <w:pPr>
        <w:pStyle w:val="Bulletlevel1"/>
      </w:pPr>
      <w:r w:rsidRPr="00FB51CD">
        <w:rPr>
          <w:rStyle w:val="CharacterBold"/>
        </w:rPr>
        <w:t>Recognize</w:t>
      </w:r>
      <w:r w:rsidRPr="007840F7">
        <w:t xml:space="preserve"> that several ER&amp;R workstreams are inherently seasonal or volume-sensitive — including Form 1095-A disputes, Complex Case Help Center support, and telephone/correspondence support — and </w:t>
      </w:r>
      <w:r w:rsidRPr="00FB51CD">
        <w:rPr>
          <w:rStyle w:val="CharacterBold"/>
        </w:rPr>
        <w:t>apply</w:t>
      </w:r>
      <w:r w:rsidRPr="007840F7">
        <w:t xml:space="preserve"> a controlled surge approach that flexes staffing in response while maintaining quality, technical compliance, and continuity of service.</w:t>
      </w:r>
    </w:p>
    <w:p w14:paraId="6AC5551F" w14:textId="77777777" w:rsidR="007840F7" w:rsidRPr="007840F7" w:rsidRDefault="007840F7" w:rsidP="00FB51CD">
      <w:pPr>
        <w:pStyle w:val="Bulletlevel1"/>
      </w:pPr>
      <w:r w:rsidRPr="00FB51CD">
        <w:rPr>
          <w:rStyle w:val="CharacterBold"/>
        </w:rPr>
        <w:t>Differentiate</w:t>
      </w:r>
      <w:r w:rsidRPr="007840F7">
        <w:t xml:space="preserve"> surge support between </w:t>
      </w:r>
      <w:r w:rsidRPr="00FB51CD">
        <w:rPr>
          <w:rStyle w:val="CharacterBold"/>
        </w:rPr>
        <w:t>casework surge</w:t>
      </w:r>
      <w:r w:rsidRPr="007840F7">
        <w:t xml:space="preserve">, focused on queue balancing, backlog management, triage support, escalation coverage, and higher-complexity workload absorption, and </w:t>
      </w:r>
      <w:r w:rsidRPr="00FB51CD">
        <w:rPr>
          <w:rStyle w:val="CharacterBold"/>
        </w:rPr>
        <w:t>contact center surge</w:t>
      </w:r>
      <w:r w:rsidRPr="007840F7">
        <w:t>, focused on staffing coverage, supervisor support, workforce planning, and operational monitoring.</w:t>
      </w:r>
    </w:p>
    <w:p w14:paraId="2F5F72E9" w14:textId="77777777" w:rsidR="007840F7" w:rsidRPr="007840F7" w:rsidRDefault="007840F7" w:rsidP="00FB51CD">
      <w:pPr>
        <w:pStyle w:val="Bulletlevel1"/>
      </w:pPr>
      <w:r w:rsidRPr="00FB51CD">
        <w:rPr>
          <w:rStyle w:val="CharacterBold"/>
        </w:rPr>
        <w:t>Support</w:t>
      </w:r>
      <w:r w:rsidRPr="007840F7">
        <w:t xml:space="preserve"> surge personnel with appropriate subject matter expertise, training and SOP guidance, supervision and quality oversight, role-based access controls, and compliance with applicable technical </w:t>
      </w:r>
      <w:r w:rsidRPr="007840F7">
        <w:lastRenderedPageBreak/>
        <w:t xml:space="preserve">procedures and security requirements, and </w:t>
      </w:r>
      <w:r w:rsidRPr="00FB51CD">
        <w:rPr>
          <w:rStyle w:val="CharacterBold"/>
        </w:rPr>
        <w:t>reflect</w:t>
      </w:r>
      <w:r w:rsidRPr="007840F7">
        <w:t xml:space="preserve"> final surge staffing levels and labor allocations in the final Staffing Plan and labor mix.</w:t>
      </w:r>
    </w:p>
    <w:p w14:paraId="526F6C28" w14:textId="5CB0C3A3" w:rsidR="0071582C" w:rsidRPr="0071582C" w:rsidRDefault="007840F7" w:rsidP="00FB51CD">
      <w:pPr>
        <w:pStyle w:val="Bulletlevel1"/>
      </w:pPr>
      <w:r w:rsidRPr="00FB51CD">
        <w:rPr>
          <w:rStyle w:val="CharacterBold"/>
        </w:rPr>
        <w:t>Maintain</w:t>
      </w:r>
      <w:r w:rsidRPr="007840F7">
        <w:t xml:space="preserve"> the ability to flex </w:t>
      </w:r>
      <w:r w:rsidRPr="00FB51CD">
        <w:rPr>
          <w:rStyle w:val="CharacterBold"/>
        </w:rPr>
        <w:t>technical support</w:t>
      </w:r>
      <w:r w:rsidRPr="007840F7">
        <w:t xml:space="preserve"> where needed to preserve continuity of operations during periods of elevated demand, release activity, incident response, or other operational events affecting the in-scope systems, including scalable support across service desk, application support, monitoring, and security-related functions so higher technical demand does not compromise business operations, casework throughput, or contact center performance.</w:t>
      </w:r>
    </w:p>
    <w:p w14:paraId="39F06C83" w14:textId="5469DD9B" w:rsidR="007C62A0" w:rsidRDefault="007C62A0" w:rsidP="00245804">
      <w:pPr>
        <w:pStyle w:val="Heading1"/>
      </w:pPr>
      <w:bookmarkStart w:id="120" w:name="_Toc227883194"/>
      <w:r>
        <w:t>3.0</w:t>
      </w:r>
      <w:r>
        <w:tab/>
      </w:r>
      <w:r w:rsidRPr="007C62A0">
        <w:t>Section 3: Key Personnel Qualifications and Corporate Experience</w:t>
      </w:r>
      <w:bookmarkEnd w:id="120"/>
      <w:r w:rsidR="00053351">
        <w:t xml:space="preserve"> </w:t>
      </w:r>
      <w:r w:rsidR="00053351" w:rsidRPr="00806273">
        <w:rPr>
          <w:color w:val="FF0000"/>
        </w:rPr>
        <w:t>(</w:t>
      </w:r>
      <w:r w:rsidR="00053351">
        <w:rPr>
          <w:color w:val="FF0000"/>
        </w:rPr>
        <w:t>Total 8</w:t>
      </w:r>
      <w:r w:rsidR="00053351" w:rsidRPr="00806273">
        <w:rPr>
          <w:color w:val="FF0000"/>
        </w:rPr>
        <w:t xml:space="preserve"> Pages)</w:t>
      </w:r>
    </w:p>
    <w:p w14:paraId="62D72ADA" w14:textId="4E0C3F0C" w:rsidR="007C62A0" w:rsidRDefault="00245804" w:rsidP="00245804">
      <w:pPr>
        <w:pStyle w:val="Heading2"/>
      </w:pPr>
      <w:bookmarkStart w:id="121" w:name="_Toc227883195"/>
      <w:r>
        <w:t>3.1</w:t>
      </w:r>
      <w:r>
        <w:tab/>
      </w:r>
      <w:commentRangeStart w:id="122"/>
      <w:r w:rsidR="007C62A0">
        <w:t>Sub-Section 3A: Key Personnel Qualifications</w:t>
      </w:r>
      <w:bookmarkEnd w:id="121"/>
      <w:commentRangeEnd w:id="122"/>
      <w:r w:rsidR="00BA6A25">
        <w:rPr>
          <w:rStyle w:val="CommentReference"/>
          <w:sz w:val="26"/>
          <w:szCs w:val="26"/>
        </w:rPr>
        <w:commentReference w:id="122"/>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DF01651" w14:textId="3F5AC540" w:rsidR="00245804" w:rsidRPr="00245804" w:rsidRDefault="00B854EA" w:rsidP="0056742A">
      <w:pPr>
        <w:pStyle w:val="Subheading1"/>
      </w:pPr>
      <w:r w:rsidRPr="00B854EA">
        <w:t>Key Personnel Roles and Responsibilities</w:t>
      </w:r>
    </w:p>
    <w:p w14:paraId="0E14A631" w14:textId="26C57C0D" w:rsidR="0056742A" w:rsidRPr="0056742A" w:rsidRDefault="009D2F87" w:rsidP="0056742A">
      <w:pPr>
        <w:pStyle w:val="BodyText"/>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0C3A69B8" w14:textId="18CF7B6B" w:rsidR="009D2F87" w:rsidRDefault="009C72D0" w:rsidP="0056742A">
      <w:pPr>
        <w:pStyle w:val="BodyText"/>
      </w:pPr>
      <w:r w:rsidRPr="009C72D0">
        <w:t xml:space="preserve">The following individuals are designated as Key Personnel for this task order. Current resumes are in Appendix </w:t>
      </w:r>
      <w:r w:rsidR="00FB51CD" w:rsidRPr="00FB51CD">
        <w:t>A</w:t>
      </w:r>
      <w:r w:rsidRPr="00FB51CD">
        <w:t>.</w:t>
      </w:r>
    </w:p>
    <w:p w14:paraId="54B0F68A" w14:textId="700BB262" w:rsidR="00112961" w:rsidRPr="000210FF" w:rsidRDefault="00112961" w:rsidP="00FB51CD">
      <w:pPr>
        <w:pStyle w:val="TableTitle"/>
        <w:rPr>
          <w:rFonts w:ascii="Arial" w:eastAsia="Arial" w:hAnsi="Arial" w:cs="Arial"/>
          <w:b w:val="0"/>
          <w:color w:val="1F4E79"/>
          <w:szCs w:val="24"/>
        </w:rPr>
      </w:pPr>
      <w:r w:rsidRPr="00FB51CD">
        <w:t xml:space="preserve">Table </w:t>
      </w:r>
      <w:r w:rsidR="00FB51CD">
        <w:t>3.1-1.</w:t>
      </w:r>
      <w:r w:rsidRPr="00FB51CD">
        <w:t xml:space="preserve"> </w:t>
      </w:r>
      <w:r w:rsidR="000210FF" w:rsidRPr="00FB51CD">
        <w:t xml:space="preserve">Key Personnel </w:t>
      </w:r>
      <w:r w:rsidR="00FB51CD" w:rsidRPr="00FB51CD">
        <w:t xml:space="preserve"> </w:t>
      </w:r>
      <w:r w:rsidR="000210FF" w:rsidRPr="00FB51CD">
        <w:t xml:space="preserve">– </w:t>
      </w:r>
      <w:r w:rsidR="00995647">
        <w:rPr>
          <w:rFonts w:ascii="Arial" w:eastAsia="Arial" w:hAnsi="Arial" w:cs="Arial"/>
          <w:color w:val="1F4E79"/>
          <w:szCs w:val="24"/>
        </w:rPr>
        <w:t>E</w:t>
      </w:r>
      <w:r w:rsidR="00995647" w:rsidRPr="00995647">
        <w:rPr>
          <w:rFonts w:ascii="Arial" w:eastAsia="Arial" w:hAnsi="Arial" w:cs="Arial"/>
          <w:color w:val="1F4E79"/>
          <w:szCs w:val="24"/>
        </w:rPr>
        <w:t>ducation</w:t>
      </w:r>
      <w:r w:rsidR="0002087E">
        <w:rPr>
          <w:rFonts w:ascii="Arial" w:eastAsia="Arial" w:hAnsi="Arial" w:cs="Arial"/>
          <w:color w:val="1F4E79"/>
          <w:szCs w:val="24"/>
        </w:rPr>
        <w:t>,</w:t>
      </w:r>
      <w:r w:rsidR="000210FF">
        <w:rPr>
          <w:rFonts w:ascii="Arial" w:eastAsia="Arial" w:hAnsi="Arial" w:cs="Arial"/>
          <w:color w:val="1F4E79"/>
          <w:szCs w:val="24"/>
        </w:rPr>
        <w:t xml:space="preserve"> </w:t>
      </w:r>
      <w:r w:rsidR="00995647" w:rsidRPr="00995647">
        <w:rPr>
          <w:rFonts w:ascii="Arial" w:eastAsia="Arial" w:hAnsi="Arial" w:cs="Arial"/>
          <w:color w:val="1F4E79"/>
          <w:szCs w:val="24"/>
        </w:rPr>
        <w:t>Professional Experience</w:t>
      </w:r>
      <w:r w:rsidR="0002087E">
        <w:rPr>
          <w:rFonts w:ascii="Arial" w:eastAsia="Arial" w:hAnsi="Arial" w:cs="Arial"/>
          <w:color w:val="1F4E79"/>
          <w:szCs w:val="24"/>
        </w:rPr>
        <w:t>, &amp; Availability</w:t>
      </w:r>
    </w:p>
    <w:tbl>
      <w:tblPr>
        <w:tblStyle w:val="DeloitteTable2"/>
        <w:tblW w:w="9360" w:type="dxa"/>
        <w:tblLook w:val="04A0" w:firstRow="1" w:lastRow="0" w:firstColumn="1" w:lastColumn="0" w:noHBand="0" w:noVBand="1"/>
      </w:tblPr>
      <w:tblGrid>
        <w:gridCol w:w="2739"/>
        <w:gridCol w:w="6621"/>
      </w:tblGrid>
      <w:tr w:rsidR="00112961" w14:paraId="4BA1CABC"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23EEFE67" w14:textId="77777777" w:rsidR="00112961" w:rsidRDefault="00112961" w:rsidP="00FB51CD">
            <w:pPr>
              <w:pStyle w:val="TableHeading"/>
            </w:pPr>
            <w:r>
              <w:t>Personnel, Education &amp; Availability</w:t>
            </w:r>
          </w:p>
        </w:tc>
        <w:tc>
          <w:tcPr>
            <w:tcW w:w="6621" w:type="dxa"/>
          </w:tcPr>
          <w:p w14:paraId="22A268F9" w14:textId="7629DA11"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112961" w14:paraId="1236DC31"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18EB6391" w14:textId="77777777" w:rsidR="00112961" w:rsidRPr="00FB51CD" w:rsidRDefault="00112961" w:rsidP="00C82525">
            <w:pPr>
              <w:pStyle w:val="TableBody"/>
              <w:spacing w:after="0"/>
              <w:rPr>
                <w:rStyle w:val="CharacterBold"/>
              </w:rPr>
            </w:pPr>
            <w:r w:rsidRPr="00FB51CD">
              <w:rPr>
                <w:rStyle w:val="CharacterBold"/>
              </w:rPr>
              <w:t>[FIRST LAST, Degrees]</w:t>
            </w:r>
          </w:p>
          <w:p w14:paraId="19578047" w14:textId="77777777" w:rsidR="00112961" w:rsidRDefault="00112961" w:rsidP="00C82525">
            <w:pPr>
              <w:pStyle w:val="TableBody"/>
              <w:spacing w:after="0"/>
            </w:pPr>
            <w:r w:rsidRPr="00FB51CD">
              <w:rPr>
                <w:rStyle w:val="CharacterBold"/>
              </w:rPr>
              <w:t>Project Director</w:t>
            </w:r>
          </w:p>
          <w:p w14:paraId="4CE0EC06" w14:textId="77777777" w:rsidR="00112961" w:rsidRPr="00FB51CD" w:rsidRDefault="00112961" w:rsidP="00C82525">
            <w:pPr>
              <w:pStyle w:val="TableBody"/>
              <w:spacing w:after="0"/>
              <w:rPr>
                <w:rStyle w:val="CharacterBoldBlue"/>
              </w:rPr>
            </w:pPr>
            <w:r w:rsidRPr="00FB51CD">
              <w:rPr>
                <w:rStyle w:val="CharacterBoldBlue"/>
              </w:rPr>
              <w:t>(Key Personnel)</w:t>
            </w:r>
          </w:p>
          <w:p w14:paraId="6BCB7FEA" w14:textId="77777777" w:rsidR="00112961" w:rsidRDefault="00112961" w:rsidP="00C82525">
            <w:pPr>
              <w:pStyle w:val="TableBody"/>
              <w:spacing w:after="0"/>
            </w:pPr>
            <w:r>
              <w:rPr>
                <w:color w:val="595959"/>
              </w:rPr>
              <w:t>[X]% | Base Period – OP4</w:t>
            </w:r>
          </w:p>
          <w:p w14:paraId="78F716C3" w14:textId="77777777" w:rsidR="00112961" w:rsidRDefault="00112961" w:rsidP="00C82525">
            <w:pPr>
              <w:pStyle w:val="TableBody"/>
              <w:spacing w:after="0"/>
            </w:pPr>
            <w:r>
              <w:t>[Degree, Field] [University Name]</w:t>
            </w:r>
          </w:p>
        </w:tc>
        <w:tc>
          <w:tcPr>
            <w:tcW w:w="6621" w:type="dxa"/>
          </w:tcPr>
          <w:p w14:paraId="75928CF7" w14:textId="6A01E90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08D38A68"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DA9EC09" w14:textId="77777777" w:rsidR="00112961" w:rsidRPr="00FB51CD" w:rsidRDefault="00112961" w:rsidP="00C82525">
            <w:pPr>
              <w:pStyle w:val="TableBody"/>
              <w:spacing w:after="0"/>
              <w:rPr>
                <w:rStyle w:val="CharacterBold"/>
              </w:rPr>
            </w:pPr>
            <w:r w:rsidRPr="00FB51CD">
              <w:rPr>
                <w:rStyle w:val="CharacterBold"/>
              </w:rPr>
              <w:t>[FIRST LAST, PMP]</w:t>
            </w:r>
          </w:p>
          <w:p w14:paraId="5AD103DD" w14:textId="77777777" w:rsidR="00112961" w:rsidRPr="00FB51CD" w:rsidRDefault="00112961" w:rsidP="00C82525">
            <w:pPr>
              <w:pStyle w:val="TableBody"/>
              <w:spacing w:after="0"/>
              <w:rPr>
                <w:rStyle w:val="CharacterBold"/>
              </w:rPr>
            </w:pPr>
            <w:r w:rsidRPr="00FB51CD">
              <w:rPr>
                <w:rStyle w:val="CharacterBold"/>
              </w:rPr>
              <w:t>Project Manager (ER&amp;R)</w:t>
            </w:r>
          </w:p>
          <w:p w14:paraId="1F8E1306" w14:textId="77777777" w:rsidR="00112961" w:rsidRPr="00FB51CD" w:rsidRDefault="00112961" w:rsidP="00C82525">
            <w:pPr>
              <w:pStyle w:val="TableBody"/>
              <w:spacing w:after="0"/>
              <w:rPr>
                <w:rStyle w:val="CharacterBoldBlue"/>
              </w:rPr>
            </w:pPr>
            <w:r w:rsidRPr="00FB51CD">
              <w:rPr>
                <w:rStyle w:val="CharacterBoldBlue"/>
              </w:rPr>
              <w:t>(Key Personnel)</w:t>
            </w:r>
          </w:p>
          <w:p w14:paraId="287C8993" w14:textId="77777777" w:rsidR="00112961" w:rsidRDefault="00112961" w:rsidP="00C82525">
            <w:pPr>
              <w:pStyle w:val="TableBody"/>
              <w:spacing w:after="0"/>
            </w:pPr>
            <w:r>
              <w:rPr>
                <w:color w:val="595959"/>
              </w:rPr>
              <w:t>[X]% | Base Period – OP4</w:t>
            </w:r>
          </w:p>
          <w:p w14:paraId="4CB68F50" w14:textId="66E02FC5" w:rsidR="00112961" w:rsidRDefault="00112961" w:rsidP="00C82525">
            <w:pPr>
              <w:pStyle w:val="TableBody"/>
              <w:spacing w:after="0"/>
            </w:pPr>
            <w:r>
              <w:t xml:space="preserve">[Degree, Field] [University Name] </w:t>
            </w:r>
          </w:p>
        </w:tc>
        <w:tc>
          <w:tcPr>
            <w:tcW w:w="6621" w:type="dxa"/>
          </w:tcPr>
          <w:p w14:paraId="03810CC5" w14:textId="34AB07F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6EF17E79"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36716B08" w14:textId="77777777" w:rsidR="00112961" w:rsidRPr="00FB51CD" w:rsidRDefault="00112961" w:rsidP="00C82525">
            <w:pPr>
              <w:pStyle w:val="TableBody"/>
              <w:spacing w:after="0"/>
              <w:rPr>
                <w:rStyle w:val="CharacterBold"/>
              </w:rPr>
            </w:pPr>
            <w:r w:rsidRPr="00FB51CD">
              <w:rPr>
                <w:rStyle w:val="CharacterBold"/>
              </w:rPr>
              <w:t>[FIRST LAST, PMP]</w:t>
            </w:r>
          </w:p>
          <w:p w14:paraId="3823F50A" w14:textId="77777777" w:rsidR="00112961" w:rsidRPr="00FB51CD" w:rsidRDefault="00112961" w:rsidP="00C82525">
            <w:pPr>
              <w:pStyle w:val="TableBody"/>
              <w:spacing w:after="0"/>
              <w:rPr>
                <w:rStyle w:val="CharacterBold"/>
              </w:rPr>
            </w:pPr>
            <w:r w:rsidRPr="00FB51CD">
              <w:rPr>
                <w:rStyle w:val="CharacterBold"/>
              </w:rPr>
              <w:t>Project Manager (Form 1095-A &amp; CCHC)</w:t>
            </w:r>
          </w:p>
          <w:p w14:paraId="567C4005" w14:textId="77777777" w:rsidR="00112961" w:rsidRPr="00FB51CD" w:rsidRDefault="00112961" w:rsidP="00C82525">
            <w:pPr>
              <w:pStyle w:val="TableBody"/>
              <w:spacing w:after="0"/>
              <w:rPr>
                <w:rStyle w:val="CharacterBoldBlue"/>
              </w:rPr>
            </w:pPr>
            <w:r w:rsidRPr="00FB51CD">
              <w:rPr>
                <w:rStyle w:val="CharacterBoldBlue"/>
              </w:rPr>
              <w:t>(Key Personnel)</w:t>
            </w:r>
          </w:p>
          <w:p w14:paraId="77B0F347" w14:textId="77777777" w:rsidR="00112961" w:rsidRDefault="00112961" w:rsidP="00C82525">
            <w:pPr>
              <w:pStyle w:val="TableBody"/>
              <w:spacing w:after="0"/>
            </w:pPr>
            <w:r>
              <w:rPr>
                <w:color w:val="595959"/>
              </w:rPr>
              <w:t>[X]% | Base Period – OP4</w:t>
            </w:r>
          </w:p>
          <w:p w14:paraId="5A71E779" w14:textId="419592D9" w:rsidR="00112961" w:rsidRDefault="00112961" w:rsidP="00C82525">
            <w:pPr>
              <w:pStyle w:val="TableBody"/>
              <w:spacing w:after="0"/>
            </w:pPr>
            <w:r>
              <w:t xml:space="preserve">[Degree, Field] [University Name] </w:t>
            </w:r>
          </w:p>
        </w:tc>
        <w:tc>
          <w:tcPr>
            <w:tcW w:w="6621" w:type="dxa"/>
          </w:tcPr>
          <w:p w14:paraId="5CBA378A" w14:textId="52D21E2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24BE33BC"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18DE3E3" w14:textId="77777777" w:rsidR="00112961" w:rsidRPr="00FB51CD" w:rsidRDefault="00112961" w:rsidP="00C82525">
            <w:pPr>
              <w:pStyle w:val="TableBody"/>
              <w:spacing w:after="0"/>
              <w:rPr>
                <w:rStyle w:val="CharacterBold"/>
              </w:rPr>
            </w:pPr>
            <w:r w:rsidRPr="00FB51CD">
              <w:rPr>
                <w:rStyle w:val="CharacterBold"/>
              </w:rPr>
              <w:t>[FIRST LAST, Degrees]</w:t>
            </w:r>
          </w:p>
          <w:p w14:paraId="7B6C65EF" w14:textId="77777777" w:rsidR="00112961" w:rsidRPr="00FB51CD" w:rsidRDefault="00112961" w:rsidP="00C82525">
            <w:pPr>
              <w:pStyle w:val="TableBody"/>
              <w:spacing w:after="0"/>
              <w:rPr>
                <w:rStyle w:val="CharacterBold"/>
              </w:rPr>
            </w:pPr>
            <w:r w:rsidRPr="00FB51CD">
              <w:rPr>
                <w:rStyle w:val="CharacterBold"/>
              </w:rPr>
              <w:t>Project Manager (IT Data &amp; Technical Support)</w:t>
            </w:r>
          </w:p>
          <w:p w14:paraId="088F864D" w14:textId="77777777" w:rsidR="00112961" w:rsidRPr="00FB51CD" w:rsidRDefault="00112961" w:rsidP="00C82525">
            <w:pPr>
              <w:pStyle w:val="TableBody"/>
              <w:spacing w:after="0"/>
              <w:rPr>
                <w:rStyle w:val="CharacterBoldBlue"/>
              </w:rPr>
            </w:pPr>
            <w:r w:rsidRPr="00FB51CD">
              <w:rPr>
                <w:rStyle w:val="CharacterBoldBlue"/>
              </w:rPr>
              <w:t>(Key Personnel)</w:t>
            </w:r>
          </w:p>
          <w:p w14:paraId="051FF0D9" w14:textId="77777777" w:rsidR="00112961" w:rsidRDefault="00112961" w:rsidP="00C82525">
            <w:pPr>
              <w:pStyle w:val="TableBody"/>
              <w:spacing w:after="0"/>
            </w:pPr>
            <w:r>
              <w:rPr>
                <w:color w:val="595959"/>
              </w:rPr>
              <w:t>[X]% | Base Period – OP4</w:t>
            </w:r>
          </w:p>
          <w:p w14:paraId="35676324" w14:textId="77777777" w:rsidR="00112961" w:rsidRDefault="00112961" w:rsidP="00C82525">
            <w:pPr>
              <w:pStyle w:val="TableBody"/>
              <w:spacing w:after="0"/>
            </w:pPr>
            <w:r>
              <w:t>[Degree, Field] [University Name]</w:t>
            </w:r>
          </w:p>
        </w:tc>
        <w:tc>
          <w:tcPr>
            <w:tcW w:w="6621" w:type="dxa"/>
          </w:tcPr>
          <w:p w14:paraId="743B5F26" w14:textId="1F7C57B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2774D292"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D38199" w14:textId="77777777" w:rsidR="00112961" w:rsidRPr="00FB51CD" w:rsidRDefault="00112961" w:rsidP="00C82525">
            <w:pPr>
              <w:pStyle w:val="TableBody"/>
              <w:spacing w:after="0"/>
              <w:rPr>
                <w:rStyle w:val="CharacterBold"/>
              </w:rPr>
            </w:pPr>
            <w:r w:rsidRPr="00FB51CD">
              <w:rPr>
                <w:rStyle w:val="CharacterBold"/>
              </w:rPr>
              <w:t>[FIRST LAST, Degrees]</w:t>
            </w:r>
          </w:p>
          <w:p w14:paraId="601F9D4D" w14:textId="77777777" w:rsidR="00112961" w:rsidRPr="00FB51CD" w:rsidRDefault="00112961" w:rsidP="00C82525">
            <w:pPr>
              <w:pStyle w:val="TableBody"/>
              <w:spacing w:after="0"/>
              <w:rPr>
                <w:rStyle w:val="CharacterBold"/>
              </w:rPr>
            </w:pPr>
            <w:r w:rsidRPr="00FB51CD">
              <w:rPr>
                <w:rStyle w:val="CharacterBold"/>
              </w:rPr>
              <w:t>Technical Director</w:t>
            </w:r>
          </w:p>
          <w:p w14:paraId="37E28131" w14:textId="77777777" w:rsidR="00112961" w:rsidRPr="00FB51CD" w:rsidRDefault="00112961" w:rsidP="00C82525">
            <w:pPr>
              <w:pStyle w:val="TableBody"/>
              <w:spacing w:after="0"/>
              <w:rPr>
                <w:rStyle w:val="CharacterBoldBlue"/>
              </w:rPr>
            </w:pPr>
            <w:r w:rsidRPr="00FB51CD">
              <w:rPr>
                <w:rStyle w:val="CharacterBoldBlue"/>
              </w:rPr>
              <w:t>(Key Personnel)</w:t>
            </w:r>
          </w:p>
          <w:p w14:paraId="07831610" w14:textId="77777777" w:rsidR="00112961" w:rsidRDefault="00112961" w:rsidP="00C82525">
            <w:pPr>
              <w:pStyle w:val="TableBody"/>
              <w:spacing w:after="0"/>
            </w:pPr>
            <w:r>
              <w:rPr>
                <w:color w:val="595959"/>
              </w:rPr>
              <w:lastRenderedPageBreak/>
              <w:t>[X]% | Base Period – OP4</w:t>
            </w:r>
          </w:p>
          <w:p w14:paraId="4AF20E72" w14:textId="77777777" w:rsidR="00112961" w:rsidRDefault="00112961" w:rsidP="00C82525">
            <w:pPr>
              <w:pStyle w:val="TableBody"/>
              <w:spacing w:after="0"/>
            </w:pPr>
            <w:r>
              <w:t>[Degree, Field] [University Name]</w:t>
            </w:r>
          </w:p>
        </w:tc>
        <w:tc>
          <w:tcPr>
            <w:tcW w:w="6621" w:type="dxa"/>
          </w:tcPr>
          <w:p w14:paraId="13EA881F" w14:textId="6262653F"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740E2BFF"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7BF058D" w14:textId="77777777" w:rsidR="00112961" w:rsidRPr="00C82525" w:rsidRDefault="00112961" w:rsidP="00C82525">
            <w:pPr>
              <w:pStyle w:val="TableBody"/>
              <w:spacing w:after="0"/>
              <w:rPr>
                <w:rStyle w:val="CharacterBold"/>
              </w:rPr>
            </w:pPr>
            <w:r w:rsidRPr="00C82525">
              <w:rPr>
                <w:rStyle w:val="CharacterBold"/>
              </w:rPr>
              <w:t>[FIRST LAST, CISSP]</w:t>
            </w:r>
          </w:p>
          <w:p w14:paraId="0644DC40" w14:textId="77777777" w:rsidR="00112961" w:rsidRPr="00C82525" w:rsidRDefault="00112961" w:rsidP="00C82525">
            <w:pPr>
              <w:pStyle w:val="TableBody"/>
              <w:spacing w:after="0"/>
              <w:rPr>
                <w:rStyle w:val="CharacterBold"/>
              </w:rPr>
            </w:pPr>
            <w:r w:rsidRPr="00C82525">
              <w:rPr>
                <w:rStyle w:val="CharacterBold"/>
              </w:rPr>
              <w:t>Security &amp; Privacy Officer</w:t>
            </w:r>
          </w:p>
          <w:p w14:paraId="1AC2378D" w14:textId="77777777" w:rsidR="00112961" w:rsidRPr="00FB51CD" w:rsidRDefault="00112961" w:rsidP="00C82525">
            <w:pPr>
              <w:pStyle w:val="TableBody"/>
              <w:spacing w:after="0"/>
              <w:rPr>
                <w:rStyle w:val="CharacterBoldBlue"/>
              </w:rPr>
            </w:pPr>
            <w:r w:rsidRPr="00FB51CD">
              <w:rPr>
                <w:rStyle w:val="CharacterBoldBlue"/>
              </w:rPr>
              <w:t>(Key Personnel)</w:t>
            </w:r>
          </w:p>
          <w:p w14:paraId="27D9EDD2" w14:textId="77777777" w:rsidR="00112961" w:rsidRDefault="00112961" w:rsidP="00C82525">
            <w:pPr>
              <w:pStyle w:val="TableBody"/>
              <w:spacing w:after="0"/>
            </w:pPr>
            <w:r>
              <w:rPr>
                <w:color w:val="595959"/>
              </w:rPr>
              <w:t>[X]% | Base Period – OP4</w:t>
            </w:r>
          </w:p>
          <w:p w14:paraId="6E8563B5" w14:textId="12534331" w:rsidR="00112961" w:rsidRDefault="00112961" w:rsidP="00C82525">
            <w:pPr>
              <w:pStyle w:val="TableBody"/>
              <w:spacing w:after="0"/>
            </w:pPr>
            <w:r>
              <w:t xml:space="preserve">[Degree] [University Name] </w:t>
            </w:r>
          </w:p>
        </w:tc>
        <w:tc>
          <w:tcPr>
            <w:tcW w:w="6621" w:type="dxa"/>
          </w:tcPr>
          <w:p w14:paraId="4C2CF70B" w14:textId="7EF66429"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bl>
    <w:p w14:paraId="1DD17B46" w14:textId="77777777" w:rsidR="00991B11" w:rsidRDefault="00991B11" w:rsidP="00C82525">
      <w:pPr>
        <w:pStyle w:val="ParagraphSpacer"/>
      </w:pPr>
    </w:p>
    <w:p w14:paraId="250F1560" w14:textId="2806B044" w:rsidR="00991B11" w:rsidRDefault="00991B11" w:rsidP="00991B11">
      <w:pPr>
        <w:pStyle w:val="Subheading1"/>
      </w:pPr>
      <w:commentRangeStart w:id="123"/>
      <w:r>
        <w:t>Significant Leads</w:t>
      </w:r>
      <w:r w:rsidR="006B70F3">
        <w:t xml:space="preserve"> and Responsibilities </w:t>
      </w:r>
      <w:commentRangeEnd w:id="123"/>
      <w:r w:rsidR="001633F2">
        <w:rPr>
          <w:rStyle w:val="CommentReference"/>
          <w:sz w:val="24"/>
          <w:szCs w:val="22"/>
        </w:rPr>
        <w:commentReference w:id="123"/>
      </w:r>
    </w:p>
    <w:p w14:paraId="2EAC510D" w14:textId="2048EE92" w:rsidR="006B70F3" w:rsidRDefault="000E0A5E" w:rsidP="003B6A8F">
      <w:pPr>
        <w:pStyle w:val="BodyText"/>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1C1D69B2" w14:textId="38B09CA9"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Pr>
      <w:tblGrid>
        <w:gridCol w:w="2880"/>
        <w:gridCol w:w="6480"/>
      </w:tblGrid>
      <w:tr w:rsidR="00C55510" w14:paraId="418E002E"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2F6C99AC" w14:textId="77777777" w:rsidR="00C55510" w:rsidRDefault="00C55510" w:rsidP="00010302">
            <w:pPr>
              <w:pStyle w:val="TableHeading"/>
            </w:pPr>
            <w:r>
              <w:t>Personnel, Education &amp; Availability</w:t>
            </w:r>
          </w:p>
        </w:tc>
        <w:tc>
          <w:tcPr>
            <w:tcW w:w="6480" w:type="dxa"/>
          </w:tcPr>
          <w:p w14:paraId="74502450" w14:textId="189D8314"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C55510" w14:paraId="0843EC49"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7FA9CCEF" w14:textId="77777777" w:rsidR="00C55510" w:rsidRPr="00010302" w:rsidRDefault="00C55510" w:rsidP="00010302">
            <w:pPr>
              <w:pStyle w:val="TableBody"/>
              <w:spacing w:after="0"/>
              <w:rPr>
                <w:rStyle w:val="CharacterBold"/>
              </w:rPr>
            </w:pPr>
            <w:r>
              <w:t>[</w:t>
            </w:r>
            <w:r>
              <w:rPr>
                <w:rFonts w:ascii="Arial" w:eastAsia="Arial" w:hAnsi="Arial" w:cs="Arial"/>
                <w:b/>
                <w:bCs/>
                <w:szCs w:val="20"/>
              </w:rPr>
              <w:t>FIRST LAST, Degrees]</w:t>
            </w:r>
          </w:p>
          <w:p w14:paraId="3027E011" w14:textId="77777777" w:rsidR="00C55510" w:rsidRPr="00010302" w:rsidRDefault="00C55510" w:rsidP="00010302">
            <w:pPr>
              <w:pStyle w:val="TableBody"/>
              <w:spacing w:after="0"/>
              <w:rPr>
                <w:rStyle w:val="CharacterBold"/>
              </w:rPr>
            </w:pPr>
            <w:r w:rsidRPr="00010302">
              <w:rPr>
                <w:rStyle w:val="CharacterBold"/>
              </w:rPr>
              <w:t>Program Integrity Lead</w:t>
            </w:r>
          </w:p>
          <w:p w14:paraId="04CBAD98" w14:textId="77777777" w:rsidR="00C55510" w:rsidRDefault="00C55510" w:rsidP="00010302">
            <w:pPr>
              <w:pStyle w:val="TableBody"/>
              <w:spacing w:after="0"/>
            </w:pPr>
            <w:r>
              <w:rPr>
                <w:color w:val="595959"/>
              </w:rPr>
              <w:t>[X]% | Base Period – OP4</w:t>
            </w:r>
          </w:p>
          <w:p w14:paraId="14CF434A" w14:textId="77777777" w:rsidR="00C55510" w:rsidRDefault="00C55510" w:rsidP="00010302">
            <w:pPr>
              <w:pStyle w:val="TableBody"/>
              <w:spacing w:after="0"/>
            </w:pPr>
            <w:r>
              <w:t>[Degree, Field] [University Name]</w:t>
            </w:r>
          </w:p>
        </w:tc>
        <w:tc>
          <w:tcPr>
            <w:tcW w:w="6480" w:type="dxa"/>
          </w:tcPr>
          <w:p w14:paraId="5BEC0335" w14:textId="575937C5"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334E9B0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0CC72CE" w14:textId="77777777" w:rsidR="00C55510" w:rsidRPr="00010302" w:rsidRDefault="00C55510" w:rsidP="00010302">
            <w:pPr>
              <w:pStyle w:val="TableBody"/>
              <w:spacing w:after="0"/>
              <w:rPr>
                <w:rStyle w:val="CharacterBold"/>
              </w:rPr>
            </w:pPr>
            <w:r w:rsidRPr="00010302">
              <w:rPr>
                <w:rStyle w:val="CharacterBold"/>
              </w:rPr>
              <w:t>[FIRST LAST, Degrees]</w:t>
            </w:r>
          </w:p>
          <w:p w14:paraId="2E5D0AD9" w14:textId="77777777" w:rsidR="00C55510" w:rsidRPr="00010302" w:rsidRDefault="00C55510" w:rsidP="00010302">
            <w:pPr>
              <w:pStyle w:val="TableBody"/>
              <w:spacing w:after="0"/>
              <w:rPr>
                <w:rStyle w:val="CharacterBold"/>
              </w:rPr>
            </w:pPr>
            <w:r w:rsidRPr="00010302">
              <w:rPr>
                <w:rStyle w:val="CharacterBold"/>
              </w:rPr>
              <w:t>Call Center Lead</w:t>
            </w:r>
          </w:p>
          <w:p w14:paraId="427601A5" w14:textId="77777777" w:rsidR="00C55510" w:rsidRDefault="00C55510" w:rsidP="00010302">
            <w:pPr>
              <w:pStyle w:val="TableBody"/>
              <w:spacing w:after="0"/>
            </w:pPr>
            <w:r>
              <w:rPr>
                <w:color w:val="595959"/>
              </w:rPr>
              <w:t>[X]% | Base Period – OP4</w:t>
            </w:r>
          </w:p>
          <w:p w14:paraId="4429F67A" w14:textId="77777777" w:rsidR="00C55510" w:rsidRDefault="00C55510" w:rsidP="00010302">
            <w:pPr>
              <w:pStyle w:val="TableBody"/>
              <w:spacing w:after="0"/>
            </w:pPr>
            <w:r>
              <w:t>[Degree, Field] [University Name]</w:t>
            </w:r>
          </w:p>
        </w:tc>
        <w:tc>
          <w:tcPr>
            <w:tcW w:w="6480" w:type="dxa"/>
          </w:tcPr>
          <w:p w14:paraId="5B324A05" w14:textId="11B12384"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7F20711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699F1783" w14:textId="77777777" w:rsidR="00C55510" w:rsidRPr="00010302" w:rsidRDefault="00C55510" w:rsidP="00010302">
            <w:pPr>
              <w:pStyle w:val="TableBody"/>
              <w:spacing w:after="0"/>
              <w:rPr>
                <w:rStyle w:val="CharacterBold"/>
              </w:rPr>
            </w:pPr>
            <w:r w:rsidRPr="00010302">
              <w:rPr>
                <w:rStyle w:val="CharacterBold"/>
              </w:rPr>
              <w:t>[FIRST LAST, Degrees]</w:t>
            </w:r>
          </w:p>
          <w:p w14:paraId="1755FBF9" w14:textId="77777777" w:rsidR="00C55510" w:rsidRPr="00010302" w:rsidRDefault="00C55510" w:rsidP="00010302">
            <w:pPr>
              <w:pStyle w:val="TableBody"/>
              <w:spacing w:after="0"/>
              <w:rPr>
                <w:rStyle w:val="CharacterBold"/>
              </w:rPr>
            </w:pPr>
            <w:r w:rsidRPr="00010302">
              <w:rPr>
                <w:rStyle w:val="CharacterBold"/>
              </w:rPr>
              <w:t>[Lead Title/Role — PLACEHOLDER]</w:t>
            </w:r>
          </w:p>
          <w:p w14:paraId="58B02AD7" w14:textId="77777777" w:rsidR="00C55510" w:rsidRDefault="00C55510" w:rsidP="00010302">
            <w:pPr>
              <w:pStyle w:val="TableBody"/>
              <w:spacing w:after="0"/>
            </w:pPr>
            <w:r>
              <w:rPr>
                <w:color w:val="595959"/>
              </w:rPr>
              <w:t>[X]% | Base Period – OP4</w:t>
            </w:r>
          </w:p>
          <w:p w14:paraId="79685A76" w14:textId="77777777" w:rsidR="00C55510" w:rsidRDefault="00C55510" w:rsidP="00010302">
            <w:pPr>
              <w:pStyle w:val="TableBody"/>
              <w:spacing w:after="0"/>
            </w:pPr>
            <w:r>
              <w:t>[Degree, Field] [University Name]</w:t>
            </w:r>
          </w:p>
        </w:tc>
        <w:tc>
          <w:tcPr>
            <w:tcW w:w="6480" w:type="dxa"/>
          </w:tcPr>
          <w:p w14:paraId="0E76D044" w14:textId="2B88743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5F8EB675"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A9FFFB0" w14:textId="77777777" w:rsidR="00C55510" w:rsidRPr="00010302" w:rsidRDefault="00C55510" w:rsidP="00010302">
            <w:pPr>
              <w:pStyle w:val="TableBody"/>
              <w:spacing w:after="0"/>
              <w:rPr>
                <w:rStyle w:val="CharacterBold"/>
              </w:rPr>
            </w:pPr>
            <w:r w:rsidRPr="00010302">
              <w:rPr>
                <w:rStyle w:val="CharacterBold"/>
              </w:rPr>
              <w:t>[FIRST LAST, Degrees]</w:t>
            </w:r>
          </w:p>
          <w:p w14:paraId="0720C58D" w14:textId="77777777" w:rsidR="00C55510" w:rsidRPr="00010302" w:rsidRDefault="00C55510" w:rsidP="00010302">
            <w:pPr>
              <w:pStyle w:val="TableBody"/>
              <w:spacing w:after="0"/>
              <w:rPr>
                <w:rStyle w:val="CharacterBold"/>
              </w:rPr>
            </w:pPr>
            <w:r w:rsidRPr="00010302">
              <w:rPr>
                <w:rStyle w:val="CharacterBold"/>
              </w:rPr>
              <w:t>[Lead Title/Role — PLACEHOLDER]</w:t>
            </w:r>
          </w:p>
          <w:p w14:paraId="0F47780F" w14:textId="77777777" w:rsidR="00C55510" w:rsidRDefault="00C55510" w:rsidP="00010302">
            <w:pPr>
              <w:pStyle w:val="TableBody"/>
              <w:spacing w:after="0"/>
            </w:pPr>
            <w:r>
              <w:rPr>
                <w:color w:val="595959"/>
              </w:rPr>
              <w:t>[X]% | Base Period – OP4</w:t>
            </w:r>
          </w:p>
          <w:p w14:paraId="43D59604" w14:textId="77777777" w:rsidR="00C55510" w:rsidRDefault="00C55510" w:rsidP="00010302">
            <w:pPr>
              <w:pStyle w:val="TableBody"/>
              <w:spacing w:after="0"/>
            </w:pPr>
            <w:r>
              <w:t>[Degree, Field] [University Name]</w:t>
            </w:r>
          </w:p>
        </w:tc>
        <w:tc>
          <w:tcPr>
            <w:tcW w:w="6480" w:type="dxa"/>
          </w:tcPr>
          <w:p w14:paraId="4DAF77AB" w14:textId="2C395EBF"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F7400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0FA9075" w14:textId="77777777" w:rsidR="00C55510" w:rsidRPr="00010302" w:rsidRDefault="00C55510" w:rsidP="00010302">
            <w:pPr>
              <w:pStyle w:val="TableBody"/>
              <w:spacing w:after="0"/>
              <w:rPr>
                <w:rStyle w:val="CharacterBold"/>
              </w:rPr>
            </w:pPr>
            <w:r w:rsidRPr="00010302">
              <w:rPr>
                <w:rStyle w:val="CharacterBold"/>
              </w:rPr>
              <w:t>[FIRST LAST, Degrees]</w:t>
            </w:r>
          </w:p>
          <w:p w14:paraId="278485D6" w14:textId="77777777" w:rsidR="00C55510" w:rsidRPr="00010302" w:rsidRDefault="00C55510" w:rsidP="00010302">
            <w:pPr>
              <w:pStyle w:val="TableBody"/>
              <w:spacing w:after="0"/>
              <w:rPr>
                <w:rStyle w:val="CharacterBold"/>
              </w:rPr>
            </w:pPr>
            <w:r w:rsidRPr="00010302">
              <w:rPr>
                <w:rStyle w:val="CharacterBold"/>
              </w:rPr>
              <w:t>[Lead Title/Role — PLACEHOLDER]</w:t>
            </w:r>
          </w:p>
          <w:p w14:paraId="220F3877" w14:textId="77777777" w:rsidR="00C55510" w:rsidRDefault="00C55510" w:rsidP="00010302">
            <w:pPr>
              <w:pStyle w:val="TableBody"/>
              <w:spacing w:after="0"/>
            </w:pPr>
            <w:r>
              <w:rPr>
                <w:color w:val="595959"/>
              </w:rPr>
              <w:t>[X]% | Base Period – OP4</w:t>
            </w:r>
          </w:p>
          <w:p w14:paraId="3CF5E46A" w14:textId="77777777" w:rsidR="00C55510" w:rsidRDefault="00C55510" w:rsidP="00010302">
            <w:pPr>
              <w:pStyle w:val="TableBody"/>
              <w:spacing w:after="0"/>
            </w:pPr>
            <w:r>
              <w:t>[Degree, Field] [University Name]</w:t>
            </w:r>
          </w:p>
        </w:tc>
        <w:tc>
          <w:tcPr>
            <w:tcW w:w="6480" w:type="dxa"/>
          </w:tcPr>
          <w:p w14:paraId="3AD66F2E" w14:textId="650D620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bl>
    <w:p w14:paraId="21D591A3" w14:textId="77777777" w:rsidR="00D468E9" w:rsidRPr="00245804" w:rsidRDefault="00D468E9" w:rsidP="00780B77">
      <w:pPr>
        <w:pStyle w:val="ParagraphSpacer"/>
      </w:pPr>
    </w:p>
    <w:p w14:paraId="70E7B647" w14:textId="0E110E7B" w:rsidR="005F5879" w:rsidRPr="00245804" w:rsidRDefault="005F5879" w:rsidP="00D56EB5">
      <w:pPr>
        <w:pStyle w:val="Subheading1"/>
      </w:pPr>
      <w:r>
        <w:t xml:space="preserve">Retention </w:t>
      </w:r>
      <w:r w:rsidR="00DB380F">
        <w:t xml:space="preserve">and Replacement </w:t>
      </w:r>
      <w:r w:rsidR="00D56EB5">
        <w:t>Approach</w:t>
      </w:r>
    </w:p>
    <w:p w14:paraId="6868EF6B" w14:textId="77777777" w:rsidR="008E1000" w:rsidRDefault="008E1000" w:rsidP="00780B77">
      <w:pPr>
        <w:pStyle w:val="BodyTextBulletIntro"/>
      </w:pPr>
      <w:r>
        <w:t>Retaining qualified key personnel is critical to uninterrupted ER&amp;R program operations. Deloitte has institutionalized robust succession processes to minimize disruption in the event of departures:</w:t>
      </w:r>
    </w:p>
    <w:p w14:paraId="1CB5CB97" w14:textId="322008A4" w:rsidR="008E1000" w:rsidRDefault="008E1000" w:rsidP="00780B77">
      <w:pPr>
        <w:pStyle w:val="Bulletlevel1"/>
      </w:pPr>
      <w:r w:rsidRPr="00780B77">
        <w:rPr>
          <w:rStyle w:val="CharacterBold"/>
        </w:rPr>
        <w:t>Pre-qualified bench of successors: Deloitte maintains a pipeline of CMS-experienced professionals for each key position. At least one qualified backup candidate has been identified in advance for each key role.</w:t>
      </w:r>
      <w:r/>
    </w:p>
    <w:p w14:paraId="05503308" w14:textId="4CB3BF87" w:rsidR="008E1000" w:rsidRDefault="008E1000" w:rsidP="00780B77">
      <w:pPr>
        <w:pStyle w:val="Bulletlevel1"/>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70C25ED8" w14:textId="26C76959" w:rsidR="008E1000" w:rsidRDefault="008E1000" w:rsidP="00780B77">
      <w:pPr>
        <w:pStyle w:val="Bulletlevel1"/>
      </w:pPr>
      <w:r w:rsidRPr="00780B77">
        <w:rPr>
          <w:rStyle w:val="CharacterBold"/>
        </w:rPr>
        <w:lastRenderedPageBreak/>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721DAFAF" w14:textId="3DC457F1" w:rsidR="00D56EB5" w:rsidRPr="00D56EB5" w:rsidRDefault="008E1000" w:rsidP="00780B77">
      <w:pPr>
        <w:pStyle w:val="Bulletlevel1"/>
      </w:pPr>
      <w:r w:rsidRPr="00780B77">
        <w:rPr>
          <w:rStyle w:val="CharacterBold"/>
        </w:rPr>
        <w:t>Transition overlap period: Where advance notice is available, Deloitte ensures a minimum 30-day co-performance period so outgoing and incoming personnel work in parallel, preserving operational continuity and institutional knowledge.</w:t>
      </w:r>
      <w:r/>
    </w:p>
    <w:p w14:paraId="6AA1AA88" w14:textId="77777777" w:rsidR="006557D6" w:rsidRPr="00245804" w:rsidRDefault="006557D6" w:rsidP="006557D6">
      <w:pPr>
        <w:pStyle w:val="Subheading1"/>
        <w:ind w:left="80"/>
      </w:pPr>
      <w:commentRangeStart w:id="124"/>
      <w:commentRangeStart w:id="125"/>
      <w:r>
        <w:t>Level of Effort</w:t>
      </w:r>
      <w:commentRangeEnd w:id="124"/>
      <w:r w:rsidRPr="00245804">
        <w:rPr>
          <w:rStyle w:val="CommentReference"/>
          <w:sz w:val="24"/>
          <w:szCs w:val="22"/>
        </w:rPr>
        <w:commentReference w:id="124"/>
      </w:r>
      <w:commentRangeEnd w:id="125"/>
      <w:r w:rsidRPr="00245804">
        <w:rPr>
          <w:rStyle w:val="CommentReference"/>
          <w:sz w:val="24"/>
          <w:szCs w:val="22"/>
        </w:rPr>
        <w:commentReference w:id="125"/>
      </w:r>
    </w:p>
    <w:p w14:paraId="3B3C24BA" w14:textId="77777777" w:rsidR="00C40C85" w:rsidRDefault="00C40C85" w:rsidP="006557D6">
      <w:pPr>
        <w:pStyle w:val="BodyText"/>
        <w:ind w:left="80"/>
      </w:pPr>
    </w:p>
    <w:p w14:paraId="45ED2A57" w14:textId="77777777" w:rsidR="00C40C85" w:rsidRPr="00245804" w:rsidRDefault="00C40C85" w:rsidP="006557D6">
      <w:pPr>
        <w:pStyle w:val="BodyText"/>
        <w:ind w:left="80"/>
      </w:pPr>
    </w:p>
    <w:p w14:paraId="7D3C80EB" w14:textId="77777777" w:rsidR="00C40C85" w:rsidRDefault="00C40C85" w:rsidP="006557D6">
      <w:pPr>
        <w:pStyle w:val="BodyText"/>
        <w:ind w:left="80"/>
        <w:sectPr w:rsidR="00C40C85" w:rsidSect="00C40C85">
          <w:headerReference w:type="even" r:id="rId47"/>
          <w:footerReference w:type="even" r:id="rId48"/>
          <w:footerReference w:type="default" r:id="rId49"/>
          <w:headerReference w:type="first" r:id="rId50"/>
          <w:type w:val="continuous"/>
          <w:pgSz w:w="12240" w:h="15840" w:code="1"/>
          <w:pgMar w:top="1440" w:right="1440" w:bottom="1440" w:left="1440" w:header="720" w:footer="576" w:gutter="0"/>
          <w:pgNumType w:start="1"/>
          <w:cols w:space="720"/>
          <w:docGrid w:linePitch="360"/>
        </w:sectPr>
      </w:pPr>
    </w:p>
    <w:p w14:paraId="6AAD44ED" w14:textId="32BCF82A" w:rsidR="007C62A0" w:rsidRDefault="00245804" w:rsidP="00245804">
      <w:pPr>
        <w:pStyle w:val="Heading2"/>
      </w:pPr>
      <w:bookmarkStart w:id="126" w:name="_Toc227883196"/>
      <w:r>
        <w:lastRenderedPageBreak/>
        <w:t>3.2</w:t>
      </w:r>
      <w:r>
        <w:tab/>
      </w:r>
      <w:commentRangeStart w:id="127"/>
      <w:r w:rsidR="007C62A0">
        <w:t>Sub-Section 3B: Corporate Experience</w:t>
      </w:r>
      <w:bookmarkEnd w:id="126"/>
      <w:commentRangeEnd w:id="127"/>
      <w:r w:rsidR="0010647B">
        <w:rPr>
          <w:rStyle w:val="CommentReference"/>
          <w:sz w:val="26"/>
          <w:szCs w:val="26"/>
        </w:rPr>
        <w:commentReference w:id="127"/>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7B53BC9" w14:textId="1DAB76A8" w:rsidR="002515C5" w:rsidRDefault="4BDB806A" w:rsidP="00780B77">
      <w:pPr>
        <w:pStyle w:val="BodyText"/>
      </w:pPr>
      <w:r w:rsidRPr="00802C4A">
        <w:t>We understand why change feels risky. Transition issues, delayed eligibility determinations, or call center disruptions can mean consumers can't get answers about their health coverage, benefits, or enrollment status. Legislative and public scrutiny leaves no margin for disruption. But continuity and change are not mutually exclusive. Deloitte has the experience, methodology, and proven track record to make change invisible to the consumer, protecting consumer experience while modernizing the systems underneath it.</w:t>
      </w:r>
      <w:commentRangeStart w:id="128"/>
      <w:r w:rsidRPr="00802C4A"/>
      <w:commentRangeEnd w:id="128"/>
      <w:r w:rsidR="00C52560" w:rsidRPr="00802C4A">
        <w:rPr>
          <w:rStyle w:val="CommentReference"/>
          <w:sz w:val="24"/>
          <w:szCs w:val="22"/>
        </w:rPr>
      </w:r>
      <w:r w:rsidRPr="00802C4A"/>
      <w:r w:rsidR="00225D53"/>
      <w:r w:rsidRPr="00802C4A"/>
    </w:p>
    <w:p w14:paraId="36A9E35E" w14:textId="51058FCB"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26B4D896" w14:textId="70D00DFF"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477E5291" w14:textId="5F7C3463" w:rsidR="00A9173D" w:rsidRDefault="005928F2">
            <w:pPr>
              <w:pStyle w:val="TableHeading"/>
            </w:pPr>
            <w:r w:rsidRPr="005928F2">
              <w:t>Project Name &amp; Client / Agency</w:t>
            </w:r>
          </w:p>
        </w:tc>
        <w:tc>
          <w:tcPr>
            <w:tcW w:w="961" w:type="dxa"/>
          </w:tcPr>
          <w:p w14:paraId="54324E68" w14:textId="75F1599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Period of Performance</w:t>
            </w:r>
          </w:p>
        </w:tc>
        <w:tc>
          <w:tcPr>
            <w:tcW w:w="2700" w:type="dxa"/>
          </w:tcPr>
          <w:p w14:paraId="28F6BB6F" w14:textId="023FBF80"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Project Description &amp; Relevance to SOW</w:t>
            </w:r>
          </w:p>
        </w:tc>
        <w:tc>
          <w:tcPr>
            <w:tcW w:w="990" w:type="dxa"/>
          </w:tcPr>
          <w:p w14:paraId="1175EF65" w14:textId="096F7E8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ER&amp;R Issuer Disputes</w:t>
            </w:r>
          </w:p>
        </w:tc>
        <w:tc>
          <w:tcPr>
            <w:tcW w:w="1080" w:type="dxa"/>
          </w:tcPr>
          <w:p w14:paraId="1C814806" w14:textId="10E7ECFF"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1095-A Consumer Disputes</w:t>
            </w:r>
          </w:p>
        </w:tc>
        <w:tc>
          <w:tcPr>
            <w:tcW w:w="810" w:type="dxa"/>
          </w:tcPr>
          <w:p w14:paraId="44F934D4" w14:textId="5877339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IT Systems O&amp;M</w:t>
            </w:r>
          </w:p>
        </w:tc>
        <w:tc>
          <w:tcPr>
            <w:tcW w:w="1080" w:type="dxa"/>
            <w:gridSpan w:val="2"/>
          </w:tcPr>
          <w:p w14:paraId="50FBEA9D" w14:textId="23BB9C9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Data Analytics &amp; BI Reporting</w:t>
            </w:r>
          </w:p>
        </w:tc>
        <w:tc>
          <w:tcPr>
            <w:tcW w:w="900" w:type="dxa"/>
            <w:gridSpan w:val="2"/>
          </w:tcPr>
          <w:p w14:paraId="34601886" w14:textId="6626CFB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Contact Center Support</w:t>
            </w:r>
          </w:p>
        </w:tc>
        <w:tc>
          <w:tcPr>
            <w:tcW w:w="927" w:type="dxa"/>
            <w:gridSpan w:val="2"/>
          </w:tcPr>
          <w:p w14:paraId="7CCB7EB0" w14:textId="1B72D80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Security &amp; Compliance</w:t>
            </w:r>
          </w:p>
        </w:tc>
        <w:tc>
          <w:tcPr>
            <w:tcW w:w="1073" w:type="dxa"/>
            <w:gridSpan w:val="2"/>
          </w:tcPr>
          <w:p w14:paraId="3E0B8028" w14:textId="449CB405"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Eligibility &amp; Enrollment Systems</w:t>
            </w:r>
          </w:p>
        </w:tc>
        <w:tc>
          <w:tcPr>
            <w:tcW w:w="1055" w:type="dxa"/>
          </w:tcPr>
          <w:p w14:paraId="0DB1D68B" w14:textId="2C414749"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Healthcare Exchange Platform Dev &amp; Ops</w:t>
            </w:r>
          </w:p>
        </w:tc>
      </w:tr>
      <w:tr w:rsidR="005928F2" w14:paraId="183263D1" w14:textId="69052502" w:rsidTr="005928F2">
        <w:tc>
          <w:tcPr>
            <w:cnfStyle w:val="001000000000" w:firstRow="0" w:lastRow="0" w:firstColumn="1" w:lastColumn="0" w:oddVBand="0" w:evenVBand="0" w:oddHBand="0" w:evenHBand="0" w:firstRowFirstColumn="0" w:firstRowLastColumn="0" w:lastRowFirstColumn="0" w:lastRowLastColumn="0"/>
            <w:tcW w:w="1374" w:type="dxa"/>
          </w:tcPr>
          <w:p w14:paraId="09A3B80E" w14:textId="4231162C" w:rsidR="005928F2" w:rsidRDefault="005928F2" w:rsidP="005928F2">
            <w:pPr>
              <w:pStyle w:val="TableRowHeading"/>
            </w:pPr>
            <w:r w:rsidRPr="002B6BA8">
              <w:t>XX / U.S. Office of Personnel Management (OPM)</w:t>
            </w:r>
          </w:p>
        </w:tc>
        <w:tc>
          <w:tcPr>
            <w:tcW w:w="961" w:type="dxa"/>
          </w:tcPr>
          <w:p w14:paraId="68D89F2A" w14:textId="7025D9E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Aug 2023 – Aug 2025</w:t>
            </w:r>
          </w:p>
        </w:tc>
        <w:tc>
          <w:tcPr>
            <w:tcW w:w="2700" w:type="dxa"/>
          </w:tcPr>
          <w:p w14:paraId="22E2F5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E66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Size:</w:t>
            </w:r>
            <w:r>
              <w:t xml:space="preserve"> Federal; $175M contract value</w:t>
            </w:r>
          </w:p>
          <w:p w14:paraId="5E5F2B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lastRenderedPageBreak/>
              <w:t>Scope:</w:t>
            </w:r>
            <w: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041BB8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Complexity:</w:t>
            </w:r>
            <w:r>
              <w:t xml:space="preserve"> 8 Applications, 20 External Interfaces, 1.9M Members, 113M+ Annual Transactions, peak single-hour active user count of 4,690, migration of 2.25 million member records at 99.6% accuracy</w:t>
            </w:r>
          </w:p>
          <w:p w14:paraId="595F034B" w14:textId="3689D35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Technological Landscape:</w:t>
            </w:r>
            <w:r>
              <w:t xml:space="preserve"> Azure FedRAMP Commercial Cloud, API integration (average response time 0.255 seconds against a 2-second SLA), NIST 800-53 compliance, FedRAMP authorization, automated FWA detection controls</w:t>
            </w:r>
          </w:p>
        </w:tc>
        <w:tc>
          <w:tcPr>
            <w:tcW w:w="990" w:type="dxa"/>
          </w:tcPr>
          <w:p w14:paraId="4AA401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D0E49CF" w14:textId="2FEA4D4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80398F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BFD4C00" w14:textId="6A63215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E150FED" w14:textId="3885B1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65B4A24" w14:textId="4E221F3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7B3A02A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569A43B" w14:textId="425969B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46C90F34" w14:textId="202B557B" w:rsidTr="005928F2">
        <w:tc>
          <w:tcPr>
            <w:cnfStyle w:val="001000000000" w:firstRow="0" w:lastRow="0" w:firstColumn="1" w:lastColumn="0" w:oddVBand="0" w:evenVBand="0" w:oddHBand="0" w:evenHBand="0" w:firstRowFirstColumn="0" w:firstRowLastColumn="0" w:lastRowFirstColumn="0" w:lastRowLastColumn="0"/>
            <w:tcW w:w="1374" w:type="dxa"/>
          </w:tcPr>
          <w:p w14:paraId="02E5B422" w14:textId="70BA06A1" w:rsidR="00A9173D" w:rsidRDefault="005928F2">
            <w:pPr>
              <w:pStyle w:val="TableRowHeading"/>
            </w:pPr>
            <w:r w:rsidRPr="002B6BA8">
              <w:t>Department of State, Bureau of Consular Affairs (CA)</w:t>
            </w:r>
          </w:p>
        </w:tc>
        <w:tc>
          <w:tcPr>
            <w:tcW w:w="961" w:type="dxa"/>
          </w:tcPr>
          <w:p w14:paraId="413C3453" w14:textId="7724F5D6" w:rsidR="00A9173D" w:rsidRDefault="005928F2">
            <w:pPr>
              <w:pStyle w:val="TableBody"/>
              <w:cnfStyle w:val="000000000000" w:firstRow="0" w:lastRow="0" w:firstColumn="0" w:lastColumn="0" w:oddVBand="0" w:evenVBand="0" w:oddHBand="0" w:evenHBand="0" w:firstRowFirstColumn="0" w:firstRowLastColumn="0" w:lastRowFirstColumn="0" w:lastRowLastColumn="0"/>
            </w:pPr>
            <w:r w:rsidRPr="0027673C">
              <w:t>Sep 2019 – Sep 2026</w:t>
            </w:r>
          </w:p>
        </w:tc>
        <w:tc>
          <w:tcPr>
            <w:tcW w:w="2700" w:type="dxa"/>
          </w:tcPr>
          <w:p w14:paraId="3A2C1A78"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 xml:space="preserve">Deloitte provides operations, maintenance, and modernization support for 80+ mission-critical applications across 240+ global posts, resolving 21K+ tickets annually under a 24/7/365 operational support model with </w:t>
            </w:r>
            <w: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49003C3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Size:</w:t>
            </w:r>
            <w:r>
              <w:t xml:space="preserve"> Federal; $430M projected contract value</w:t>
            </w:r>
          </w:p>
          <w:p w14:paraId="2912126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Operations, maintenance, and modernization of 80+ mission-critical applications. Scope includes system operations, software development, Tier III production support, DevSecOps delivery, and mission-critical system transitions.</w:t>
            </w:r>
          </w:p>
          <w:p w14:paraId="35588A6D"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80+ applications, 240+ global posts, 21K+ tickets annually, 200+ deployments per year, geographically dispersed multi-system environment, FISMA Moderate compliance</w:t>
            </w:r>
          </w:p>
          <w:p w14:paraId="3DB021EE" w14:textId="20C35A5B"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lastRenderedPageBreak/>
              <w:t>Technological Landscape:</w:t>
            </w:r>
            <w:r>
              <w:t xml:space="preserve"> FISMA Moderate, DevSecOps, Agile delivery, continuous deployment pipelines</w:t>
            </w:r>
          </w:p>
        </w:tc>
        <w:tc>
          <w:tcPr>
            <w:tcW w:w="990" w:type="dxa"/>
          </w:tcPr>
          <w:p w14:paraId="313BEC7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91286C5" w14:textId="7E8CE075"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6DF9E9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09294E7" w14:textId="7EC5311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74E5514" w14:textId="6629118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5BD774A" w14:textId="5A1E4BC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415603AB"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c>
          <w:tcPr>
            <w:tcW w:w="1055" w:type="dxa"/>
          </w:tcPr>
          <w:p w14:paraId="3A529070" w14:textId="6CE8FD9B"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r>
      <w:tr w:rsidR="00A9173D" w14:paraId="599C040A" w14:textId="11664DB5" w:rsidTr="005928F2">
        <w:tc>
          <w:tcPr>
            <w:cnfStyle w:val="001000000000" w:firstRow="0" w:lastRow="0" w:firstColumn="1" w:lastColumn="0" w:oddVBand="0" w:evenVBand="0" w:oddHBand="0" w:evenHBand="0" w:firstRowFirstColumn="0" w:firstRowLastColumn="0" w:lastRowFirstColumn="0" w:lastRowLastColumn="0"/>
            <w:tcW w:w="1374" w:type="dxa"/>
          </w:tcPr>
          <w:p w14:paraId="2A591D5A" w14:textId="2B9D3478" w:rsidR="00A9173D" w:rsidRDefault="005928F2">
            <w:pPr>
              <w:pStyle w:val="TableRowHeading"/>
            </w:pPr>
            <w:r w:rsidRPr="002B6BA8">
              <w:lastRenderedPageBreak/>
              <w:t>State of Washington</w:t>
            </w:r>
          </w:p>
        </w:tc>
        <w:tc>
          <w:tcPr>
            <w:tcW w:w="961" w:type="dxa"/>
          </w:tcPr>
          <w:p w14:paraId="37C7C8E8" w14:textId="5FF8163D"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Apr 2012 – Jun 2028</w:t>
            </w:r>
          </w:p>
        </w:tc>
        <w:tc>
          <w:tcPr>
            <w:tcW w:w="2700" w:type="dxa"/>
          </w:tcPr>
          <w:p w14:paraId="3498C197"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63477C3B"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C52B8C">
              <w:rPr>
                <w:rStyle w:val="CharacterBold"/>
              </w:rPr>
              <w:t>Size:</w:t>
            </w:r>
            <w:r>
              <w:t xml:space="preserve"> State; $196.5M contract value</w:t>
            </w:r>
          </w:p>
          <w:p w14:paraId="4875D8B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Full O&amp;M support for state-based exchange including eligibility, enrollment, interfaces, correspondence, plan management, administration, reporting, and Form 1095-A generation.</w:t>
            </w:r>
          </w:p>
          <w:p w14:paraId="6C0878A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1.5M Medicaid enrollees, 99.9% availability SLA, </w:t>
            </w:r>
            <w:r>
              <w:lastRenderedPageBreak/>
              <w:t>bi-weekly release cadences, cyclical Open Enrollment peak demand, multi-stakeholder coordination across state and federal entities</w:t>
            </w:r>
          </w:p>
          <w:p w14:paraId="06734380" w14:textId="1C09FFD4"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Technological Landscape:</w:t>
            </w:r>
            <w:r>
              <w:t xml:space="preserve"> FedRAMP Moderate, public-facing health insurance exchange environment</w:t>
            </w:r>
          </w:p>
        </w:tc>
        <w:tc>
          <w:tcPr>
            <w:tcW w:w="990" w:type="dxa"/>
          </w:tcPr>
          <w:p w14:paraId="3068334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0EF14977"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D4A7E6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DA22B0D" w14:textId="72F0070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2346717" w14:textId="581235A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2113192" w14:textId="06EE620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1F64163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43122273" w14:textId="346EF2C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3763DAA4" w14:textId="37EDE8EE" w:rsidTr="005928F2">
        <w:tc>
          <w:tcPr>
            <w:cnfStyle w:val="001000000000" w:firstRow="0" w:lastRow="0" w:firstColumn="1" w:lastColumn="0" w:oddVBand="0" w:evenVBand="0" w:oddHBand="0" w:evenHBand="0" w:firstRowFirstColumn="0" w:firstRowLastColumn="0" w:lastRowFirstColumn="0" w:lastRowLastColumn="0"/>
            <w:tcW w:w="1374" w:type="dxa"/>
          </w:tcPr>
          <w:p w14:paraId="5153DB1C" w14:textId="48F29B50" w:rsidR="00A9173D" w:rsidRDefault="005928F2">
            <w:pPr>
              <w:pStyle w:val="TableRowHeading"/>
            </w:pPr>
            <w:r w:rsidRPr="002B6BA8">
              <w:t>California Healthcare Eligibility, Enrollment, and Retention System (CalHEERS) / State of California</w:t>
            </w:r>
          </w:p>
        </w:tc>
        <w:tc>
          <w:tcPr>
            <w:tcW w:w="961" w:type="dxa"/>
          </w:tcPr>
          <w:p w14:paraId="19099518" w14:textId="4B7A19F8"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Sep 2019 – Jun 2027</w:t>
            </w:r>
          </w:p>
        </w:tc>
        <w:tc>
          <w:tcPr>
            <w:tcW w:w="2700" w:type="dxa"/>
          </w:tcPr>
          <w:p w14:paraId="3ACBF9E4"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commentRangeStart w:id="129"/>
            <w:r>
              <w:t xml:space="preserve">CalHEERS is </w:t>
            </w:r>
            <w:commentRangeEnd w:id="129"/>
            <w:r>
              <w:rPr>
                <w:rStyle w:val="CommentReference"/>
                <w:sz w:val="20"/>
                <w:szCs w:val="22"/>
              </w:rPr>
              <w:commentReference w:id="129"/>
            </w:r>
            <w:r>
              <w:t xml:space="preserve">a critical public-facing platform available to all 39 million Californians 24/7 to search, compare, and access affordable health care options that meet their unique health care needs. CalHEERS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CalHEERS and provides system development, maintenance, and operations (SDMO) services. Deloitte modernized CalHEERS to support over 55 million daily transactions and over 36,000 daily users on average during OE </w:t>
            </w:r>
            <w:r>
              <w:lastRenderedPageBreak/>
              <w:t>periods, serving 149,000 user visits and 112 million transactions per day at peak OE. Deloitte has also transitioned CalHEERS to a modernized cloud data and analytics platform capable of tackling complex business questions related to eligibility analytics, enrollment analytics, plan choice analytics, and transition analytics.</w:t>
            </w:r>
          </w:p>
          <w:p w14:paraId="3E3E64B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Size:</w:t>
            </w:r>
            <w:r>
              <w:rPr>
                <w:b/>
              </w:rPr>
              <w:t xml:space="preserve"> </w:t>
            </w:r>
            <w:r>
              <w:t>State; $900+ million, 7-year program, 800+ FTEs</w:t>
            </w:r>
          </w:p>
          <w:p w14:paraId="7AA98B0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Scope:</w:t>
            </w:r>
            <w:r>
              <w:rPr>
                <w:b/>
              </w:rPr>
              <w:t xml:space="preserve"> </w:t>
            </w:r>
            <w:r>
              <w:t>Deloitte serves as the System Integrator (SI) vendor for CalHEERS and provides system development, maintenance, and operations (SDMO) services. Deloitte also provides enhancements, security, maintenance, subcontractor, and product vendor management, 24/7 help desk support, and ongoing operations of core applications.</w:t>
            </w:r>
          </w:p>
          <w:p w14:paraId="554681C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Complexity:</w:t>
            </w:r>
            <w:r>
              <w:rPr>
                <w:b/>
              </w:rPr>
              <w:t xml:space="preserve"> </w:t>
            </w:r>
            <w:r>
              <w:t xml:space="preserve">10 Applications (2 COTS), 41 External Systems (30 Real Time), 7.7M Users, Multiple locations, working with 10+ contractors, supporting 100+ SW </w:t>
            </w:r>
            <w:r>
              <w:lastRenderedPageBreak/>
              <w:t>products across vendors in this multi-vendor environment</w:t>
            </w:r>
          </w:p>
          <w:p w14:paraId="1FA97DFB" w14:textId="0CEC7B3E" w:rsidR="00A9173D" w:rsidRDefault="00030E60">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Technological Landscape:</w:t>
            </w:r>
            <w:r>
              <w:rPr>
                <w:b/>
              </w:rPr>
              <w:t xml:space="preserve"> </w:t>
            </w:r>
            <w:r>
              <w:t>Microservice architecture, Java, OpenShift, Aurora PostgresSQL, Oracle, Amazon Web Services (AWS) – Amazon EC2, AWS Snowball, Amazon S3, Amazon EBS, Amazon EFS, AWS Direct Connect, Salesforce, GitLab, SonarQube, Splunk, Jenkins, Selenium, Dynatrace, LoadRunner, Snowflake, Tableau Server, Autosys, Databricks, PySpark Data Lake Builder</w:t>
            </w:r>
          </w:p>
        </w:tc>
        <w:tc>
          <w:tcPr>
            <w:tcW w:w="990" w:type="dxa"/>
          </w:tcPr>
          <w:p w14:paraId="739D76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4452CBDE"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DDE6A0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39417B8D" w14:textId="2923CF8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4E385624" w14:textId="1B1CC1B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061A85A7" w14:textId="311A04D6"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0C9E7B9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0DA4F18"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pPr>
          </w:p>
          <w:p w14:paraId="5894DE3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492CA1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A794D3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DA9763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4CF0B5B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5A8277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7D8C1BD"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6DBC78F"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71F6989"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791E49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36979A8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7D1E60C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248CCB6" w14:textId="6099F024" w:rsidR="005928F2" w:rsidRDefault="005928F2" w:rsidP="002A34E2">
            <w:pPr>
              <w:cnfStyle w:val="000000000000" w:firstRow="0" w:lastRow="0" w:firstColumn="0" w:lastColumn="0" w:oddVBand="0" w:evenVBand="0" w:oddHBand="0" w:evenHBand="0" w:firstRowFirstColumn="0" w:firstRowLastColumn="0" w:lastRowFirstColumn="0" w:lastRowLastColumn="0"/>
            </w:pPr>
          </w:p>
        </w:tc>
      </w:tr>
      <w:tr w:rsidR="00A9173D" w14:paraId="043FDF49" w14:textId="2B15A53F" w:rsidTr="005928F2">
        <w:tc>
          <w:tcPr>
            <w:cnfStyle w:val="001000000000" w:firstRow="0" w:lastRow="0" w:firstColumn="1" w:lastColumn="0" w:oddVBand="0" w:evenVBand="0" w:oddHBand="0" w:evenHBand="0" w:firstRowFirstColumn="0" w:firstRowLastColumn="0" w:lastRowFirstColumn="0" w:lastRowLastColumn="0"/>
            <w:tcW w:w="1374" w:type="dxa"/>
          </w:tcPr>
          <w:p w14:paraId="0CC79B00" w14:textId="1E3D1CFD" w:rsidR="00A9173D" w:rsidRDefault="005928F2">
            <w:pPr>
              <w:pStyle w:val="TableRowHeading"/>
            </w:pPr>
            <w:r w:rsidRPr="002B6BA8">
              <w:lastRenderedPageBreak/>
              <w:t xml:space="preserve">Veteran Benefits Administration / VA Medical Disability Examination (MDE) </w:t>
            </w:r>
          </w:p>
        </w:tc>
        <w:tc>
          <w:tcPr>
            <w:tcW w:w="961" w:type="dxa"/>
          </w:tcPr>
          <w:p w14:paraId="6092052C" w14:textId="264329F2"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Oct 2024 – Dec 2026</w:t>
            </w:r>
          </w:p>
        </w:tc>
        <w:tc>
          <w:tcPr>
            <w:tcW w:w="2700" w:type="dxa"/>
          </w:tcPr>
          <w:p w14:paraId="6425A2A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lastRenderedPageBreak/>
              <w:t>supported CMS and CCIIO continuously since 2009, bringing institutional knowledge of core Marketplace platforms and the financial management processes that directly align with ER&amp;R operational requirements.</w:t>
            </w:r>
          </w:p>
          <w:p w14:paraId="12DD6C36"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Size:</w:t>
            </w:r>
            <w:r>
              <w:t xml:space="preserve"> Federal; $31M contract value</w:t>
            </w:r>
          </w:p>
          <w:p w14:paraId="538D060B"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Scope:</w:t>
            </w:r>
            <w: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642DB73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t>Complexity:</w:t>
            </w:r>
            <w: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5CDD4F56" w14:textId="48DA0C40" w:rsidR="00A9173D" w:rsidRDefault="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lastRenderedPageBreak/>
              <w:t>Technological Landscape:</w:t>
            </w:r>
            <w: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09F0AA3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313974B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7E160F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EE5CAAF" w14:textId="452B4420"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1CC549DA" w14:textId="2580F28D"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52BBE29" w14:textId="0C3307F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675B96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23FDC4B" w14:textId="78FEF07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9711808"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529CFF" w14:textId="298DCFFB" w:rsidR="005928F2" w:rsidRDefault="005928F2" w:rsidP="005928F2">
            <w:pPr>
              <w:pStyle w:val="TableRowHeading"/>
            </w:pPr>
            <w:r w:rsidRPr="002B6BA8">
              <w:lastRenderedPageBreak/>
              <w:t>Veteran Health Administration / VA Connect</w:t>
            </w:r>
          </w:p>
        </w:tc>
        <w:tc>
          <w:tcPr>
            <w:tcW w:w="961" w:type="dxa"/>
          </w:tcPr>
          <w:p w14:paraId="3A5DBE5A" w14:textId="79ACDD2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Jun 2022 – Sep 2024</w:t>
            </w:r>
          </w:p>
        </w:tc>
        <w:tc>
          <w:tcPr>
            <w:tcW w:w="2700" w:type="dxa"/>
          </w:tcPr>
          <w:p w14:paraId="395C42C2" w14:textId="26F817C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2379F1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8430F0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FA54C8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375929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3086540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C522C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6781AE1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500C4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43CB0E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CB95A63" w14:textId="4070A142" w:rsidR="005928F2" w:rsidRDefault="005928F2" w:rsidP="005928F2">
            <w:pPr>
              <w:pStyle w:val="TableRowHeading"/>
            </w:pPr>
            <w:r w:rsidRPr="002B6BA8">
              <w:t xml:space="preserve">Financial Management Operational Analytics (FMOA) / CCIIO </w:t>
            </w:r>
          </w:p>
        </w:tc>
        <w:tc>
          <w:tcPr>
            <w:tcW w:w="961" w:type="dxa"/>
          </w:tcPr>
          <w:p w14:paraId="1DCD66F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2700" w:type="dxa"/>
          </w:tcPr>
          <w:p w14:paraId="6BF3E8B8" w14:textId="16B4014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733D6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ABD94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5FCFDC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59F66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F3A54B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5BD123A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150E3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172CFE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12CC3C3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34CCA89" w14:textId="3BE728FC" w:rsidR="005928F2" w:rsidRDefault="005928F2" w:rsidP="005928F2">
            <w:pPr>
              <w:pStyle w:val="TableRowHeading"/>
            </w:pPr>
            <w:r w:rsidRPr="002B6BA8">
              <w:t>Project name / Client</w:t>
            </w:r>
          </w:p>
        </w:tc>
        <w:tc>
          <w:tcPr>
            <w:tcW w:w="961" w:type="dxa"/>
          </w:tcPr>
          <w:p w14:paraId="6402E7F3" w14:textId="77AC78B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E78F910"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Cogent Project 2</w:t>
            </w:r>
          </w:p>
          <w:p w14:paraId="21F7967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3253D07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5470FD0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E8941B2" w14:textId="0DA8F926"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52AA437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8EC46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B5249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ED97BB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86B6C9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C31287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4EAD1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F7F54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01B46FA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4154C1B" w14:textId="2E1C1461" w:rsidR="005928F2" w:rsidRDefault="005928F2" w:rsidP="005928F2">
            <w:pPr>
              <w:pStyle w:val="TableRowHeading"/>
            </w:pPr>
            <w:r w:rsidRPr="002B6BA8">
              <w:lastRenderedPageBreak/>
              <w:t xml:space="preserve">Project name / Client </w:t>
            </w:r>
          </w:p>
        </w:tc>
        <w:tc>
          <w:tcPr>
            <w:tcW w:w="961" w:type="dxa"/>
          </w:tcPr>
          <w:p w14:paraId="00158B64" w14:textId="2E9F8E4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73EC1E5"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1</w:t>
            </w:r>
          </w:p>
          <w:p w14:paraId="5DA12DCE"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0B6719D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0D573D6D"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5913E2A" w14:textId="66DC3CC9"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400AAB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4753B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08577A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4C25B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234F0A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A4B61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8D7F0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F3A7C0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7746FCE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72A9E75" w14:textId="064695FF" w:rsidR="005928F2" w:rsidRDefault="005928F2" w:rsidP="005928F2">
            <w:pPr>
              <w:pStyle w:val="TableRowHeading"/>
            </w:pPr>
            <w:r w:rsidRPr="002B6BA8">
              <w:t>Project name / Client</w:t>
            </w:r>
          </w:p>
        </w:tc>
        <w:tc>
          <w:tcPr>
            <w:tcW w:w="961" w:type="dxa"/>
          </w:tcPr>
          <w:p w14:paraId="390DEE2F" w14:textId="3A22CB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4344BBD9"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2</w:t>
            </w:r>
          </w:p>
          <w:p w14:paraId="3EE759C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4C6D3C3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15AB873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66774854" w14:textId="706EE0CE"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091EB4C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A091B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A791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3C90A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729A26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D0E2C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4E9953B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B2EA3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bl>
    <w:p w14:paraId="048ACACE" w14:textId="77777777" w:rsidR="00A9173D" w:rsidRPr="00802C4A" w:rsidRDefault="00A9173D" w:rsidP="002A34E2">
      <w:pPr>
        <w:pStyle w:val="ParagraphSpacer"/>
      </w:pPr>
    </w:p>
    <w:p w14:paraId="5A7A8EFF" w14:textId="2C206913" w:rsidR="002515C5" w:rsidRDefault="4BDB806A" w:rsidP="002A34E2">
      <w:pPr>
        <w:pStyle w:val="BodyText"/>
      </w:pPr>
      <w:r w:rsidRPr="00802C4A">
        <w:t xml:space="preserve">The experience matrix that follows demonstrates exactly that. Deloitte has successfully transitioned 40+ large, 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  far outperforming industry baselines. We have deep FFE expertise, including former CCIIO leaders, and work regularly to reconcile enrollment and exchange data across five state-based exchanges. </w:t>
      </w:r>
      <w:commentRangeStart w:id="130"/>
      <w:r w:rsidRPr="00802C4A"/>
      <w:commentRangeEnd w:id="130"/>
      <w:r w:rsidR="001F05BC" w:rsidRPr="00802C4A">
        <w:rPr>
          <w:rStyle w:val="CommentReference"/>
          <w:sz w:val="24"/>
          <w:szCs w:val="22"/>
        </w:rPr>
      </w:r>
      <w:r w:rsidRPr="00802C4A"/>
    </w:p>
    <w:p w14:paraId="689A3A12" w14:textId="77777777" w:rsidR="006240C7" w:rsidRDefault="006240C7" w:rsidP="00245804">
      <w:pPr>
        <w:pStyle w:val="BodyText"/>
      </w:pPr>
    </w:p>
    <w:p w14:paraId="3EB04F9A" w14:textId="77777777" w:rsidR="006240C7" w:rsidRDefault="006240C7" w:rsidP="00245804">
      <w:pPr>
        <w:pStyle w:val="BodyText"/>
        <w:sectPr w:rsidR="006240C7" w:rsidSect="00A9173D">
          <w:footerReference w:type="default" r:id="rId51"/>
          <w:pgSz w:w="15840" w:h="12240" w:orient="landscape" w:code="1"/>
          <w:pgMar w:top="1440" w:right="1440" w:bottom="1440" w:left="1440" w:header="720" w:footer="720" w:gutter="0"/>
          <w:cols w:space="720"/>
          <w:docGrid w:linePitch="360"/>
        </w:sectPr>
      </w:pPr>
    </w:p>
    <w:p w14:paraId="1667926A" w14:textId="6CD3F28B" w:rsidR="00845269" w:rsidRDefault="00845269" w:rsidP="00A2440B">
      <w:pPr>
        <w:pStyle w:val="Heading1"/>
        <w:rPr>
          <w:color w:val="FF0000"/>
        </w:rPr>
      </w:pPr>
      <w:bookmarkStart w:id="131" w:name="_Toc227883197"/>
      <w:r>
        <w:lastRenderedPageBreak/>
        <w:t>4.0</w:t>
      </w:r>
      <w:r>
        <w:tab/>
      </w:r>
      <w:commentRangeStart w:id="132"/>
      <w:r w:rsidRPr="00845269">
        <w:t xml:space="preserve">Section 4: Small Business </w:t>
      </w:r>
      <w:commentRangeEnd w:id="132"/>
      <w:r w:rsidR="00C06351" w:rsidRPr="00845269">
        <w:rPr>
          <w:rStyle w:val="CommentReference"/>
          <w:sz w:val="28"/>
          <w:szCs w:val="28"/>
        </w:rPr>
        <w:commentReference w:id="132"/>
      </w:r>
      <w:r w:rsidRPr="00845269">
        <w:t>Utilization</w:t>
      </w:r>
      <w:r w:rsidR="00A2440B">
        <w:t xml:space="preserve"> </w:t>
      </w:r>
      <w:r w:rsidR="00A2440B" w:rsidRPr="009804E4">
        <w:rPr>
          <w:color w:val="FF0000"/>
        </w:rPr>
        <w:t xml:space="preserve">(5 </w:t>
      </w:r>
      <w:r w:rsidR="009804E4" w:rsidRPr="009804E4">
        <w:rPr>
          <w:color w:val="FF0000"/>
        </w:rPr>
        <w:t>Pages)</w:t>
      </w:r>
      <w:bookmarkEnd w:id="131"/>
    </w:p>
    <w:p w14:paraId="1D0DB315" w14:textId="77777777" w:rsidR="00E76701" w:rsidRPr="00E76701" w:rsidRDefault="00E76701" w:rsidP="00E76701">
      <w:pPr>
        <w:pStyle w:val="BodyText"/>
      </w:pPr>
    </w:p>
    <w:p w14:paraId="4189EE22" w14:textId="77777777" w:rsidR="009804E4" w:rsidRDefault="009804E4" w:rsidP="009804E4">
      <w:pPr>
        <w:pStyle w:val="BodyText"/>
      </w:pPr>
    </w:p>
    <w:p w14:paraId="350E0E73" w14:textId="77777777" w:rsidR="00045B87" w:rsidRDefault="00045B87" w:rsidP="009804E4">
      <w:pPr>
        <w:pStyle w:val="BodyText"/>
        <w:sectPr w:rsidR="00045B87" w:rsidSect="000B1BCE">
          <w:footerReference w:type="default" r:id="rId52"/>
          <w:pgSz w:w="12240" w:h="15840" w:code="1"/>
          <w:pgMar w:top="1440" w:right="1440" w:bottom="1440" w:left="1440" w:header="720" w:footer="576" w:gutter="0"/>
          <w:pgNumType w:start="1"/>
          <w:cols w:space="720"/>
          <w:docGrid w:linePitch="360"/>
        </w:sectPr>
      </w:pPr>
    </w:p>
    <w:p>
      <w:pPr>
        <w:pStyle w:val="Subheading1"/>
      </w:pPr>
      <w:r>
        <w:t>4.1 Approach to Maximize Small Business Subcontracting</w:t>
      </w:r>
    </w:p>
    <w:p>
      <w:pPr>
        <w:pStyle w:val="BodyText"/>
      </w:pPr>
      <w:r>
        <w:t>Deloitte's small business plan is built around the RFQ goal of 15% of total task order dollars subcontracted to small business and reflects how Deloitte has consistently exceeded small business utilization targets on comparable federal task orders. Deloitte will exceed the 15% goal across the base period and every option period through a combination of direct subcontracting, teaming arrangements, and targeted small-business sourcing across the labor categories that drive ER&amp;R operational delivery — issuer dispute analytics, 1095-A casework surge, IT systems engineering, contact center support, and quality assurance.</w:t>
      </w:r>
    </w:p>
    <w:p>
      <w:pPr>
        <w:pStyle w:val="BodyText"/>
      </w:pPr>
      <w:r>
        <w:t>Deloitte's small business strategy is anchored to four operating principles. First, small businesses are integrated as full delivery partners, not pass-through capacity, with named workshare on specific SOW tasks and accountability tied to the same SLAs and quality standards that govern Deloitte's prime work. Second, small business utilization is maintained year-over-year through structured workshare commitments that flex with workload (1095-A surge, OE peak, ad hoc projects under Task 10) so small business teaming partners are not crowded out as the program scales. Third, small business performance is tracked and reported monthly to the COR with the same rigor Deloitte applies to its own performance — utilization percentage, deliverable quality, schedule adherence, and corrective action where needed. Fourth, Deloitte's Small Business Liaison Officer (SBLO) is the single point of accountability for plan execution, COR reporting, and continuous identification of new small business opportunities throughout the period of performance.</w:t>
      </w:r>
    </w:p>
    <w:p>
      <w:pPr>
        <w:pStyle w:val="Subheading1"/>
      </w:pPr>
      <w:r>
        <w:t>4.2 Proposed Small Business Subcontractors</w:t>
      </w:r>
    </w:p>
    <w:p>
      <w:pPr>
        <w:pStyle w:val="BodyText"/>
      </w:pPr>
      <w:r>
        <w:t>The table below identifies Deloitte's proposed small business subcontractors, the work each will perform, and the proportion of total task order value committed to each. Letters of commitment and draft subcontracting agreements are provided as attachments outside the page count, in accordance with the RFQ instructions.</w:t>
      </w:r>
    </w:p>
    <w:p>
      <w:pPr>
        <w:pStyle w:val="TableTitle"/>
      </w:pPr>
      <w:r>
        <w:t>Table 4.2-1. Proposed Small Business Subcontractors.</w:t>
      </w:r>
    </w:p>
    <w:p>
      <w:pPr>
        <w:pStyle w:val="BodyText"/>
      </w:pPr>
      <w:r>
        <w:t>[Deloitte to populate: Subcontractor Name | Address | POC and Phone | NAICS / Size / Socioeconomic Status (e.g., 8(a), HUBZone, SDVOSB, WOSB, EDWOSB, Small Disadvantaged Business) | Work to be Performed | Proportion of Total Contract Value (%) | Total $ Proposed — for each proposed small business subcontractor, formatted per Attachment 2 instructions.]</w:t>
      </w:r>
    </w:p>
    <w:p>
      <w:pPr>
        <w:pStyle w:val="Subheading1"/>
      </w:pPr>
      <w:r>
        <w:t>4.3 Commitment to Use Small Businesses</w:t>
      </w:r>
    </w:p>
    <w:p>
      <w:pPr>
        <w:pStyle w:val="BodyText"/>
      </w:pPr>
      <w:r>
        <w:t>Deloitte's commitment to small business participation is documented through three concrete instruments included with this quote as attachments and not counted against the Volume I page limit:</w:t>
      </w:r>
    </w:p>
    <w:p>
      <w:pPr>
        <w:pStyle w:val="Bulletlevel1"/>
      </w:pPr>
      <w:r>
        <w:t>Signed letters of commitment from each proposed small business subcontractor confirming availability, proposed labor categories, and willingness to perform the workshare described in Table 4.2-1.</w:t>
      </w:r>
    </w:p>
    <w:p>
      <w:pPr>
        <w:pStyle w:val="Bulletlevel1"/>
      </w:pPr>
      <w:r>
        <w:t>Draft subcontracting agreements outlining scope, performance standards, flow-down clauses (FAR/HHSAR/CMS-specific privacy and security clauses, Section 508, and the Conflict of Interest CMS clause), termination provisions, and reporting requirements.</w:t>
      </w:r>
    </w:p>
    <w:p>
      <w:pPr>
        <w:pStyle w:val="Bulletlevel1"/>
      </w:pPr>
      <w:r>
        <w:t>Teaming arrangement narratives describing prior Deloitte experience with each proposed small business — including projects delivered jointly, integration history, and small business performance outcomes — so CMS has a verifiable basis to assess the credibility of each commitment.</w:t>
      </w:r>
    </w:p>
    <w:p>
      <w:pPr>
        <w:pStyle w:val="BodyText"/>
      </w:pPr>
      <w:r>
        <w:t>All proposed small business subcontractors will receive the same flow-down requirements that apply to Deloitte under the prime contract, including FAR Subpart 8.4, HHSAR clauses, the CMS Conflict of Interest (AUG 2024) clause, FedRAMP and HHS information security requirements, the HHS Standard for Encryption, OMB M-17-12 breach response obligations, NIST SP 800-53 controls applicable at the moderate impact level for the FFE/SBE data, Section 508 conformance, and the Privacy Act requirements applicable to System of Records Notice 09-70-0560.</w:t>
      </w:r>
    </w:p>
    <w:p>
      <w:pPr>
        <w:pStyle w:val="Subheading1"/>
      </w:pPr>
      <w:r>
        <w:t>4.4 Subcontracting Plan Governance</w:t>
      </w:r>
    </w:p>
    <w:p>
      <w:pPr>
        <w:pStyle w:val="BodyText"/>
      </w:pPr>
      <w:r>
        <w:t>Deloitte will deliver a Small Business Subcontracting Plan within 30 days of award (or per the timeline established by the Contracting Officer) with the elements required by FAR 19.704 and HHSAR 352.219-70, including utilization goals by socioeconomic category, plan administration, recordkeeping, equitable opportunity, and reporting (eSRS Individual and Summary Subcontract Reports). Deloitte's SBLO will:</w:t>
      </w:r>
    </w:p>
    <w:p>
      <w:pPr>
        <w:pStyle w:val="Bulletlevel1"/>
      </w:pPr>
      <w:r>
        <w:t>Track and report small business utilization monthly to the COR within the Monthly Progress, Data and Cost Report (SOW §3.1) — broken out by total dollars, labor categories, task/sub-task allocation, and socioeconomic category.</w:t>
      </w:r>
    </w:p>
    <w:p>
      <w:pPr>
        <w:pStyle w:val="Bulletlevel1"/>
      </w:pPr>
      <w:r>
        <w:t>Conduct quarterly small business performance reviews jointly with each subcontractor, surfacing ramp opportunities, risk indicators, and any need for corrective action — with results summarized to CMS.</w:t>
      </w:r>
    </w:p>
    <w:p>
      <w:pPr>
        <w:pStyle w:val="Bulletlevel1"/>
      </w:pPr>
      <w:r>
        <w:t>Identify new small business opportunities continuously throughout the period of performance — particularly within Task 10 ad hoc and special projects, where short-cycle work is well-suited to small business participation — and bring forward proposed additions to the subcontracting plan for COR concurrence.</w:t>
      </w:r>
    </w:p>
    <w:p>
      <w:pPr>
        <w:pStyle w:val="Bulletlevel1"/>
      </w:pPr>
      <w:r>
        <w:t>Document and report any planned changes to the subcontracting plan promptly, with rationale and impact analysis, so CMS retains continuous visibility into small business commitment execution.</w:t>
      </w:r>
    </w:p>
    <w:p>
      <w:pPr>
        <w:pStyle w:val="Subheading1"/>
      </w:pPr>
      <w:r>
        <w:t>4.5 Prime Contractor Workshare Disclosure</w:t>
      </w:r>
    </w:p>
    <w:p>
      <w:pPr>
        <w:pStyle w:val="BodyText"/>
      </w:pPr>
      <w:r>
        <w:t>Deloitte Consulting LLP is a large business prime; the share-of-work narrative described above governs the small business subcontracting commitment. The proportion of work performed directly by Deloitte versus subcontractors (including any large-business teaming partners) is detailed in the labor-hour matrix submitted with Volume II: Business Quote in accordance with Attachment 2 pricing template instructions.</w:t>
      </w:r>
    </w:p>
    <w:p w14:paraId="39E17E30" w14:textId="54FB4F50" w:rsidR="00E824A9" w:rsidRDefault="00E824A9" w:rsidP="00045B87">
      <w:pPr>
        <w:pStyle w:val="Heading1"/>
      </w:pPr>
      <w:bookmarkStart w:id="133" w:name="_Toc227883198"/>
      <w:r>
        <w:lastRenderedPageBreak/>
        <w:t>Appendix A</w:t>
      </w:r>
      <w:r>
        <w:tab/>
      </w:r>
      <w:commentRangeStart w:id="134"/>
      <w:r w:rsidR="00045B87">
        <w:t>Key Personnel Resumes</w:t>
      </w:r>
      <w:commentRangeEnd w:id="134"/>
      <w:r w:rsidR="00D4736E">
        <w:rPr>
          <w:rStyle w:val="CommentReference"/>
          <w:sz w:val="28"/>
          <w:szCs w:val="28"/>
        </w:rPr>
        <w:commentReference w:id="134"/>
      </w:r>
      <w:r w:rsidR="00CE4E4D">
        <w:t xml:space="preserve"> </w:t>
      </w:r>
      <w:r w:rsidR="00CE4E4D" w:rsidRPr="00CE4E4D">
        <w:rPr>
          <w:color w:val="FF0000"/>
        </w:rPr>
        <w:t>(2 Pages Each)</w:t>
      </w:r>
      <w:bookmarkEnd w:id="133"/>
    </w:p>
    <w:p w14:paraId="390CAF0D" w14:textId="7D9D218D" w:rsidR="006065FF" w:rsidRDefault="006065FF" w:rsidP="006065FF">
      <w:pPr>
        <w:pStyle w:val="Heading2"/>
        <w:rPr>
          <w:rStyle w:val="ResumeName14pts"/>
          <w:i/>
          <w:iCs w:val="0"/>
        </w:rPr>
      </w:pPr>
      <w:bookmarkStart w:id="135" w:name="_Toc227883199"/>
      <w:r>
        <w:t>A.1</w:t>
      </w:r>
      <w:r>
        <w:tab/>
      </w:r>
      <w:commentRangeStart w:id="136"/>
      <w:r w:rsidRPr="00A07123">
        <w:t>Project Director</w:t>
      </w:r>
      <w:bookmarkEnd w:id="135"/>
      <w:commentRangeEnd w:id="136"/>
      <w:r w:rsidR="009A097D">
        <w:rPr>
          <w:rStyle w:val="CommentReference"/>
          <w:b w:val="0"/>
          <w:i/>
          <w:sz w:val="28"/>
          <w:szCs w:val="26"/>
        </w:rPr>
        <w:commentReference w:id="136"/>
      </w:r>
    </w:p>
    <w:p w14:paraId="573BB2D2" w14:textId="0E0D8DFC" w:rsidR="00CE4E4D" w:rsidRPr="00296F28" w:rsidRDefault="00CE4E4D" w:rsidP="00CE4E4D">
      <w:pPr>
        <w:pStyle w:val="ResumeNameEntity"/>
        <w:rPr>
          <w:b/>
          <w:iCs/>
          <w:sz w:val="28"/>
        </w:rPr>
      </w:pPr>
      <w:r>
        <w:rPr>
          <w:rStyle w:val="ResumeName14pts"/>
          <w:i w:val="0"/>
          <w:iCs w:val="0"/>
        </w:rPr>
        <w:t>Name</w:t>
      </w:r>
      <w:r>
        <w:rPr>
          <w:rStyle w:val="ResumeName14pts"/>
        </w:rPr>
        <w:tab/>
      </w:r>
      <w:r w:rsidRPr="003461D9">
        <w:t>Legal Entity, Title</w:t>
      </w:r>
    </w:p>
    <w:p w14:paraId="2848136F" w14:textId="6878B102" w:rsidR="00CE4E4D" w:rsidRPr="0070652A" w:rsidRDefault="006065FF" w:rsidP="00CE4E4D">
      <w:pPr>
        <w:pStyle w:val="ResumeProposedRole"/>
      </w:pPr>
      <w:r>
        <w:t>Labor Category</w:t>
      </w:r>
      <w:r w:rsidR="00CE4E4D" w:rsidRPr="0070652A">
        <w:t xml:space="preserve">: </w:t>
      </w:r>
    </w:p>
    <w:p w14:paraId="701E4770" w14:textId="77777777" w:rsidR="00CE4E4D" w:rsidRDefault="00CE4E4D" w:rsidP="00CE4E4D">
      <w:pPr>
        <w:pStyle w:val="ParagraphSpacer"/>
      </w:pPr>
    </w:p>
    <w:p w14:paraId="54A783C7"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4E4D" w:rsidRPr="00183B3A" w14:paraId="33901066" w14:textId="77777777">
        <w:trPr>
          <w:trHeight w:val="360"/>
        </w:trPr>
        <w:tc>
          <w:tcPr>
            <w:tcW w:w="3235" w:type="dxa"/>
            <w:tcBorders>
              <w:top w:val="nil"/>
              <w:left w:val="nil"/>
              <w:bottom w:val="nil"/>
              <w:right w:val="nil"/>
            </w:tcBorders>
            <w:shd w:val="clear" w:color="auto" w:fill="005587"/>
            <w:vAlign w:val="center"/>
          </w:tcPr>
          <w:p w14:paraId="39775F4E" w14:textId="77777777" w:rsidR="00CE4E4D" w:rsidRPr="00183B3A" w:rsidRDefault="00CE4E4D">
            <w:pPr>
              <w:pStyle w:val="CalloutTitle"/>
            </w:pPr>
            <w:r>
              <w:t xml:space="preserve">CALLOUT 2 BOX </w:t>
            </w:r>
            <w:r w:rsidRPr="00183B3A">
              <w:t>TITLE TEXT</w:t>
            </w:r>
          </w:p>
        </w:tc>
      </w:tr>
      <w:tr w:rsidR="00CE4E4D" w:rsidRPr="00183B3A" w14:paraId="670FE781" w14:textId="77777777">
        <w:trPr>
          <w:trHeight w:val="1620"/>
        </w:trPr>
        <w:tc>
          <w:tcPr>
            <w:tcW w:w="3235" w:type="dxa"/>
            <w:tcBorders>
              <w:top w:val="nil"/>
              <w:left w:val="nil"/>
              <w:bottom w:val="single" w:sz="18" w:space="0" w:color="005587"/>
              <w:right w:val="nil"/>
            </w:tcBorders>
            <w:vAlign w:val="center"/>
          </w:tcPr>
          <w:p w14:paraId="38D1E376" w14:textId="77777777" w:rsidR="00CE4E4D" w:rsidRPr="008818FD" w:rsidRDefault="00CE4E4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68311E32"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3F60584E" w14:textId="77777777" w:rsidR="00CE4E4D" w:rsidRPr="004B4151" w:rsidRDefault="00CE4E4D" w:rsidP="00CE4E4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6E2870A4" w14:textId="77777777" w:rsidR="00CE4E4D" w:rsidRPr="004B4151" w:rsidRDefault="00CE4E4D" w:rsidP="00CE4E4D">
      <w:pPr>
        <w:pStyle w:val="ResumeHeading"/>
      </w:pPr>
      <w:r w:rsidRPr="004B4151">
        <w:t>Recent Experience</w:t>
      </w:r>
    </w:p>
    <w:p w14:paraId="20762849" w14:textId="77777777" w:rsidR="00CE4E4D" w:rsidRPr="0037159E" w:rsidRDefault="00CE4E4D" w:rsidP="00CE4E4D">
      <w:pPr>
        <w:pStyle w:val="ResumeJobTitle"/>
      </w:pPr>
      <w:r>
        <w:t xml:space="preserve">Resume </w:t>
      </w:r>
      <w:r w:rsidRPr="0037159E">
        <w:t>Job Title</w:t>
      </w:r>
      <w:r w:rsidRPr="0037159E">
        <w:tab/>
        <w:t>Dates</w:t>
      </w:r>
    </w:p>
    <w:p w14:paraId="6FF430CA" w14:textId="77777777" w:rsidR="00CE4E4D" w:rsidRPr="0037159E" w:rsidRDefault="00CE4E4D" w:rsidP="00CE4E4D">
      <w:pPr>
        <w:pStyle w:val="Bulletlevel1"/>
        <w:tabs>
          <w:tab w:val="clear" w:pos="360"/>
        </w:tabs>
      </w:pPr>
    </w:p>
    <w:p w14:paraId="06009F09" w14:textId="77777777" w:rsidR="00CE4E4D" w:rsidRPr="0037159E" w:rsidRDefault="00CE4E4D" w:rsidP="00CE4E4D">
      <w:pPr>
        <w:pStyle w:val="Bulletlevel1"/>
        <w:tabs>
          <w:tab w:val="clear" w:pos="360"/>
        </w:tabs>
      </w:pPr>
    </w:p>
    <w:p w14:paraId="60E1D43D" w14:textId="77777777" w:rsidR="00CE4E4D" w:rsidRPr="004B4151" w:rsidRDefault="00CE4E4D" w:rsidP="00CE4E4D">
      <w:pPr>
        <w:pStyle w:val="ResumeHeading"/>
      </w:pPr>
      <w:r w:rsidRPr="004B4151">
        <w:t>Employment History</w:t>
      </w:r>
    </w:p>
    <w:p w14:paraId="52981C4C" w14:textId="77777777" w:rsidR="00CE4E4D" w:rsidRPr="004B4151" w:rsidRDefault="00CE4E4D" w:rsidP="00CE4E4D">
      <w:pPr>
        <w:pStyle w:val="Bulletlevel1"/>
        <w:tabs>
          <w:tab w:val="clear" w:pos="360"/>
        </w:tabs>
      </w:pPr>
      <w:r w:rsidRPr="004B4151">
        <w:t>Company, Title, (From – To)</w:t>
      </w:r>
    </w:p>
    <w:p w14:paraId="30827E48" w14:textId="77777777" w:rsidR="00CE4E4D" w:rsidRPr="004B4151" w:rsidRDefault="00CE4E4D" w:rsidP="00CE4E4D">
      <w:pPr>
        <w:pStyle w:val="Bulletlevel1"/>
        <w:tabs>
          <w:tab w:val="clear" w:pos="360"/>
        </w:tabs>
      </w:pPr>
    </w:p>
    <w:p w14:paraId="19334E80" w14:textId="77777777" w:rsidR="00CE4E4D" w:rsidRPr="004B4151" w:rsidRDefault="00CE4E4D" w:rsidP="00CE4E4D">
      <w:pPr>
        <w:pStyle w:val="ResumeHeading"/>
      </w:pPr>
      <w:r w:rsidRPr="004B4151">
        <w:t>Education</w:t>
      </w:r>
    </w:p>
    <w:p w14:paraId="60573CC5" w14:textId="77777777" w:rsidR="00CE4E4D" w:rsidRPr="004B4151" w:rsidRDefault="00CE4E4D" w:rsidP="00CE4E4D">
      <w:pPr>
        <w:pStyle w:val="Bulletlevel1"/>
        <w:tabs>
          <w:tab w:val="clear" w:pos="360"/>
        </w:tabs>
      </w:pPr>
      <w:r w:rsidRPr="004B4151">
        <w:t>Degree, Field, School</w:t>
      </w:r>
    </w:p>
    <w:p w14:paraId="49A10AD8" w14:textId="1F225345" w:rsidR="006065FF" w:rsidRDefault="006065FF" w:rsidP="00CE4E4D">
      <w:pPr>
        <w:pStyle w:val="BodyText"/>
      </w:pPr>
      <w:r>
        <w:br w:type="page"/>
      </w:r>
    </w:p>
    <w:p w14:paraId="5D6FF0D7" w14:textId="0CA0993E" w:rsidR="006065FF" w:rsidRDefault="006065FF" w:rsidP="006065FF">
      <w:pPr>
        <w:pStyle w:val="Heading2"/>
        <w:rPr>
          <w:rStyle w:val="ResumeName14pts"/>
          <w:i/>
          <w:iCs w:val="0"/>
        </w:rPr>
      </w:pPr>
      <w:bookmarkStart w:id="137" w:name="_Toc227883200"/>
      <w:r>
        <w:lastRenderedPageBreak/>
        <w:t>A.2</w:t>
      </w:r>
      <w:r>
        <w:tab/>
      </w:r>
      <w:commentRangeStart w:id="138"/>
      <w:r w:rsidRPr="006065FF">
        <w:t>Project Manager (ER&amp;R)</w:t>
      </w:r>
      <w:bookmarkEnd w:id="137"/>
      <w:commentRangeEnd w:id="138"/>
      <w:r w:rsidR="004F0C03">
        <w:rPr>
          <w:rStyle w:val="CommentReference"/>
          <w:b w:val="0"/>
          <w:i/>
          <w:sz w:val="28"/>
          <w:szCs w:val="26"/>
        </w:rPr>
        <w:commentReference w:id="138"/>
      </w:r>
    </w:p>
    <w:p w14:paraId="2A773F06"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BB997A1" w14:textId="77777777" w:rsidR="006065FF" w:rsidRPr="0070652A" w:rsidRDefault="006065FF" w:rsidP="006065FF">
      <w:pPr>
        <w:pStyle w:val="ResumeProposedRole"/>
      </w:pPr>
      <w:r>
        <w:t>Labor Category</w:t>
      </w:r>
      <w:r w:rsidRPr="0070652A">
        <w:t xml:space="preserve">: </w:t>
      </w:r>
    </w:p>
    <w:p w14:paraId="59FADC25" w14:textId="77777777" w:rsidR="006065FF" w:rsidRDefault="006065FF" w:rsidP="006065FF">
      <w:pPr>
        <w:pStyle w:val="ParagraphSpacer"/>
      </w:pPr>
    </w:p>
    <w:p w14:paraId="07DC5D6C"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7F1988B0" w14:textId="77777777" w:rsidTr="004150FE">
        <w:trPr>
          <w:trHeight w:val="360"/>
        </w:trPr>
        <w:tc>
          <w:tcPr>
            <w:tcW w:w="3235" w:type="dxa"/>
            <w:tcBorders>
              <w:top w:val="nil"/>
              <w:left w:val="nil"/>
              <w:bottom w:val="nil"/>
              <w:right w:val="nil"/>
            </w:tcBorders>
            <w:shd w:val="clear" w:color="auto" w:fill="005587"/>
            <w:vAlign w:val="center"/>
          </w:tcPr>
          <w:p w14:paraId="2BF8B3E1" w14:textId="77777777" w:rsidR="006065FF" w:rsidRPr="00183B3A" w:rsidRDefault="006065FF" w:rsidP="004150FE">
            <w:pPr>
              <w:pStyle w:val="CalloutTitle"/>
            </w:pPr>
            <w:r>
              <w:t xml:space="preserve">CALLOUT 2 BOX </w:t>
            </w:r>
            <w:r w:rsidRPr="00183B3A">
              <w:t>TITLE TEXT</w:t>
            </w:r>
          </w:p>
        </w:tc>
      </w:tr>
      <w:tr w:rsidR="006065FF" w:rsidRPr="00183B3A" w14:paraId="6EAEEC67" w14:textId="77777777" w:rsidTr="004150FE">
        <w:trPr>
          <w:trHeight w:val="1620"/>
        </w:trPr>
        <w:tc>
          <w:tcPr>
            <w:tcW w:w="3235" w:type="dxa"/>
            <w:tcBorders>
              <w:top w:val="nil"/>
              <w:left w:val="nil"/>
              <w:bottom w:val="single" w:sz="18" w:space="0" w:color="005587"/>
              <w:right w:val="nil"/>
            </w:tcBorders>
            <w:vAlign w:val="center"/>
          </w:tcPr>
          <w:p w14:paraId="119DD2DC"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47B02B3F"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C77E53B"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2EA1DE01" w14:textId="77777777" w:rsidR="006065FF" w:rsidRPr="004B4151" w:rsidRDefault="006065FF" w:rsidP="006065FF">
      <w:pPr>
        <w:pStyle w:val="ResumeHeading"/>
      </w:pPr>
      <w:r w:rsidRPr="004B4151">
        <w:t>Recent Experience</w:t>
      </w:r>
    </w:p>
    <w:p w14:paraId="12CE907A" w14:textId="77777777" w:rsidR="006065FF" w:rsidRPr="0037159E" w:rsidRDefault="006065FF" w:rsidP="006065FF">
      <w:pPr>
        <w:pStyle w:val="ResumeJobTitle"/>
      </w:pPr>
      <w:r>
        <w:t xml:space="preserve">Resume </w:t>
      </w:r>
      <w:r w:rsidRPr="0037159E">
        <w:t>Job Title</w:t>
      </w:r>
      <w:r w:rsidRPr="0037159E">
        <w:tab/>
        <w:t>Dates</w:t>
      </w:r>
    </w:p>
    <w:p w14:paraId="19895012" w14:textId="77777777" w:rsidR="006065FF" w:rsidRPr="0037159E" w:rsidRDefault="006065FF" w:rsidP="006065FF">
      <w:pPr>
        <w:pStyle w:val="Bulletlevel1"/>
        <w:tabs>
          <w:tab w:val="clear" w:pos="360"/>
        </w:tabs>
      </w:pPr>
    </w:p>
    <w:p w14:paraId="43D17B69" w14:textId="77777777" w:rsidR="006065FF" w:rsidRPr="0037159E" w:rsidRDefault="006065FF" w:rsidP="006065FF">
      <w:pPr>
        <w:pStyle w:val="Bulletlevel1"/>
        <w:tabs>
          <w:tab w:val="clear" w:pos="360"/>
        </w:tabs>
      </w:pPr>
    </w:p>
    <w:p w14:paraId="56783FD0" w14:textId="77777777" w:rsidR="006065FF" w:rsidRPr="004B4151" w:rsidRDefault="006065FF" w:rsidP="006065FF">
      <w:pPr>
        <w:pStyle w:val="ResumeHeading"/>
      </w:pPr>
      <w:r w:rsidRPr="004B4151">
        <w:t>Employment History</w:t>
      </w:r>
    </w:p>
    <w:p w14:paraId="5E34F224" w14:textId="77777777" w:rsidR="006065FF" w:rsidRPr="004B4151" w:rsidRDefault="006065FF" w:rsidP="006065FF">
      <w:pPr>
        <w:pStyle w:val="Bulletlevel1"/>
        <w:tabs>
          <w:tab w:val="clear" w:pos="360"/>
        </w:tabs>
      </w:pPr>
      <w:r w:rsidRPr="004B4151">
        <w:t>Company, Title, (From – To)</w:t>
      </w:r>
    </w:p>
    <w:p w14:paraId="303A3847" w14:textId="77777777" w:rsidR="006065FF" w:rsidRPr="004B4151" w:rsidRDefault="006065FF" w:rsidP="006065FF">
      <w:pPr>
        <w:pStyle w:val="Bulletlevel1"/>
        <w:tabs>
          <w:tab w:val="clear" w:pos="360"/>
        </w:tabs>
      </w:pPr>
    </w:p>
    <w:p w14:paraId="448DD688" w14:textId="77777777" w:rsidR="006065FF" w:rsidRPr="004B4151" w:rsidRDefault="006065FF" w:rsidP="006065FF">
      <w:pPr>
        <w:pStyle w:val="ResumeHeading"/>
      </w:pPr>
      <w:r w:rsidRPr="004B4151">
        <w:t>Education</w:t>
      </w:r>
    </w:p>
    <w:p w14:paraId="106BF7FA" w14:textId="77777777" w:rsidR="006065FF" w:rsidRPr="004B4151" w:rsidRDefault="006065FF" w:rsidP="006065FF">
      <w:pPr>
        <w:pStyle w:val="Bulletlevel1"/>
        <w:tabs>
          <w:tab w:val="clear" w:pos="360"/>
        </w:tabs>
      </w:pPr>
      <w:r w:rsidRPr="004B4151">
        <w:t>Degree, Field, School</w:t>
      </w:r>
    </w:p>
    <w:p w14:paraId="02E14DF2" w14:textId="525BDE4C" w:rsidR="006065FF" w:rsidRDefault="006065FF" w:rsidP="00CE4E4D">
      <w:pPr>
        <w:pStyle w:val="BodyText"/>
      </w:pPr>
      <w:r>
        <w:br w:type="page"/>
      </w:r>
    </w:p>
    <w:p w14:paraId="278072DF" w14:textId="26921A2C" w:rsidR="006065FF" w:rsidRDefault="006065FF" w:rsidP="006065FF">
      <w:pPr>
        <w:pStyle w:val="Heading2"/>
        <w:rPr>
          <w:rStyle w:val="ResumeName14pts"/>
          <w:i/>
          <w:iCs w:val="0"/>
        </w:rPr>
      </w:pPr>
      <w:bookmarkStart w:id="139" w:name="_Toc227883201"/>
      <w:r>
        <w:t>A.</w:t>
      </w:r>
      <w:r w:rsidR="005B726A">
        <w:t>3</w:t>
      </w:r>
      <w:r>
        <w:tab/>
      </w:r>
      <w:commentRangeStart w:id="140"/>
      <w:r w:rsidRPr="006065FF">
        <w:t>Project Manager (Form 1095-A &amp; CCHC)</w:t>
      </w:r>
      <w:bookmarkEnd w:id="139"/>
      <w:commentRangeEnd w:id="140"/>
      <w:r w:rsidR="006510DF">
        <w:rPr>
          <w:rStyle w:val="CommentReference"/>
          <w:b w:val="0"/>
          <w:i/>
          <w:sz w:val="28"/>
          <w:szCs w:val="26"/>
        </w:rPr>
        <w:commentReference w:id="140"/>
      </w:r>
    </w:p>
    <w:p w14:paraId="05C39155"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AAB25D2" w14:textId="77777777" w:rsidR="006065FF" w:rsidRPr="0070652A" w:rsidRDefault="006065FF" w:rsidP="006065FF">
      <w:pPr>
        <w:pStyle w:val="ResumeProposedRole"/>
      </w:pPr>
      <w:r>
        <w:t>Labor Category</w:t>
      </w:r>
      <w:r w:rsidRPr="0070652A">
        <w:t xml:space="preserve">: </w:t>
      </w:r>
    </w:p>
    <w:p w14:paraId="52D6CF1E" w14:textId="77777777" w:rsidR="006065FF" w:rsidRDefault="006065FF" w:rsidP="006065FF">
      <w:pPr>
        <w:pStyle w:val="ParagraphSpacer"/>
      </w:pPr>
    </w:p>
    <w:p w14:paraId="15D485F9"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2CB5F3B0" w14:textId="77777777" w:rsidTr="004150FE">
        <w:trPr>
          <w:trHeight w:val="360"/>
        </w:trPr>
        <w:tc>
          <w:tcPr>
            <w:tcW w:w="3235" w:type="dxa"/>
            <w:tcBorders>
              <w:top w:val="nil"/>
              <w:left w:val="nil"/>
              <w:bottom w:val="nil"/>
              <w:right w:val="nil"/>
            </w:tcBorders>
            <w:shd w:val="clear" w:color="auto" w:fill="005587"/>
            <w:vAlign w:val="center"/>
          </w:tcPr>
          <w:p w14:paraId="15244D4B" w14:textId="77777777" w:rsidR="006065FF" w:rsidRPr="00183B3A" w:rsidRDefault="006065FF" w:rsidP="004150FE">
            <w:pPr>
              <w:pStyle w:val="CalloutTitle"/>
            </w:pPr>
            <w:r>
              <w:t xml:space="preserve">CALLOUT 2 BOX </w:t>
            </w:r>
            <w:r w:rsidRPr="00183B3A">
              <w:t>TITLE TEXT</w:t>
            </w:r>
          </w:p>
        </w:tc>
      </w:tr>
      <w:tr w:rsidR="006065FF" w:rsidRPr="00183B3A" w14:paraId="06D2A797" w14:textId="77777777" w:rsidTr="004150FE">
        <w:trPr>
          <w:trHeight w:val="1620"/>
        </w:trPr>
        <w:tc>
          <w:tcPr>
            <w:tcW w:w="3235" w:type="dxa"/>
            <w:tcBorders>
              <w:top w:val="nil"/>
              <w:left w:val="nil"/>
              <w:bottom w:val="single" w:sz="18" w:space="0" w:color="005587"/>
              <w:right w:val="nil"/>
            </w:tcBorders>
            <w:vAlign w:val="center"/>
          </w:tcPr>
          <w:p w14:paraId="5B527EAD"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5A73FF2E"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F1171D0"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4B47F3D5" w14:textId="77777777" w:rsidR="006065FF" w:rsidRPr="004B4151" w:rsidRDefault="006065FF" w:rsidP="006065FF">
      <w:pPr>
        <w:pStyle w:val="ResumeHeading"/>
      </w:pPr>
      <w:r w:rsidRPr="004B4151">
        <w:t>Recent Experience</w:t>
      </w:r>
    </w:p>
    <w:p w14:paraId="2261FFDB" w14:textId="77777777" w:rsidR="006065FF" w:rsidRPr="0037159E" w:rsidRDefault="006065FF" w:rsidP="006065FF">
      <w:pPr>
        <w:pStyle w:val="ResumeJobTitle"/>
      </w:pPr>
      <w:r>
        <w:t xml:space="preserve">Resume </w:t>
      </w:r>
      <w:r w:rsidRPr="0037159E">
        <w:t>Job Title</w:t>
      </w:r>
      <w:r w:rsidRPr="0037159E">
        <w:tab/>
        <w:t>Dates</w:t>
      </w:r>
    </w:p>
    <w:p w14:paraId="24A1475B" w14:textId="77777777" w:rsidR="006065FF" w:rsidRPr="0037159E" w:rsidRDefault="006065FF" w:rsidP="006065FF">
      <w:pPr>
        <w:pStyle w:val="Bulletlevel1"/>
        <w:tabs>
          <w:tab w:val="clear" w:pos="360"/>
        </w:tabs>
      </w:pPr>
    </w:p>
    <w:p w14:paraId="5A3B3CE2" w14:textId="77777777" w:rsidR="006065FF" w:rsidRPr="0037159E" w:rsidRDefault="006065FF" w:rsidP="006065FF">
      <w:pPr>
        <w:pStyle w:val="Bulletlevel1"/>
        <w:tabs>
          <w:tab w:val="clear" w:pos="360"/>
        </w:tabs>
      </w:pPr>
    </w:p>
    <w:p w14:paraId="2D9B873D" w14:textId="77777777" w:rsidR="006065FF" w:rsidRPr="004B4151" w:rsidRDefault="006065FF" w:rsidP="006065FF">
      <w:pPr>
        <w:pStyle w:val="ResumeHeading"/>
      </w:pPr>
      <w:r w:rsidRPr="004B4151">
        <w:t>Employment History</w:t>
      </w:r>
    </w:p>
    <w:p w14:paraId="42A00088" w14:textId="77777777" w:rsidR="006065FF" w:rsidRPr="004B4151" w:rsidRDefault="006065FF" w:rsidP="006065FF">
      <w:pPr>
        <w:pStyle w:val="Bulletlevel1"/>
        <w:tabs>
          <w:tab w:val="clear" w:pos="360"/>
        </w:tabs>
      </w:pPr>
      <w:r w:rsidRPr="004B4151">
        <w:t>Company, Title, (From – To)</w:t>
      </w:r>
    </w:p>
    <w:p w14:paraId="0F41454A" w14:textId="77777777" w:rsidR="006065FF" w:rsidRPr="004B4151" w:rsidRDefault="006065FF" w:rsidP="006065FF">
      <w:pPr>
        <w:pStyle w:val="Bulletlevel1"/>
        <w:tabs>
          <w:tab w:val="clear" w:pos="360"/>
        </w:tabs>
      </w:pPr>
    </w:p>
    <w:p w14:paraId="560BE03A" w14:textId="77777777" w:rsidR="006065FF" w:rsidRPr="004B4151" w:rsidRDefault="006065FF" w:rsidP="006065FF">
      <w:pPr>
        <w:pStyle w:val="ResumeHeading"/>
      </w:pPr>
      <w:r w:rsidRPr="004B4151">
        <w:t>Education</w:t>
      </w:r>
    </w:p>
    <w:p w14:paraId="20A601B1" w14:textId="77777777" w:rsidR="006065FF" w:rsidRPr="004B4151" w:rsidRDefault="006065FF" w:rsidP="006065FF">
      <w:pPr>
        <w:pStyle w:val="Bulletlevel1"/>
        <w:tabs>
          <w:tab w:val="clear" w:pos="360"/>
        </w:tabs>
      </w:pPr>
      <w:r w:rsidRPr="004B4151">
        <w:t>Degree, Field, School</w:t>
      </w:r>
    </w:p>
    <w:p w14:paraId="296BECE4" w14:textId="123EDFAD" w:rsidR="005B726A" w:rsidRDefault="005B726A" w:rsidP="00CE4E4D">
      <w:pPr>
        <w:pStyle w:val="BodyText"/>
      </w:pPr>
      <w:r>
        <w:br w:type="page"/>
      </w:r>
    </w:p>
    <w:p w14:paraId="647B1C5B" w14:textId="3ACE69F4" w:rsidR="005B726A" w:rsidRDefault="005B726A" w:rsidP="005B726A">
      <w:pPr>
        <w:pStyle w:val="Heading2"/>
        <w:rPr>
          <w:rStyle w:val="ResumeName14pts"/>
          <w:i/>
          <w:iCs w:val="0"/>
        </w:rPr>
      </w:pPr>
      <w:bookmarkStart w:id="141" w:name="_Toc227883202"/>
      <w:r>
        <w:t>A.4</w:t>
      </w:r>
      <w:r>
        <w:tab/>
      </w:r>
      <w:commentRangeStart w:id="142"/>
      <w:r w:rsidRPr="006065FF">
        <w:t xml:space="preserve">Project Manager </w:t>
      </w:r>
      <w:r w:rsidR="005173D2" w:rsidRPr="005173D2">
        <w:t>(IT Data and Technical Support)</w:t>
      </w:r>
      <w:bookmarkEnd w:id="141"/>
      <w:commentRangeEnd w:id="142"/>
      <w:r w:rsidR="00CA7521">
        <w:rPr>
          <w:rStyle w:val="CommentReference"/>
          <w:b w:val="0"/>
          <w:i/>
          <w:sz w:val="28"/>
          <w:szCs w:val="26"/>
        </w:rPr>
        <w:commentReference w:id="142"/>
      </w:r>
    </w:p>
    <w:p w14:paraId="61FBBA47" w14:textId="77777777" w:rsidR="005B726A" w:rsidRPr="00296F28" w:rsidRDefault="005B726A" w:rsidP="005B726A">
      <w:pPr>
        <w:pStyle w:val="ResumeNameEntity"/>
        <w:rPr>
          <w:b/>
          <w:iCs/>
          <w:sz w:val="28"/>
        </w:rPr>
      </w:pPr>
      <w:r>
        <w:rPr>
          <w:rStyle w:val="ResumeName14pts"/>
          <w:i w:val="0"/>
          <w:iCs w:val="0"/>
        </w:rPr>
        <w:t>Name</w:t>
      </w:r>
      <w:r>
        <w:rPr>
          <w:rStyle w:val="ResumeName14pts"/>
        </w:rPr>
        <w:tab/>
      </w:r>
      <w:r w:rsidRPr="003461D9">
        <w:t>Legal Entity, Title</w:t>
      </w:r>
    </w:p>
    <w:p w14:paraId="1126333A" w14:textId="77777777" w:rsidR="005B726A" w:rsidRPr="0070652A" w:rsidRDefault="005B726A" w:rsidP="005B726A">
      <w:pPr>
        <w:pStyle w:val="ResumeProposedRole"/>
      </w:pPr>
      <w:r>
        <w:t>Labor Category</w:t>
      </w:r>
      <w:r w:rsidRPr="0070652A">
        <w:t xml:space="preserve">: </w:t>
      </w:r>
    </w:p>
    <w:p w14:paraId="0187EE19" w14:textId="77777777" w:rsidR="005B726A" w:rsidRDefault="005B726A" w:rsidP="005B726A">
      <w:pPr>
        <w:pStyle w:val="ParagraphSpacer"/>
      </w:pPr>
    </w:p>
    <w:p w14:paraId="56C5E722"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B726A" w:rsidRPr="00183B3A" w14:paraId="3260E7B2" w14:textId="77777777" w:rsidTr="004150FE">
        <w:trPr>
          <w:trHeight w:val="360"/>
        </w:trPr>
        <w:tc>
          <w:tcPr>
            <w:tcW w:w="3235" w:type="dxa"/>
            <w:tcBorders>
              <w:top w:val="nil"/>
              <w:left w:val="nil"/>
              <w:bottom w:val="nil"/>
              <w:right w:val="nil"/>
            </w:tcBorders>
            <w:shd w:val="clear" w:color="auto" w:fill="005587"/>
            <w:vAlign w:val="center"/>
          </w:tcPr>
          <w:p w14:paraId="0140EA15" w14:textId="77777777" w:rsidR="005B726A" w:rsidRPr="00183B3A" w:rsidRDefault="005B726A" w:rsidP="004150FE">
            <w:pPr>
              <w:pStyle w:val="CalloutTitle"/>
            </w:pPr>
            <w:r>
              <w:t xml:space="preserve">CALLOUT 2 BOX </w:t>
            </w:r>
            <w:r w:rsidRPr="00183B3A">
              <w:t>TITLE TEXT</w:t>
            </w:r>
          </w:p>
        </w:tc>
      </w:tr>
      <w:tr w:rsidR="005B726A" w:rsidRPr="00183B3A" w14:paraId="43FE0D35" w14:textId="77777777" w:rsidTr="004150FE">
        <w:trPr>
          <w:trHeight w:val="1620"/>
        </w:trPr>
        <w:tc>
          <w:tcPr>
            <w:tcW w:w="3235" w:type="dxa"/>
            <w:tcBorders>
              <w:top w:val="nil"/>
              <w:left w:val="nil"/>
              <w:bottom w:val="single" w:sz="18" w:space="0" w:color="005587"/>
              <w:right w:val="nil"/>
            </w:tcBorders>
            <w:vAlign w:val="center"/>
          </w:tcPr>
          <w:p w14:paraId="4AA556C1" w14:textId="77777777" w:rsidR="005B726A" w:rsidRPr="008818FD" w:rsidRDefault="005B726A"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44D7962"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B3650E3" w14:textId="77777777" w:rsidR="005B726A" w:rsidRPr="004B4151" w:rsidRDefault="005B726A" w:rsidP="005B726A">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5DC9D55A" w14:textId="77777777" w:rsidR="005B726A" w:rsidRPr="004B4151" w:rsidRDefault="005B726A" w:rsidP="005B726A">
      <w:pPr>
        <w:pStyle w:val="ResumeHeading"/>
      </w:pPr>
      <w:r w:rsidRPr="004B4151">
        <w:t>Recent Experience</w:t>
      </w:r>
    </w:p>
    <w:p w14:paraId="230AC313" w14:textId="77777777" w:rsidR="005B726A" w:rsidRPr="0037159E" w:rsidRDefault="005B726A" w:rsidP="005B726A">
      <w:pPr>
        <w:pStyle w:val="ResumeJobTitle"/>
      </w:pPr>
      <w:r>
        <w:t xml:space="preserve">Resume </w:t>
      </w:r>
      <w:r w:rsidRPr="0037159E">
        <w:t>Job Title</w:t>
      </w:r>
      <w:r w:rsidRPr="0037159E">
        <w:tab/>
        <w:t>Dates</w:t>
      </w:r>
    </w:p>
    <w:p w14:paraId="6EEA8086" w14:textId="77777777" w:rsidR="005B726A" w:rsidRPr="0037159E" w:rsidRDefault="005B726A" w:rsidP="005B726A">
      <w:pPr>
        <w:pStyle w:val="Bulletlevel1"/>
        <w:tabs>
          <w:tab w:val="clear" w:pos="360"/>
        </w:tabs>
      </w:pPr>
    </w:p>
    <w:p w14:paraId="35517F9A" w14:textId="77777777" w:rsidR="005B726A" w:rsidRPr="0037159E" w:rsidRDefault="005B726A" w:rsidP="005B726A">
      <w:pPr>
        <w:pStyle w:val="Bulletlevel1"/>
        <w:tabs>
          <w:tab w:val="clear" w:pos="360"/>
        </w:tabs>
      </w:pPr>
    </w:p>
    <w:p w14:paraId="12991894" w14:textId="77777777" w:rsidR="005B726A" w:rsidRPr="004B4151" w:rsidRDefault="005B726A" w:rsidP="005B726A">
      <w:pPr>
        <w:pStyle w:val="ResumeHeading"/>
      </w:pPr>
      <w:r w:rsidRPr="004B4151">
        <w:t>Employment History</w:t>
      </w:r>
    </w:p>
    <w:p w14:paraId="1650B33F" w14:textId="77777777" w:rsidR="005B726A" w:rsidRPr="004B4151" w:rsidRDefault="005B726A" w:rsidP="005B726A">
      <w:pPr>
        <w:pStyle w:val="Bulletlevel1"/>
        <w:tabs>
          <w:tab w:val="clear" w:pos="360"/>
        </w:tabs>
      </w:pPr>
      <w:r w:rsidRPr="004B4151">
        <w:t>Company, Title, (From – To)</w:t>
      </w:r>
    </w:p>
    <w:p w14:paraId="30F92452" w14:textId="77777777" w:rsidR="005B726A" w:rsidRPr="004B4151" w:rsidRDefault="005B726A" w:rsidP="005B726A">
      <w:pPr>
        <w:pStyle w:val="Bulletlevel1"/>
        <w:tabs>
          <w:tab w:val="clear" w:pos="360"/>
        </w:tabs>
      </w:pPr>
    </w:p>
    <w:p w14:paraId="60F32C9D" w14:textId="77777777" w:rsidR="005B726A" w:rsidRPr="004B4151" w:rsidRDefault="005B726A" w:rsidP="005B726A">
      <w:pPr>
        <w:pStyle w:val="ResumeHeading"/>
      </w:pPr>
      <w:r w:rsidRPr="004B4151">
        <w:t>Education</w:t>
      </w:r>
    </w:p>
    <w:p w14:paraId="6C03602B" w14:textId="77777777" w:rsidR="005B726A" w:rsidRPr="004B4151" w:rsidRDefault="005B726A" w:rsidP="005B726A">
      <w:pPr>
        <w:pStyle w:val="Bulletlevel1"/>
        <w:tabs>
          <w:tab w:val="clear" w:pos="360"/>
        </w:tabs>
      </w:pPr>
      <w:r w:rsidRPr="004B4151">
        <w:t>Degree, Field, School</w:t>
      </w:r>
    </w:p>
    <w:p w14:paraId="1117B6E2" w14:textId="70926D2C" w:rsidR="005173D2" w:rsidRDefault="005173D2" w:rsidP="00CE4E4D">
      <w:pPr>
        <w:pStyle w:val="BodyText"/>
      </w:pPr>
      <w:r>
        <w:br w:type="page"/>
      </w:r>
    </w:p>
    <w:p w14:paraId="5B5512C3" w14:textId="02DDB626" w:rsidR="005173D2" w:rsidRDefault="005173D2" w:rsidP="005173D2">
      <w:pPr>
        <w:pStyle w:val="Heading2"/>
        <w:rPr>
          <w:rStyle w:val="ResumeName14pts"/>
          <w:i/>
          <w:iCs w:val="0"/>
        </w:rPr>
      </w:pPr>
      <w:bookmarkStart w:id="143" w:name="_Toc227883203"/>
      <w:r>
        <w:t>A.5</w:t>
      </w:r>
      <w:r>
        <w:tab/>
      </w:r>
      <w:commentRangeStart w:id="144"/>
      <w:r w:rsidR="00CE5E62" w:rsidRPr="00CE5E62">
        <w:t>Technical Director</w:t>
      </w:r>
      <w:bookmarkEnd w:id="143"/>
      <w:commentRangeEnd w:id="144"/>
      <w:r w:rsidR="00427099">
        <w:rPr>
          <w:rStyle w:val="CommentReference"/>
          <w:b w:val="0"/>
          <w:i/>
          <w:sz w:val="28"/>
          <w:szCs w:val="26"/>
        </w:rPr>
        <w:commentReference w:id="144"/>
      </w:r>
    </w:p>
    <w:p w14:paraId="69BDA1FF" w14:textId="77777777" w:rsidR="005173D2" w:rsidRPr="00296F28" w:rsidRDefault="005173D2" w:rsidP="005173D2">
      <w:pPr>
        <w:pStyle w:val="ResumeNameEntity"/>
        <w:rPr>
          <w:b/>
          <w:iCs/>
          <w:sz w:val="28"/>
        </w:rPr>
      </w:pPr>
      <w:r>
        <w:rPr>
          <w:rStyle w:val="ResumeName14pts"/>
          <w:i w:val="0"/>
          <w:iCs w:val="0"/>
        </w:rPr>
        <w:t>Name</w:t>
      </w:r>
      <w:r>
        <w:rPr>
          <w:rStyle w:val="ResumeName14pts"/>
        </w:rPr>
        <w:tab/>
      </w:r>
      <w:r w:rsidRPr="003461D9">
        <w:t>Legal Entity, Title</w:t>
      </w:r>
    </w:p>
    <w:p w14:paraId="2AFCA7B4" w14:textId="77777777" w:rsidR="005173D2" w:rsidRPr="0070652A" w:rsidRDefault="005173D2" w:rsidP="005173D2">
      <w:pPr>
        <w:pStyle w:val="ResumeProposedRole"/>
      </w:pPr>
      <w:r>
        <w:t>Labor Category</w:t>
      </w:r>
      <w:r w:rsidRPr="0070652A">
        <w:t xml:space="preserve">: </w:t>
      </w:r>
    </w:p>
    <w:p w14:paraId="39BA65BB" w14:textId="77777777" w:rsidR="005173D2" w:rsidRDefault="005173D2" w:rsidP="005173D2">
      <w:pPr>
        <w:pStyle w:val="ParagraphSpacer"/>
      </w:pPr>
    </w:p>
    <w:p w14:paraId="3EDD7965"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173D2" w:rsidRPr="00183B3A" w14:paraId="41965873" w14:textId="77777777" w:rsidTr="004150FE">
        <w:trPr>
          <w:trHeight w:val="360"/>
        </w:trPr>
        <w:tc>
          <w:tcPr>
            <w:tcW w:w="3235" w:type="dxa"/>
            <w:tcBorders>
              <w:top w:val="nil"/>
              <w:left w:val="nil"/>
              <w:bottom w:val="nil"/>
              <w:right w:val="nil"/>
            </w:tcBorders>
            <w:shd w:val="clear" w:color="auto" w:fill="005587"/>
            <w:vAlign w:val="center"/>
          </w:tcPr>
          <w:p w14:paraId="5186F5F3" w14:textId="77777777" w:rsidR="005173D2" w:rsidRPr="00183B3A" w:rsidRDefault="005173D2" w:rsidP="004150FE">
            <w:pPr>
              <w:pStyle w:val="CalloutTitle"/>
            </w:pPr>
            <w:r>
              <w:t xml:space="preserve">CALLOUT 2 BOX </w:t>
            </w:r>
            <w:r w:rsidRPr="00183B3A">
              <w:t>TITLE TEXT</w:t>
            </w:r>
          </w:p>
        </w:tc>
      </w:tr>
      <w:tr w:rsidR="005173D2" w:rsidRPr="00183B3A" w14:paraId="1030AF39" w14:textId="77777777" w:rsidTr="004150FE">
        <w:trPr>
          <w:trHeight w:val="1620"/>
        </w:trPr>
        <w:tc>
          <w:tcPr>
            <w:tcW w:w="3235" w:type="dxa"/>
            <w:tcBorders>
              <w:top w:val="nil"/>
              <w:left w:val="nil"/>
              <w:bottom w:val="single" w:sz="18" w:space="0" w:color="005587"/>
              <w:right w:val="nil"/>
            </w:tcBorders>
            <w:vAlign w:val="center"/>
          </w:tcPr>
          <w:p w14:paraId="3FCC0034" w14:textId="77777777" w:rsidR="005173D2" w:rsidRPr="008818FD" w:rsidRDefault="005173D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36BED980"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2AADB64" w14:textId="77777777" w:rsidR="005173D2" w:rsidRPr="004B4151" w:rsidRDefault="005173D2" w:rsidP="005173D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7FAF67A3" w14:textId="77777777" w:rsidR="005173D2" w:rsidRPr="004B4151" w:rsidRDefault="005173D2" w:rsidP="005173D2">
      <w:pPr>
        <w:pStyle w:val="ResumeHeading"/>
      </w:pPr>
      <w:r w:rsidRPr="004B4151">
        <w:t>Recent Experience</w:t>
      </w:r>
    </w:p>
    <w:p w14:paraId="0727D007" w14:textId="77777777" w:rsidR="005173D2" w:rsidRPr="0037159E" w:rsidRDefault="005173D2" w:rsidP="005173D2">
      <w:pPr>
        <w:pStyle w:val="ResumeJobTitle"/>
      </w:pPr>
      <w:r>
        <w:t xml:space="preserve">Resume </w:t>
      </w:r>
      <w:r w:rsidRPr="0037159E">
        <w:t>Job Title</w:t>
      </w:r>
      <w:r w:rsidRPr="0037159E">
        <w:tab/>
        <w:t>Dates</w:t>
      </w:r>
    </w:p>
    <w:p w14:paraId="1D64611B" w14:textId="77777777" w:rsidR="005173D2" w:rsidRPr="0037159E" w:rsidRDefault="005173D2" w:rsidP="005173D2">
      <w:pPr>
        <w:pStyle w:val="Bulletlevel1"/>
        <w:tabs>
          <w:tab w:val="clear" w:pos="360"/>
        </w:tabs>
      </w:pPr>
    </w:p>
    <w:p w14:paraId="2EEE0401" w14:textId="77777777" w:rsidR="005173D2" w:rsidRPr="0037159E" w:rsidRDefault="005173D2" w:rsidP="005173D2">
      <w:pPr>
        <w:pStyle w:val="Bulletlevel1"/>
        <w:tabs>
          <w:tab w:val="clear" w:pos="360"/>
        </w:tabs>
      </w:pPr>
    </w:p>
    <w:p w14:paraId="7C1C60DE" w14:textId="77777777" w:rsidR="005173D2" w:rsidRPr="004B4151" w:rsidRDefault="005173D2" w:rsidP="005173D2">
      <w:pPr>
        <w:pStyle w:val="ResumeHeading"/>
      </w:pPr>
      <w:r w:rsidRPr="004B4151">
        <w:t>Employment History</w:t>
      </w:r>
    </w:p>
    <w:p w14:paraId="67BD21ED" w14:textId="77777777" w:rsidR="005173D2" w:rsidRPr="004B4151" w:rsidRDefault="005173D2" w:rsidP="005173D2">
      <w:pPr>
        <w:pStyle w:val="Bulletlevel1"/>
        <w:tabs>
          <w:tab w:val="clear" w:pos="360"/>
        </w:tabs>
      </w:pPr>
      <w:r w:rsidRPr="004B4151">
        <w:t>Company, Title, (From – To)</w:t>
      </w:r>
    </w:p>
    <w:p w14:paraId="5DCB75E9" w14:textId="77777777" w:rsidR="005173D2" w:rsidRPr="004B4151" w:rsidRDefault="005173D2" w:rsidP="005173D2">
      <w:pPr>
        <w:pStyle w:val="Bulletlevel1"/>
        <w:tabs>
          <w:tab w:val="clear" w:pos="360"/>
        </w:tabs>
      </w:pPr>
    </w:p>
    <w:p w14:paraId="61774C4D" w14:textId="77777777" w:rsidR="005173D2" w:rsidRPr="004B4151" w:rsidRDefault="005173D2" w:rsidP="005173D2">
      <w:pPr>
        <w:pStyle w:val="ResumeHeading"/>
      </w:pPr>
      <w:r w:rsidRPr="004B4151">
        <w:t>Education</w:t>
      </w:r>
    </w:p>
    <w:p w14:paraId="38B70BF3" w14:textId="77777777" w:rsidR="005173D2" w:rsidRPr="004B4151" w:rsidRDefault="005173D2" w:rsidP="005173D2">
      <w:pPr>
        <w:pStyle w:val="Bulletlevel1"/>
        <w:tabs>
          <w:tab w:val="clear" w:pos="360"/>
        </w:tabs>
      </w:pPr>
      <w:r w:rsidRPr="004B4151">
        <w:t>Degree, Field, School</w:t>
      </w:r>
    </w:p>
    <w:p w14:paraId="61524B48" w14:textId="77777777" w:rsidR="005173D2" w:rsidRPr="00CE4E4D" w:rsidRDefault="005173D2" w:rsidP="005173D2">
      <w:pPr>
        <w:pStyle w:val="BodyText"/>
      </w:pPr>
    </w:p>
    <w:p w14:paraId="3C733190" w14:textId="4378643C" w:rsidR="00CE5E62" w:rsidRDefault="00CE5E62" w:rsidP="00CE4E4D">
      <w:pPr>
        <w:pStyle w:val="BodyText"/>
      </w:pPr>
      <w:r>
        <w:br w:type="page"/>
      </w:r>
    </w:p>
    <w:p w14:paraId="12B68659" w14:textId="26AE779F" w:rsidR="00CE5E62" w:rsidRDefault="00CE5E62" w:rsidP="00CE5E62">
      <w:pPr>
        <w:pStyle w:val="Heading2"/>
        <w:rPr>
          <w:rStyle w:val="ResumeName14pts"/>
          <w:i/>
          <w:iCs w:val="0"/>
        </w:rPr>
      </w:pPr>
      <w:bookmarkStart w:id="145" w:name="_Toc227883204"/>
      <w:r>
        <w:t>A.6</w:t>
      </w:r>
      <w:r>
        <w:tab/>
      </w:r>
      <w:commentRangeStart w:id="146"/>
      <w:r w:rsidR="006079C6" w:rsidRPr="006079C6">
        <w:t>Security and Privacy Officer</w:t>
      </w:r>
      <w:bookmarkEnd w:id="145"/>
      <w:commentRangeEnd w:id="146"/>
      <w:r w:rsidR="00B574A9">
        <w:rPr>
          <w:rStyle w:val="CommentReference"/>
          <w:b w:val="0"/>
          <w:i/>
          <w:sz w:val="28"/>
          <w:szCs w:val="26"/>
        </w:rPr>
        <w:commentReference w:id="146"/>
      </w:r>
    </w:p>
    <w:p w14:paraId="7F4CBCE6" w14:textId="77777777" w:rsidR="00CE5E62" w:rsidRPr="00296F28" w:rsidRDefault="00CE5E62" w:rsidP="00CE5E62">
      <w:pPr>
        <w:pStyle w:val="ResumeNameEntity"/>
        <w:rPr>
          <w:b/>
          <w:iCs/>
          <w:sz w:val="28"/>
        </w:rPr>
      </w:pPr>
      <w:r>
        <w:rPr>
          <w:rStyle w:val="ResumeName14pts"/>
          <w:i w:val="0"/>
          <w:iCs w:val="0"/>
        </w:rPr>
        <w:t>Name</w:t>
      </w:r>
      <w:r>
        <w:rPr>
          <w:rStyle w:val="ResumeName14pts"/>
        </w:rPr>
        <w:tab/>
      </w:r>
      <w:r w:rsidRPr="003461D9">
        <w:t>Legal Entity, Title</w:t>
      </w:r>
    </w:p>
    <w:p w14:paraId="3DF7C914" w14:textId="77777777" w:rsidR="00CE5E62" w:rsidRPr="0070652A" w:rsidRDefault="00CE5E62" w:rsidP="00CE5E62">
      <w:pPr>
        <w:pStyle w:val="ResumeProposedRole"/>
      </w:pPr>
      <w:r>
        <w:t>Labor Category</w:t>
      </w:r>
      <w:r w:rsidRPr="0070652A">
        <w:t xml:space="preserve">: </w:t>
      </w:r>
    </w:p>
    <w:p w14:paraId="65E9D21D" w14:textId="77777777" w:rsidR="00CE5E62" w:rsidRDefault="00CE5E62" w:rsidP="00CE5E62">
      <w:pPr>
        <w:pStyle w:val="ParagraphSpacer"/>
      </w:pPr>
    </w:p>
    <w:p w14:paraId="562E982C"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5E62" w:rsidRPr="00183B3A" w14:paraId="4DD289AF" w14:textId="77777777" w:rsidTr="004150FE">
        <w:trPr>
          <w:trHeight w:val="360"/>
        </w:trPr>
        <w:tc>
          <w:tcPr>
            <w:tcW w:w="3235" w:type="dxa"/>
            <w:tcBorders>
              <w:top w:val="nil"/>
              <w:left w:val="nil"/>
              <w:bottom w:val="nil"/>
              <w:right w:val="nil"/>
            </w:tcBorders>
            <w:shd w:val="clear" w:color="auto" w:fill="005587"/>
            <w:vAlign w:val="center"/>
          </w:tcPr>
          <w:p w14:paraId="5490B091" w14:textId="77777777" w:rsidR="00CE5E62" w:rsidRPr="00183B3A" w:rsidRDefault="00CE5E62" w:rsidP="004150FE">
            <w:pPr>
              <w:pStyle w:val="CalloutTitle"/>
            </w:pPr>
            <w:r>
              <w:t xml:space="preserve">CALLOUT 2 BOX </w:t>
            </w:r>
            <w:r w:rsidRPr="00183B3A">
              <w:t>TITLE TEXT</w:t>
            </w:r>
          </w:p>
        </w:tc>
      </w:tr>
      <w:tr w:rsidR="00CE5E62" w:rsidRPr="00183B3A" w14:paraId="076A96F9" w14:textId="77777777" w:rsidTr="004150FE">
        <w:trPr>
          <w:trHeight w:val="1620"/>
        </w:trPr>
        <w:tc>
          <w:tcPr>
            <w:tcW w:w="3235" w:type="dxa"/>
            <w:tcBorders>
              <w:top w:val="nil"/>
              <w:left w:val="nil"/>
              <w:bottom w:val="single" w:sz="18" w:space="0" w:color="005587"/>
              <w:right w:val="nil"/>
            </w:tcBorders>
            <w:vAlign w:val="center"/>
          </w:tcPr>
          <w:p w14:paraId="20F8E4B4" w14:textId="77777777" w:rsidR="00CE5E62" w:rsidRPr="008818FD" w:rsidRDefault="00CE5E6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1F2E902C"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85DA6EC" w14:textId="77777777" w:rsidR="00CE5E62" w:rsidRPr="004B4151" w:rsidRDefault="00CE5E62" w:rsidP="00CE5E6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1BD99BC1" w14:textId="77777777" w:rsidR="00CE5E62" w:rsidRPr="004B4151" w:rsidRDefault="00CE5E62" w:rsidP="00CE5E62">
      <w:pPr>
        <w:pStyle w:val="ResumeHeading"/>
      </w:pPr>
      <w:r w:rsidRPr="004B4151">
        <w:t>Recent Experience</w:t>
      </w:r>
    </w:p>
    <w:p w14:paraId="063903CC" w14:textId="77777777" w:rsidR="00CE5E62" w:rsidRPr="0037159E" w:rsidRDefault="00CE5E62" w:rsidP="00CE5E62">
      <w:pPr>
        <w:pStyle w:val="ResumeJobTitle"/>
      </w:pPr>
      <w:r>
        <w:t xml:space="preserve">Resume </w:t>
      </w:r>
      <w:r w:rsidRPr="0037159E">
        <w:t>Job Title</w:t>
      </w:r>
      <w:r w:rsidRPr="0037159E">
        <w:tab/>
        <w:t>Dates</w:t>
      </w:r>
    </w:p>
    <w:p w14:paraId="545363ED" w14:textId="77777777" w:rsidR="00CE5E62" w:rsidRPr="0037159E" w:rsidRDefault="00CE5E62" w:rsidP="00CE5E62">
      <w:pPr>
        <w:pStyle w:val="Bulletlevel1"/>
        <w:tabs>
          <w:tab w:val="clear" w:pos="360"/>
        </w:tabs>
      </w:pPr>
    </w:p>
    <w:p w14:paraId="1E2D6B7E" w14:textId="77777777" w:rsidR="00CE5E62" w:rsidRPr="0037159E" w:rsidRDefault="00CE5E62" w:rsidP="00CE5E62">
      <w:pPr>
        <w:pStyle w:val="Bulletlevel1"/>
        <w:tabs>
          <w:tab w:val="clear" w:pos="360"/>
        </w:tabs>
      </w:pPr>
    </w:p>
    <w:p w14:paraId="4F8185EE" w14:textId="77777777" w:rsidR="00CE5E62" w:rsidRPr="004B4151" w:rsidRDefault="00CE5E62" w:rsidP="00CE5E62">
      <w:pPr>
        <w:pStyle w:val="ResumeHeading"/>
      </w:pPr>
      <w:r w:rsidRPr="004B4151">
        <w:t>Employment History</w:t>
      </w:r>
    </w:p>
    <w:p w14:paraId="36FBEE67" w14:textId="77777777" w:rsidR="00CE5E62" w:rsidRPr="004B4151" w:rsidRDefault="00CE5E62" w:rsidP="00CE5E62">
      <w:pPr>
        <w:pStyle w:val="Bulletlevel1"/>
        <w:tabs>
          <w:tab w:val="clear" w:pos="360"/>
        </w:tabs>
      </w:pPr>
      <w:r w:rsidRPr="004B4151">
        <w:t>Company, Title, (From – To)</w:t>
      </w:r>
    </w:p>
    <w:p w14:paraId="79F5B151" w14:textId="77777777" w:rsidR="00CE5E62" w:rsidRPr="004B4151" w:rsidRDefault="00CE5E62" w:rsidP="00CE5E62">
      <w:pPr>
        <w:pStyle w:val="Bulletlevel1"/>
        <w:tabs>
          <w:tab w:val="clear" w:pos="360"/>
        </w:tabs>
      </w:pPr>
    </w:p>
    <w:p w14:paraId="61A070B4" w14:textId="77777777" w:rsidR="00CE5E62" w:rsidRPr="004B4151" w:rsidRDefault="00CE5E62" w:rsidP="00CE5E62">
      <w:pPr>
        <w:pStyle w:val="ResumeHeading"/>
      </w:pPr>
      <w:r w:rsidRPr="004B4151">
        <w:t>Education</w:t>
      </w:r>
    </w:p>
    <w:p w14:paraId="63108207" w14:textId="77777777" w:rsidR="00CE5E62" w:rsidRPr="004B4151" w:rsidRDefault="00CE5E62" w:rsidP="00CE5E62">
      <w:pPr>
        <w:pStyle w:val="Bulletlevel1"/>
        <w:tabs>
          <w:tab w:val="clear" w:pos="360"/>
        </w:tabs>
      </w:pPr>
      <w:r w:rsidRPr="004B4151">
        <w:t>Degree, Field, School</w:t>
      </w:r>
    </w:p>
    <w:p w14:paraId="0B59422E" w14:textId="77777777" w:rsidR="00CE5E62" w:rsidRPr="00CE4E4D" w:rsidRDefault="00CE5E62" w:rsidP="00CE5E62">
      <w:pPr>
        <w:pStyle w:val="BodyText"/>
      </w:pPr>
    </w:p>
    <w:p w14:paraId="7CAA3D04" w14:textId="77777777" w:rsidR="00CE4E4D" w:rsidRPr="00CE4E4D" w:rsidRDefault="00CE4E4D" w:rsidP="00CE4E4D">
      <w:pPr>
        <w:pStyle w:val="BodyText"/>
      </w:pPr>
    </w:p>
    <w:p w14:paraId="3EADD236" w14:textId="77777777" w:rsidR="00782A21" w:rsidRDefault="00782A21" w:rsidP="00782A21">
      <w:pPr>
        <w:pStyle w:val="BodyText"/>
      </w:pPr>
    </w:p>
    <w:p w14:paraId="0CA93EB1" w14:textId="77777777" w:rsidR="00782A21" w:rsidRPr="00782A21" w:rsidRDefault="00782A21" w:rsidP="00782A21">
      <w:pPr>
        <w:pStyle w:val="BodyText"/>
        <w:sectPr w:rsidR="00782A21" w:rsidRPr="00782A21" w:rsidSect="000B1BCE">
          <w:footerReference w:type="default" r:id="rId53"/>
          <w:pgSz w:w="12240" w:h="15840" w:code="1"/>
          <w:pgMar w:top="1440" w:right="1440" w:bottom="1440" w:left="1440" w:header="720" w:footer="576" w:gutter="0"/>
          <w:pgNumType w:start="1"/>
          <w:cols w:space="720"/>
          <w:docGrid w:linePitch="360"/>
        </w:sectPr>
      </w:pPr>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Pr>
      <w:tblGrid>
        <w:gridCol w:w="3888"/>
      </w:tblGrid>
      <w:tr w:rsidR="004F57A3" w14:paraId="56770399"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1A58A9CE" w14:textId="77777777" w:rsidR="004F57A3" w:rsidRDefault="004F57A3" w:rsidP="006F5E2D">
            <w:pPr>
              <w:pStyle w:val="CalloutTitle"/>
            </w:pPr>
            <w:r>
              <w:t>Callout</w:t>
            </w:r>
            <w:r w:rsidR="004718BB">
              <w:t xml:space="preserve"> 1</w:t>
            </w:r>
            <w:r>
              <w:t xml:space="preserve"> Title</w:t>
            </w:r>
          </w:p>
        </w:tc>
      </w:tr>
      <w:tr w:rsidR="004F57A3" w14:paraId="110086BA"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2ED1F487" w14:textId="77777777" w:rsidR="004F57A3" w:rsidRDefault="004F57A3" w:rsidP="006F5E2D">
            <w:pPr>
              <w:pStyle w:val="Callout2Body"/>
              <w:framePr w:hSpace="0" w:wrap="auto" w:vAnchor="margin" w:hAnchor="text" w:xAlign="left" w:yAlign="inline"/>
              <w:suppressOverlap w:val="0"/>
            </w:pPr>
            <w:r>
              <w:t>Callout2 Body</w:t>
            </w:r>
          </w:p>
          <w:p w14:paraId="6589B714" w14:textId="37707CCF" w:rsidR="001A6EA4" w:rsidRPr="001A6EA4" w:rsidRDefault="004F57A3" w:rsidP="001A6EA4">
            <w:pPr>
              <w:pStyle w:val="Callout2CheckmarkBullet"/>
              <w:framePr w:hSpace="0" w:wrap="auto" w:xAlign="left" w:yAlign="inline"/>
              <w:tabs>
                <w:tab w:val="clear" w:pos="180"/>
              </w:tabs>
              <w:suppressOverlap w:val="0"/>
              <w:textboxTightWrap w:val="none"/>
            </w:pPr>
            <w:r>
              <w:t xml:space="preserve">Callout2 </w:t>
            </w:r>
            <w:r w:rsidRPr="00743F21">
              <w:t>Checkmark</w:t>
            </w:r>
            <w:r>
              <w:t xml:space="preserve"> Bullet</w:t>
            </w:r>
          </w:p>
          <w:p w14:paraId="2B89F16B" w14:textId="77777777" w:rsidR="004F57A3" w:rsidRDefault="004F57A3" w:rsidP="00190625">
            <w:pPr>
              <w:pStyle w:val="Callout2Bullet"/>
              <w:framePr w:hSpace="0" w:wrap="auto" w:vAnchor="margin" w:hAnchor="text" w:xAlign="left" w:yAlign="inline"/>
              <w:suppressOverlap w:val="0"/>
            </w:pPr>
            <w:r>
              <w:t>Callout2 Bullet</w:t>
            </w:r>
          </w:p>
          <w:p w14:paraId="65FF5F86" w14:textId="7E2EDE43" w:rsidR="001A6EA4" w:rsidRPr="001A6EA4" w:rsidRDefault="004F57A3" w:rsidP="001A6EA4">
            <w:pPr>
              <w:pStyle w:val="Callout2Bullet2"/>
              <w:framePr w:hSpace="0" w:wrap="auto" w:vAnchor="margin" w:hAnchor="text" w:xAlign="left" w:yAlign="inline"/>
              <w:suppressOverlap w:val="0"/>
            </w:pPr>
            <w:r w:rsidRPr="00A1609F">
              <w:t>Callout</w:t>
            </w:r>
            <w:r>
              <w:t>2</w:t>
            </w:r>
            <w:r w:rsidRPr="00A1609F">
              <w:t xml:space="preserve"> Bullet2 </w:t>
            </w:r>
          </w:p>
        </w:tc>
      </w:tr>
    </w:tbl>
    <w:p w14:paraId="49D93293" w14:textId="77777777" w:rsidR="004B4FB0" w:rsidRDefault="004B4FB0" w:rsidP="00001E2A">
      <w:pPr>
        <w:pStyle w:val="Heading8"/>
      </w:pPr>
      <w:r>
        <w:t>1.1.1.1.1.1.1.1</w:t>
      </w:r>
      <w:r>
        <w:tab/>
        <w:t>Heading 8</w:t>
      </w:r>
    </w:p>
    <w:tbl>
      <w:tblPr>
        <w:tblStyle w:val="TableGrid"/>
        <w:tblpPr w:leftFromText="288" w:rightFromText="288" w:vertAnchor="text" w:horzAnchor="page" w:tblpX="7051" w:tblpY="9"/>
        <w:tblOverlap w:val="never"/>
        <w:tblW w:w="0" w:type="auto"/>
        <w:tblLook w:val="04A0" w:firstRow="1" w:lastRow="0" w:firstColumn="1" w:lastColumn="0" w:noHBand="0" w:noVBand="1"/>
      </w:tblPr>
      <w:tblGrid>
        <w:gridCol w:w="3235"/>
      </w:tblGrid>
      <w:tr w:rsidR="006065FF" w:rsidRPr="00183B3A" w14:paraId="222DDF75" w14:textId="77777777" w:rsidTr="006065FF">
        <w:trPr>
          <w:trHeight w:val="360"/>
        </w:trPr>
        <w:tc>
          <w:tcPr>
            <w:tcW w:w="3235" w:type="dxa"/>
            <w:tcBorders>
              <w:top w:val="nil"/>
              <w:left w:val="nil"/>
              <w:bottom w:val="nil"/>
              <w:right w:val="nil"/>
            </w:tcBorders>
            <w:shd w:val="clear" w:color="auto" w:fill="005587"/>
            <w:vAlign w:val="center"/>
          </w:tcPr>
          <w:p w14:paraId="6A9CF347" w14:textId="77777777" w:rsidR="006065FF" w:rsidRPr="00183B3A" w:rsidRDefault="006065FF" w:rsidP="006065FF">
            <w:pPr>
              <w:pStyle w:val="CalloutTitle"/>
            </w:pPr>
            <w:r>
              <w:t xml:space="preserve">CALLOUT 2 BOX </w:t>
            </w:r>
            <w:r w:rsidRPr="00183B3A">
              <w:t>TITLE TEXT</w:t>
            </w:r>
          </w:p>
        </w:tc>
      </w:tr>
      <w:tr w:rsidR="006065FF" w:rsidRPr="00183B3A" w14:paraId="0B459EEE" w14:textId="77777777" w:rsidTr="006065FF">
        <w:trPr>
          <w:trHeight w:val="1620"/>
        </w:trPr>
        <w:tc>
          <w:tcPr>
            <w:tcW w:w="3235" w:type="dxa"/>
            <w:tcBorders>
              <w:top w:val="nil"/>
              <w:left w:val="nil"/>
              <w:bottom w:val="single" w:sz="18" w:space="0" w:color="005587"/>
              <w:right w:val="nil"/>
            </w:tcBorders>
            <w:vAlign w:val="center"/>
          </w:tcPr>
          <w:p w14:paraId="54E25E39" w14:textId="77777777" w:rsidR="006065FF" w:rsidRPr="00296F28" w:rsidRDefault="006065FF" w:rsidP="006065FF">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2C76192E" w14:textId="77777777" w:rsidR="004B4FB0" w:rsidRDefault="004B4FB0" w:rsidP="00001E2A">
      <w:pPr>
        <w:pStyle w:val="Heading9"/>
      </w:pPr>
      <w:r>
        <w:t>1.1.1.1.1.1.1.1.1</w:t>
      </w:r>
      <w:r w:rsidR="00001E2A">
        <w:tab/>
      </w:r>
      <w:r>
        <w:t>Heading 9</w:t>
      </w:r>
    </w:p>
    <w:p w14:paraId="49B0C324" w14:textId="77777777" w:rsidR="004F57A3" w:rsidRDefault="004F57A3" w:rsidP="004F57A3">
      <w:pPr>
        <w:pStyle w:val="Subheading1"/>
      </w:pPr>
      <w:r>
        <w:t>Subheading 1</w:t>
      </w:r>
    </w:p>
    <w:p w14:paraId="1D3B1638" w14:textId="77777777" w:rsidR="00BF6040" w:rsidRDefault="00BF6040" w:rsidP="00BF6040">
      <w:pPr>
        <w:pStyle w:val="BodyText"/>
      </w:pPr>
      <w:r w:rsidRPr="00BF6040">
        <w:t>Body Text</w:t>
      </w:r>
    </w:p>
    <w:p w14:paraId="7ED02986" w14:textId="77777777" w:rsidR="006B663A" w:rsidRDefault="006B663A" w:rsidP="00BF6040">
      <w:pPr>
        <w:pStyle w:val="BodyText"/>
      </w:pPr>
    </w:p>
    <w:p w14:paraId="12D5E8F4" w14:textId="77777777" w:rsidR="006B663A" w:rsidRDefault="006B663A" w:rsidP="00BF6040">
      <w:pPr>
        <w:pStyle w:val="BodyText"/>
      </w:pPr>
    </w:p>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795"/>
        <w:gridCol w:w="4055"/>
      </w:tblGrid>
      <w:tr w:rsidR="00296F28" w14:paraId="1F1D6D05" w14:textId="77777777">
        <w:trPr>
          <w:trHeight w:val="1215"/>
        </w:trPr>
        <w:tc>
          <w:tcPr>
            <w:tcW w:w="1795" w:type="dxa"/>
            <w:tcBorders>
              <w:top w:val="single" w:sz="18" w:space="0" w:color="005587"/>
              <w:bottom w:val="single" w:sz="18" w:space="0" w:color="005587"/>
            </w:tcBorders>
            <w:vAlign w:val="center"/>
          </w:tcPr>
          <w:p w14:paraId="33568214" w14:textId="77777777" w:rsidR="00296F28" w:rsidRPr="00F744EE" w:rsidRDefault="00296F28">
            <w:pPr>
              <w:pStyle w:val="CalloutTitle12pt"/>
              <w:framePr w:hSpace="0" w:wrap="auto" w:vAnchor="margin" w:hAnchor="text" w:yAlign="inline"/>
              <w:suppressOverlap w:val="0"/>
            </w:pPr>
            <w:r w:rsidRPr="00F744EE">
              <w:t xml:space="preserve">Callout </w:t>
            </w:r>
            <w:r>
              <w:t xml:space="preserve">3 </w:t>
            </w:r>
            <w:r w:rsidRPr="00F744EE">
              <w:t>Box</w:t>
            </w:r>
          </w:p>
          <w:p w14:paraId="18C8FDE7" w14:textId="77777777" w:rsidR="00296F28" w:rsidRPr="00F744EE" w:rsidRDefault="00296F28">
            <w:pPr>
              <w:pStyle w:val="CalloutTitle12pt"/>
              <w:framePr w:hSpace="0" w:wrap="auto" w:vAnchor="margin" w:hAnchor="text" w:yAlign="inline"/>
              <w:suppressOverlap w:val="0"/>
            </w:pPr>
            <w:r w:rsidRPr="00920428">
              <w:t>Title Text</w:t>
            </w:r>
          </w:p>
        </w:tc>
        <w:tc>
          <w:tcPr>
            <w:tcW w:w="4055" w:type="dxa"/>
            <w:tcBorders>
              <w:top w:val="single" w:sz="18" w:space="0" w:color="005587"/>
              <w:bottom w:val="single" w:sz="18" w:space="0" w:color="005587"/>
            </w:tcBorders>
            <w:vAlign w:val="center"/>
          </w:tcPr>
          <w:p w14:paraId="71C14914" w14:textId="5BC1F7B3" w:rsidR="008818FD" w:rsidRPr="00296F28" w:rsidRDefault="00296F28" w:rsidP="00296F28">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46EC09E5" w14:textId="77777777" w:rsidR="006B663A" w:rsidRDefault="006B663A" w:rsidP="00BF6040">
      <w:pPr>
        <w:pStyle w:val="BodyText"/>
      </w:pPr>
    </w:p>
    <w:p w14:paraId="68446F0E" w14:textId="77777777" w:rsidR="006B663A" w:rsidRPr="00BF6040" w:rsidRDefault="006B663A" w:rsidP="00BF6040">
      <w:pPr>
        <w:pStyle w:val="BodyText"/>
      </w:pPr>
    </w:p>
    <w:p w14:paraId="24655643" w14:textId="77777777" w:rsidR="004F57A3" w:rsidRDefault="004F57A3" w:rsidP="004F57A3">
      <w:pPr>
        <w:pStyle w:val="Subheading2"/>
      </w:pPr>
      <w:r>
        <w:t>Subheading 2</w:t>
      </w:r>
    </w:p>
    <w:p w14:paraId="5EAB0A93" w14:textId="77777777" w:rsidR="004F57A3" w:rsidRDefault="004F57A3" w:rsidP="00BF6040">
      <w:pPr>
        <w:pStyle w:val="BodyTextBulletIntro"/>
      </w:pPr>
      <w:r>
        <w:t>Body Text</w:t>
      </w:r>
      <w:r w:rsidR="00BF6040">
        <w:t xml:space="preserve"> </w:t>
      </w:r>
      <w:r w:rsidR="00BF6040" w:rsidRPr="00BF6040">
        <w:t>Bullet Intro</w:t>
      </w:r>
    </w:p>
    <w:p w14:paraId="62C1991E" w14:textId="77777777" w:rsidR="004F57A3" w:rsidRDefault="004F57A3" w:rsidP="004F57A3">
      <w:pPr>
        <w:pStyle w:val="Bulletlevel1"/>
      </w:pPr>
      <w:r>
        <w:t>Bullet level 1</w:t>
      </w:r>
    </w:p>
    <w:p w14:paraId="381C0D6F" w14:textId="77777777" w:rsidR="004F57A3" w:rsidRDefault="004F57A3" w:rsidP="009D4F60">
      <w:pPr>
        <w:pStyle w:val="Bulletlevel2"/>
      </w:pPr>
      <w:r>
        <w:t>Bullet level 2</w:t>
      </w:r>
    </w:p>
    <w:p w14:paraId="273C26A1" w14:textId="77777777" w:rsidR="00DA7084" w:rsidRDefault="004B4FB0" w:rsidP="004B4FB0">
      <w:pPr>
        <w:pStyle w:val="Bulletlevel3"/>
      </w:pPr>
      <w:r>
        <w:t>Bullet level 3</w:t>
      </w:r>
    </w:p>
    <w:p w14:paraId="49A2B705" w14:textId="77777777" w:rsidR="004B4FB0" w:rsidRDefault="004B4FB0" w:rsidP="00DA7084">
      <w:pPr>
        <w:pStyle w:val="Bulletlevel3"/>
        <w:numPr>
          <w:ilvl w:val="0"/>
          <w:numId w:val="0"/>
        </w:numPr>
      </w:pPr>
    </w:p>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0" w:type="dxa"/>
          <w:right w:w="0" w:type="dxa"/>
        </w:tblCellMar>
        <w:tblLook w:val="04A0" w:firstRow="1" w:lastRow="0" w:firstColumn="1" w:lastColumn="0" w:noHBand="0" w:noVBand="1"/>
      </w:tblPr>
      <w:tblGrid>
        <w:gridCol w:w="3734"/>
      </w:tblGrid>
      <w:tr w:rsidR="004F57A3" w14:paraId="5631680A" w14:textId="77777777">
        <w:trPr>
          <w:cantSplit/>
        </w:trPr>
        <w:tc>
          <w:tcPr>
            <w:tcW w:w="9576" w:type="dxa"/>
          </w:tcPr>
          <w:p w14:paraId="02540E11" w14:textId="77777777" w:rsidR="004F57A3" w:rsidRDefault="004F57A3">
            <w:pPr>
              <w:pStyle w:val="FigureTitle"/>
            </w:pPr>
            <w:bookmarkStart w:id="150" w:name="_Toc534622387"/>
            <w:r>
              <w:t>Figure X.X-X. Provide Title.</w:t>
            </w:r>
            <w:bookmarkEnd w:id="150"/>
          </w:p>
          <w:p w14:paraId="6DAC4E15" w14:textId="77777777" w:rsidR="004F57A3" w:rsidRPr="00524B8E" w:rsidRDefault="004F57A3">
            <w:pPr>
              <w:pStyle w:val="ActionCaption"/>
            </w:pPr>
            <w:r>
              <w:t>Action caption, if needed</w:t>
            </w:r>
          </w:p>
          <w:p w14:paraId="063C6668" w14:textId="77777777" w:rsidR="004F57A3" w:rsidRPr="006438C6" w:rsidRDefault="00306F3E">
            <w:pPr>
              <w:pStyle w:val="FigureGraphic"/>
            </w:pPr>
            <w:r>
              <w:rPr>
                <w:noProof/>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54"/>
                          <a:stretch>
                            <a:fillRect/>
                          </a:stretch>
                        </pic:blipFill>
                        <pic:spPr>
                          <a:xfrm>
                            <a:off x="0" y="0"/>
                            <a:ext cx="2489497" cy="794521"/>
                          </a:xfrm>
                          <a:prstGeom prst="rect">
                            <a:avLst/>
                          </a:prstGeom>
                        </pic:spPr>
                      </pic:pic>
                    </a:graphicData>
                  </a:graphic>
                </wp:inline>
              </w:drawing>
            </w:r>
          </w:p>
        </w:tc>
      </w:tr>
    </w:tbl>
    <w:p w14:paraId="407133AE" w14:textId="77777777" w:rsidR="002648AB" w:rsidRPr="00BF6040" w:rsidRDefault="002648AB" w:rsidP="00BF6040">
      <w:pPr>
        <w:pStyle w:val="BodyText"/>
      </w:pPr>
    </w:p>
    <w:p w14:paraId="51D87134" w14:textId="77777777" w:rsidR="004F57A3" w:rsidRDefault="004F57A3" w:rsidP="001A7D1E">
      <w:pPr>
        <w:pStyle w:val="BodyText"/>
      </w:pPr>
    </w:p>
    <w:p w14:paraId="777BAD4E" w14:textId="77777777" w:rsidR="004F57A3" w:rsidRDefault="004F57A3" w:rsidP="001A7D1E">
      <w:pPr>
        <w:pStyle w:val="BodyText"/>
      </w:pPr>
    </w:p>
    <w:p w14:paraId="5EB48C3C" w14:textId="77777777" w:rsidR="004F57A3" w:rsidRDefault="004F57A3" w:rsidP="001A7D1E">
      <w:pPr>
        <w:pStyle w:val="BodyText"/>
      </w:pPr>
    </w:p>
    <w:p w14:paraId="4F74C039" w14:textId="77777777" w:rsidR="00D331D3" w:rsidRPr="00374D6C" w:rsidRDefault="00D331D3" w:rsidP="007E1879">
      <w:pPr>
        <w:pStyle w:val="TableTitle"/>
      </w:pPr>
      <w:r>
        <w:t>Table 1.1.1-1. Approach Summary.</w:t>
      </w:r>
      <w:r w:rsidRPr="00374D6C"/>
      <w:r/>
      <w:r w:rsidRPr="00374D6C"/>
    </w:p>
    <w:p w14:paraId="4CFF3029" w14:textId="77777777" w:rsidR="00D331D3" w:rsidRPr="00137DCB" w:rsidRDefault="00D331D3" w:rsidP="007E1879">
      <w:pPr>
        <w:pStyle w:val="ActionCaption"/>
      </w:pPr>
      <w:r w:rsidRPr="00374D6C">
        <w:t>Action caption, if needed.</w:t>
      </w:r>
    </w:p>
    <w:p w14:paraId="74E76C7C" w14:textId="77777777" w:rsidR="00D331D3" w:rsidRDefault="00D331D3" w:rsidP="007E1879">
      <w:pPr>
        <w:pStyle w:val="ParagraphSpacer"/>
      </w:pPr>
    </w:p>
    <w:tbl>
      <w:tblPr>
        <w:tblStyle w:val="DeloitteTable2"/>
        <w:tblW w:w="0" w:type="auto"/>
        <w:tblLook w:val="06A0" w:firstRow="1" w:lastRow="0" w:firstColumn="1" w:lastColumn="0" w:noHBand="1" w:noVBand="1"/>
      </w:tblPr>
      <w:tblGrid>
        <w:gridCol w:w="2337"/>
        <w:gridCol w:w="2337"/>
        <w:gridCol w:w="2338"/>
        <w:gridCol w:w="2338"/>
      </w:tblGrid>
      <w:tr w:rsidR="00801C7B" w14:paraId="7F021BBF"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D39B7D9" w14:textId="77777777" w:rsidR="00801C7B" w:rsidRDefault="00801C7B" w:rsidP="00801C7B">
            <w:pPr>
              <w:pStyle w:val="TableHeading"/>
            </w:pPr>
            <w:r>
              <w:t>Table Heading</w:t>
            </w:r>
          </w:p>
        </w:tc>
        <w:tc>
          <w:tcPr>
            <w:tcW w:w="2337" w:type="dxa"/>
          </w:tcPr>
          <w:p w14:paraId="5A4EE1C3"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1F37DF44"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3D7CFCFC"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r>
      <w:tr w:rsidR="00801C7B" w14:paraId="545768AF"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EEF642D" w14:textId="77777777" w:rsidR="00801C7B" w:rsidRDefault="001B6775" w:rsidP="00801C7B">
            <w:pPr>
              <w:pStyle w:val="TableRowHeading"/>
            </w:pPr>
            <w:r>
              <w:t>Table Row Heading</w:t>
            </w:r>
          </w:p>
        </w:tc>
        <w:tc>
          <w:tcPr>
            <w:tcW w:w="2337" w:type="dxa"/>
          </w:tcPr>
          <w:p w14:paraId="10E2DA8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pPr>
            <w:r>
              <w:t>Table body</w:t>
            </w:r>
          </w:p>
        </w:tc>
        <w:tc>
          <w:tcPr>
            <w:tcW w:w="2338" w:type="dxa"/>
          </w:tcPr>
          <w:p w14:paraId="69E55DA1"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pPr>
            <w:r>
              <w:t>Table Column Heading</w:t>
            </w:r>
          </w:p>
        </w:tc>
        <w:tc>
          <w:tcPr>
            <w:tcW w:w="2338" w:type="dxa"/>
          </w:tcPr>
          <w:p w14:paraId="1F45D05E"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pPr>
            <w:r>
              <w:t>Table Checkmark</w:t>
            </w:r>
          </w:p>
        </w:tc>
      </w:tr>
      <w:tr w:rsidR="00801C7B" w14:paraId="7B15F65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857E6CE" w14:textId="77777777" w:rsidR="00801C7B" w:rsidRDefault="00801C7B" w:rsidP="00801C7B">
            <w:pPr>
              <w:pStyle w:val="TableRowHeading"/>
            </w:pPr>
          </w:p>
        </w:tc>
        <w:tc>
          <w:tcPr>
            <w:tcW w:w="2337" w:type="dxa"/>
          </w:tcPr>
          <w:p w14:paraId="1F3E2F86"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pPr>
            <w:r>
              <w:t>Table Bullet 1</w:t>
            </w:r>
          </w:p>
        </w:tc>
        <w:tc>
          <w:tcPr>
            <w:tcW w:w="2338" w:type="dxa"/>
          </w:tcPr>
          <w:p w14:paraId="2FB1F47C"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pPr>
            <w:r>
              <w:t>Table Body Centered</w:t>
            </w:r>
          </w:p>
        </w:tc>
        <w:tc>
          <w:tcPr>
            <w:tcW w:w="2338" w:type="dxa"/>
          </w:tcPr>
          <w:p w14:paraId="58FCF37D"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4373701A"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1497A7EB" w14:textId="77777777" w:rsidR="00801C7B" w:rsidRDefault="00801C7B" w:rsidP="00801C7B">
            <w:pPr>
              <w:pStyle w:val="TableRowHeading"/>
            </w:pPr>
          </w:p>
        </w:tc>
        <w:tc>
          <w:tcPr>
            <w:tcW w:w="2337" w:type="dxa"/>
          </w:tcPr>
          <w:p w14:paraId="1911AD3A"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pPr>
            <w:r>
              <w:t>Table Bullet 2</w:t>
            </w:r>
          </w:p>
        </w:tc>
        <w:tc>
          <w:tcPr>
            <w:tcW w:w="2338" w:type="dxa"/>
          </w:tcPr>
          <w:p w14:paraId="562F4F27"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6FFC7723"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19322AD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A06EFC" w14:textId="77777777" w:rsidR="00801C7B" w:rsidRDefault="00801C7B" w:rsidP="00801C7B">
            <w:pPr>
              <w:pStyle w:val="TableRowHeading"/>
            </w:pPr>
          </w:p>
        </w:tc>
        <w:tc>
          <w:tcPr>
            <w:tcW w:w="2337" w:type="dxa"/>
          </w:tcPr>
          <w:p w14:paraId="2BCE95B6"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pPr>
            <w:r>
              <w:t>Table Bullet 3</w:t>
            </w:r>
          </w:p>
        </w:tc>
        <w:tc>
          <w:tcPr>
            <w:tcW w:w="2338" w:type="dxa"/>
          </w:tcPr>
          <w:p w14:paraId="2F522AA1"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7E3A2F36"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bl>
    <w:p w14:paraId="34A18C09" w14:textId="77777777" w:rsidR="00814596" w:rsidRDefault="00814596" w:rsidP="00D22B3A">
      <w:pPr>
        <w:pStyle w:val="BodyText"/>
      </w:pPr>
    </w:p>
    <w:p w14:paraId="348615A1" w14:textId="77777777" w:rsidR="007E5233" w:rsidRDefault="007E5233" w:rsidP="00D22B3A">
      <w:pPr>
        <w:pStyle w:val="BodyText"/>
      </w:pPr>
    </w:p>
    <w:p w14:paraId="16F88B98" w14:textId="77777777" w:rsidR="00115250" w:rsidRDefault="00115250">
      <w:pPr>
        <w:spacing w:line="24" w:lineRule="auto"/>
        <w:rPr>
          <w:rFonts w:ascii="Times New Roman" w:hAnsi="Times New Roman"/>
        </w:rPr>
      </w:pPr>
      <w:r>
        <w:br w:type="page"/>
      </w:r>
    </w:p>
    <w:p w14:paraId="58101258" w14:textId="77777777" w:rsidR="00115250" w:rsidRPr="00296F28" w:rsidRDefault="00781919" w:rsidP="005A6B0A">
      <w:pPr>
        <w:pStyle w:val="ResumeNameEntity"/>
        <w:rPr>
          <w:b/>
          <w:iCs/>
          <w:sz w:val="28"/>
        </w:rPr>
      </w:pPr>
      <w:r>
        <w:rPr>
          <w:rStyle w:val="ResumeName14pts"/>
          <w:i w:val="0"/>
          <w:iCs w:val="0"/>
        </w:rPr>
        <w:t>Name</w:t>
      </w:r>
      <w:r w:rsidR="00296F28">
        <w:rPr>
          <w:rStyle w:val="ResumeName14pts"/>
        </w:rPr>
        <w:tab/>
      </w:r>
      <w:r w:rsidR="00115250" w:rsidRPr="003461D9">
        <w:t>Legal Entity, Title</w:t>
      </w:r>
    </w:p>
    <w:p w14:paraId="7B9CA8C9" w14:textId="77777777" w:rsidR="00115250" w:rsidRPr="0070652A" w:rsidRDefault="00115250" w:rsidP="0070652A">
      <w:pPr>
        <w:pStyle w:val="ResumeProposedRole"/>
      </w:pPr>
      <w:r w:rsidRPr="0070652A">
        <w:t>Proposed Project Role: Title</w:t>
      </w:r>
    </w:p>
    <w:p w14:paraId="440419A9" w14:textId="77777777" w:rsidR="00115250" w:rsidRDefault="00115250" w:rsidP="0070652A">
      <w:pPr>
        <w:pStyle w:val="ParagraphSpacer"/>
      </w:pPr>
    </w:p>
    <w:p w14:paraId="6C593EEF"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AA7DD1" w:rsidRPr="00183B3A" w14:paraId="7079A6F1" w14:textId="77777777">
        <w:trPr>
          <w:trHeight w:val="360"/>
        </w:trPr>
        <w:tc>
          <w:tcPr>
            <w:tcW w:w="3235" w:type="dxa"/>
            <w:tcBorders>
              <w:top w:val="nil"/>
              <w:left w:val="nil"/>
              <w:bottom w:val="nil"/>
              <w:right w:val="nil"/>
            </w:tcBorders>
            <w:shd w:val="clear" w:color="auto" w:fill="005587"/>
            <w:vAlign w:val="center"/>
          </w:tcPr>
          <w:p w14:paraId="36D04F29" w14:textId="77777777" w:rsidR="00AA7DD1" w:rsidRPr="00183B3A" w:rsidRDefault="00AA7DD1">
            <w:pPr>
              <w:pStyle w:val="CalloutTitle"/>
            </w:pPr>
            <w:r>
              <w:t xml:space="preserve">CALLOUT 2 BOX </w:t>
            </w:r>
            <w:r w:rsidRPr="00183B3A">
              <w:t>TITLE TEXT</w:t>
            </w:r>
          </w:p>
        </w:tc>
      </w:tr>
      <w:tr w:rsidR="00AA7DD1" w:rsidRPr="00183B3A" w14:paraId="3D415561" w14:textId="77777777">
        <w:trPr>
          <w:trHeight w:val="1620"/>
        </w:trPr>
        <w:tc>
          <w:tcPr>
            <w:tcW w:w="3235" w:type="dxa"/>
            <w:tcBorders>
              <w:top w:val="nil"/>
              <w:left w:val="nil"/>
              <w:bottom w:val="single" w:sz="18" w:space="0" w:color="005587"/>
              <w:right w:val="nil"/>
            </w:tcBorders>
            <w:vAlign w:val="center"/>
          </w:tcPr>
          <w:p w14:paraId="06065D98" w14:textId="4FB2B295" w:rsidR="008818FD" w:rsidRPr="008818FD" w:rsidRDefault="00AA7DD1" w:rsidP="008818F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E7536D1"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1C4BBD4" w14:textId="77777777" w:rsidR="00115250" w:rsidRPr="004B4151" w:rsidRDefault="00115250" w:rsidP="00114E6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33668DEE" w14:textId="77777777" w:rsidR="00115250" w:rsidRPr="004B4151" w:rsidRDefault="00115250" w:rsidP="00114E6D">
      <w:pPr>
        <w:pStyle w:val="ResumeHeading"/>
      </w:pPr>
      <w:r w:rsidRPr="004B4151">
        <w:t>Recent Experience</w:t>
      </w:r>
    </w:p>
    <w:p w14:paraId="005FBC1B" w14:textId="77777777" w:rsidR="00115250" w:rsidRPr="0037159E" w:rsidRDefault="00115250" w:rsidP="0037159E">
      <w:pPr>
        <w:pStyle w:val="ResumeJobTitle"/>
      </w:pPr>
      <w:r>
        <w:t xml:space="preserve">Resume </w:t>
      </w:r>
      <w:r w:rsidRPr="0037159E">
        <w:t>Job Title</w:t>
      </w:r>
      <w:r w:rsidRPr="0037159E">
        <w:tab/>
        <w:t>Dates</w:t>
      </w:r>
    </w:p>
    <w:p w14:paraId="73C006B6" w14:textId="77777777" w:rsidR="00115250" w:rsidRPr="0037159E" w:rsidRDefault="00115250" w:rsidP="00115250">
      <w:pPr>
        <w:pStyle w:val="Bulletlevel1"/>
        <w:tabs>
          <w:tab w:val="clear" w:pos="360"/>
        </w:tabs>
      </w:pPr>
    </w:p>
    <w:p w14:paraId="28CE6915" w14:textId="77777777" w:rsidR="00115250" w:rsidRPr="0037159E" w:rsidRDefault="00115250" w:rsidP="00115250">
      <w:pPr>
        <w:pStyle w:val="Bulletlevel1"/>
        <w:tabs>
          <w:tab w:val="clear" w:pos="360"/>
        </w:tabs>
      </w:pPr>
    </w:p>
    <w:p w14:paraId="11A22153" w14:textId="77777777" w:rsidR="00115250" w:rsidRPr="004B4151" w:rsidRDefault="00115250" w:rsidP="00114E6D">
      <w:pPr>
        <w:pStyle w:val="ResumeHeading"/>
      </w:pPr>
      <w:r w:rsidRPr="004B4151">
        <w:t>Employment History</w:t>
      </w:r>
    </w:p>
    <w:p w14:paraId="13E526B3" w14:textId="77777777" w:rsidR="00115250" w:rsidRPr="004B4151" w:rsidRDefault="00115250" w:rsidP="00115250">
      <w:pPr>
        <w:pStyle w:val="Bulletlevel1"/>
        <w:tabs>
          <w:tab w:val="clear" w:pos="360"/>
        </w:tabs>
      </w:pPr>
      <w:r w:rsidRPr="004B4151">
        <w:t>Company, Title, (From – To)</w:t>
      </w:r>
    </w:p>
    <w:p w14:paraId="590A67AF" w14:textId="77777777" w:rsidR="00115250" w:rsidRPr="004B4151" w:rsidRDefault="00115250" w:rsidP="00115250">
      <w:pPr>
        <w:pStyle w:val="Bulletlevel1"/>
        <w:tabs>
          <w:tab w:val="clear" w:pos="360"/>
        </w:tabs>
      </w:pPr>
    </w:p>
    <w:p w14:paraId="7F38896D" w14:textId="77777777" w:rsidR="00115250" w:rsidRPr="004B4151" w:rsidRDefault="00115250" w:rsidP="00114E6D">
      <w:pPr>
        <w:pStyle w:val="ResumeHeading"/>
      </w:pPr>
      <w:r w:rsidRPr="004B4151">
        <w:t>Education</w:t>
      </w:r>
    </w:p>
    <w:p w14:paraId="36FD072B" w14:textId="77777777" w:rsidR="00115250" w:rsidRPr="004B4151" w:rsidRDefault="00115250" w:rsidP="00781919">
      <w:pPr>
        <w:pStyle w:val="Bulletlevel1"/>
        <w:tabs>
          <w:tab w:val="clear" w:pos="360"/>
        </w:tabs>
      </w:pPr>
      <w:r w:rsidRPr="004B4151">
        <w:t>Degree, Field, School</w:t>
      </w:r>
    </w:p>
    <w:p w14:paraId="2408DE1B" w14:textId="77777777" w:rsidR="00115250" w:rsidRDefault="00115250" w:rsidP="007667EF">
      <w:pPr>
        <w:pStyle w:val="BodyText"/>
      </w:pPr>
    </w:p>
    <w:p w14:paraId="033D715A" w14:textId="77777777" w:rsidR="00115250" w:rsidRDefault="00115250">
      <w:pPr>
        <w:spacing w:line="24" w:lineRule="auto"/>
        <w:rPr>
          <w:rFonts w:ascii="Times New Roman" w:hAnsi="Times New Roman"/>
        </w:rPr>
      </w:pPr>
      <w:r>
        <w:br w:type="page"/>
      </w:r>
    </w:p>
    <w:p w14:paraId="67323E5E" w14:textId="77777777" w:rsidR="00115250" w:rsidRDefault="00115250" w:rsidP="00AD5D23">
      <w:pPr>
        <w:pStyle w:val="Subheading1"/>
      </w:pPr>
      <w:r>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C979EB" w:rsidRPr="00AA5125" w14:paraId="069B437F"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0D8F9098" w14:textId="77777777" w:rsidR="00C979EB" w:rsidRPr="00AA5125" w:rsidRDefault="00C979EB" w:rsidP="00C979EB">
            <w:pPr>
              <w:pStyle w:val="PastPerfTableHeadingCenter"/>
            </w:pPr>
            <w:r w:rsidRPr="00AA5125">
              <w:t>Offeror</w:t>
            </w:r>
          </w:p>
        </w:tc>
        <w:tc>
          <w:tcPr>
            <w:tcW w:w="2611" w:type="dxa"/>
            <w:gridSpan w:val="2"/>
            <w:tcBorders>
              <w:left w:val="nil"/>
            </w:tcBorders>
            <w:vAlign w:val="center"/>
          </w:tcPr>
          <w:p w14:paraId="57AAC5AC" w14:textId="77777777" w:rsidR="00C979EB" w:rsidRPr="00AA5125" w:rsidRDefault="00C979EB" w:rsidP="00FB2F7F">
            <w:pPr>
              <w:pStyle w:val="PastPerfTableBody"/>
            </w:pPr>
            <w:r w:rsidRPr="00AA5125">
              <w:t>Deloitte</w:t>
            </w:r>
          </w:p>
        </w:tc>
        <w:tc>
          <w:tcPr>
            <w:tcW w:w="810" w:type="dxa"/>
            <w:shd w:val="clear" w:color="auto" w:fill="595959" w:themeFill="text1" w:themeFillTint="A6"/>
            <w:vAlign w:val="center"/>
          </w:tcPr>
          <w:p w14:paraId="4D6E4900" w14:textId="77777777" w:rsidR="00C979EB" w:rsidRPr="00AA5125" w:rsidRDefault="00C979EB" w:rsidP="00C979EB">
            <w:pPr>
              <w:pStyle w:val="PastPerfTableHeadingLeft"/>
            </w:pPr>
            <w:r w:rsidRPr="00AA5125">
              <w:t>Client</w:t>
            </w:r>
          </w:p>
        </w:tc>
        <w:tc>
          <w:tcPr>
            <w:tcW w:w="5035" w:type="dxa"/>
            <w:gridSpan w:val="2"/>
            <w:vAlign w:val="center"/>
          </w:tcPr>
          <w:p w14:paraId="1AF365F6" w14:textId="77777777" w:rsidR="00C979EB" w:rsidRPr="00AA5125" w:rsidRDefault="00C979EB" w:rsidP="00FB2F7F">
            <w:pPr>
              <w:pStyle w:val="PastPerfTableBody"/>
            </w:pPr>
            <w:r w:rsidRPr="00AA5125">
              <w:t>Name of Agency, Company, or Organization</w:t>
            </w:r>
          </w:p>
        </w:tc>
      </w:tr>
      <w:tr w:rsidR="00C979EB" w:rsidRPr="00AA5125" w14:paraId="703D2947" w14:textId="77777777" w:rsidTr="008B0A6B">
        <w:tc>
          <w:tcPr>
            <w:tcW w:w="2515" w:type="dxa"/>
            <w:gridSpan w:val="2"/>
            <w:tcBorders>
              <w:left w:val="single" w:sz="18" w:space="0" w:color="005587"/>
            </w:tcBorders>
            <w:shd w:val="clear" w:color="auto" w:fill="595959" w:themeFill="text1" w:themeFillTint="A6"/>
            <w:vAlign w:val="center"/>
          </w:tcPr>
          <w:p w14:paraId="0D790A4D" w14:textId="77777777" w:rsidR="00C979EB" w:rsidRPr="00AA5125" w:rsidRDefault="00C979EB" w:rsidP="00C979EB">
            <w:pPr>
              <w:pStyle w:val="PastPerfTableHeadingLeft"/>
            </w:pPr>
            <w:r w:rsidRPr="0019446B">
              <w:t>Project Name</w:t>
            </w:r>
          </w:p>
        </w:tc>
        <w:tc>
          <w:tcPr>
            <w:tcW w:w="6835" w:type="dxa"/>
            <w:gridSpan w:val="4"/>
            <w:vAlign w:val="center"/>
          </w:tcPr>
          <w:p w14:paraId="778CD10F" w14:textId="77777777" w:rsidR="00C979EB" w:rsidRPr="00AA5125" w:rsidRDefault="00C979EB" w:rsidP="00FB2F7F">
            <w:pPr>
              <w:pStyle w:val="PastPerfTableBody"/>
            </w:pPr>
          </w:p>
        </w:tc>
      </w:tr>
      <w:tr w:rsidR="00C979EB" w:rsidRPr="00AA5125" w14:paraId="382595A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75657A4E" w14:textId="77777777" w:rsidR="00C979EB" w:rsidRPr="00AA5125" w:rsidRDefault="00C979EB" w:rsidP="00C979EB">
            <w:pPr>
              <w:pStyle w:val="PastPerfTableHeadingLeft"/>
            </w:pPr>
            <w:r w:rsidRPr="0019446B">
              <w:t>Contract Number(s):</w:t>
            </w:r>
          </w:p>
        </w:tc>
        <w:tc>
          <w:tcPr>
            <w:tcW w:w="1800" w:type="dxa"/>
            <w:gridSpan w:val="2"/>
            <w:vAlign w:val="center"/>
          </w:tcPr>
          <w:p w14:paraId="511209BB" w14:textId="27987BC1" w:rsidR="008818FD" w:rsidRPr="00AA5125" w:rsidRDefault="008818FD" w:rsidP="00FB2F7F">
            <w:pPr>
              <w:pStyle w:val="PastPerfTableBody"/>
            </w:pPr>
          </w:p>
        </w:tc>
        <w:tc>
          <w:tcPr>
            <w:tcW w:w="2430" w:type="dxa"/>
            <w:shd w:val="clear" w:color="auto" w:fill="595959" w:themeFill="text1" w:themeFillTint="A6"/>
            <w:vAlign w:val="center"/>
          </w:tcPr>
          <w:p w14:paraId="3C0C2D77" w14:textId="77777777" w:rsidR="00C979EB" w:rsidRPr="0019446B" w:rsidRDefault="00C979EB" w:rsidP="00C979EB">
            <w:pPr>
              <w:pStyle w:val="PastPerfTableHeadingLeft"/>
            </w:pPr>
            <w:r w:rsidRPr="0019446B">
              <w:t>Value of Contract:</w:t>
            </w:r>
          </w:p>
        </w:tc>
        <w:tc>
          <w:tcPr>
            <w:tcW w:w="2605" w:type="dxa"/>
            <w:vAlign w:val="center"/>
          </w:tcPr>
          <w:p w14:paraId="3A39029A" w14:textId="77777777" w:rsidR="00C979EB" w:rsidRPr="00AA5125" w:rsidRDefault="00C979EB" w:rsidP="00FB2F7F">
            <w:pPr>
              <w:pStyle w:val="PastPerfTableBody"/>
            </w:pPr>
          </w:p>
        </w:tc>
      </w:tr>
      <w:tr w:rsidR="00C979EB" w:rsidRPr="00AA5125" w14:paraId="2262A6CE" w14:textId="77777777" w:rsidTr="000B0B58">
        <w:tc>
          <w:tcPr>
            <w:tcW w:w="2515" w:type="dxa"/>
            <w:gridSpan w:val="2"/>
            <w:tcBorders>
              <w:left w:val="single" w:sz="18" w:space="0" w:color="0070C0"/>
            </w:tcBorders>
            <w:shd w:val="clear" w:color="auto" w:fill="595959" w:themeFill="text1" w:themeFillTint="A6"/>
            <w:vAlign w:val="center"/>
          </w:tcPr>
          <w:p w14:paraId="14EAFAFE" w14:textId="77777777" w:rsidR="00C979EB" w:rsidRPr="0019446B" w:rsidRDefault="00C979EB" w:rsidP="00C979EB">
            <w:pPr>
              <w:pStyle w:val="PastPerfTableHeadingLeft"/>
            </w:pPr>
            <w:r w:rsidRPr="0019446B">
              <w:t>Contract Type:</w:t>
            </w:r>
          </w:p>
        </w:tc>
        <w:tc>
          <w:tcPr>
            <w:tcW w:w="1800" w:type="dxa"/>
            <w:gridSpan w:val="2"/>
            <w:vAlign w:val="center"/>
          </w:tcPr>
          <w:p w14:paraId="15AB9527" w14:textId="77777777" w:rsidR="00C979EB" w:rsidRPr="00AA5125" w:rsidRDefault="00C979EB" w:rsidP="00FB2F7F">
            <w:pPr>
              <w:pStyle w:val="PastPerfTableBody"/>
            </w:pPr>
            <w:r w:rsidRPr="004C2454">
              <w:t xml:space="preserve">e.g., </w:t>
            </w:r>
            <w:r>
              <w:t>T&amp;M, FFP</w:t>
            </w:r>
          </w:p>
        </w:tc>
        <w:tc>
          <w:tcPr>
            <w:tcW w:w="2430" w:type="dxa"/>
            <w:shd w:val="clear" w:color="auto" w:fill="595959" w:themeFill="text1" w:themeFillTint="A6"/>
            <w:vAlign w:val="center"/>
          </w:tcPr>
          <w:p w14:paraId="7285B974" w14:textId="77777777" w:rsidR="00C979EB" w:rsidRPr="0019446B" w:rsidRDefault="00C979EB" w:rsidP="00C979EB">
            <w:pPr>
              <w:pStyle w:val="PastPerfTableHeadingLeft"/>
            </w:pPr>
            <w:r w:rsidRPr="0019446B">
              <w:t>Period of Performance:</w:t>
            </w:r>
          </w:p>
        </w:tc>
        <w:tc>
          <w:tcPr>
            <w:tcW w:w="2605" w:type="dxa"/>
            <w:vAlign w:val="center"/>
          </w:tcPr>
          <w:p w14:paraId="0F289180" w14:textId="77777777" w:rsidR="00C979EB" w:rsidRPr="00AA5125" w:rsidRDefault="00C979EB" w:rsidP="00FB2F7F">
            <w:pPr>
              <w:pStyle w:val="PastPerfTableBody"/>
            </w:pPr>
            <w:r w:rsidRPr="004C2454">
              <w:t>MM/YYYY – MM/YYYY</w:t>
            </w:r>
          </w:p>
        </w:tc>
      </w:tr>
      <w:tr w:rsidR="00C979EB" w:rsidRPr="00AA5125" w14:paraId="2AA6F6F7" w14:textId="77777777" w:rsidTr="000B0B58">
        <w:tc>
          <w:tcPr>
            <w:tcW w:w="2515" w:type="dxa"/>
            <w:gridSpan w:val="2"/>
            <w:tcBorders>
              <w:left w:val="single" w:sz="18" w:space="0" w:color="0070C0"/>
            </w:tcBorders>
            <w:shd w:val="clear" w:color="auto" w:fill="595959" w:themeFill="text1" w:themeFillTint="A6"/>
            <w:vAlign w:val="center"/>
          </w:tcPr>
          <w:p w14:paraId="3DA5F55E" w14:textId="77777777" w:rsidR="00C979EB" w:rsidRPr="00AA5125" w:rsidRDefault="00C979EB" w:rsidP="00C979EB">
            <w:pPr>
              <w:pStyle w:val="PastPerfTableHeadingLeft"/>
            </w:pPr>
            <w:r w:rsidRPr="004C2454">
              <w:t>Client Point of Contact:</w:t>
            </w:r>
            <w:r>
              <w:t xml:space="preserve"> </w:t>
            </w:r>
          </w:p>
        </w:tc>
        <w:tc>
          <w:tcPr>
            <w:tcW w:w="6835" w:type="dxa"/>
            <w:gridSpan w:val="4"/>
            <w:vAlign w:val="center"/>
          </w:tcPr>
          <w:p w14:paraId="22C2EA65" w14:textId="77777777" w:rsidR="00C979EB" w:rsidRPr="00AA5125" w:rsidRDefault="00C979EB" w:rsidP="00FB2F7F">
            <w:pPr>
              <w:pStyle w:val="PastPerfTableBody"/>
            </w:pPr>
            <w:r w:rsidRPr="004C2454">
              <w:t>Name ,Agency, Phone, Number, Email Address</w:t>
            </w:r>
          </w:p>
        </w:tc>
      </w:tr>
    </w:tbl>
    <w:p w14:paraId="625D2623" w14:textId="77777777" w:rsidR="00115250" w:rsidRDefault="00115250" w:rsidP="00C979EB">
      <w:pPr>
        <w:pStyle w:val="PastPerfTableHeadingLeft"/>
      </w:pPr>
    </w:p>
    <w:p w14:paraId="2A8D06B3" w14:textId="77777777" w:rsidR="00115250" w:rsidRPr="00B34D27" w:rsidRDefault="00115250" w:rsidP="00C56F51">
      <w:pPr>
        <w:pStyle w:val="Note1"/>
      </w:pPr>
      <w:r w:rsidRPr="00B34D27">
        <w:t xml:space="preserve">Relevance to Agency Name: </w:t>
      </w:r>
    </w:p>
    <w:p w14:paraId="7F46CFC6" w14:textId="77777777" w:rsidR="00115250" w:rsidRDefault="00115250" w:rsidP="00AD5D23">
      <w:pPr>
        <w:pStyle w:val="BodyTextBulletIntro"/>
      </w:pPr>
      <w:r>
        <w:t>Describe in a few bullets the relevance of the project to the opportunity. See generic examples below.</w:t>
      </w:r>
    </w:p>
    <w:p w14:paraId="5A9DDB76" w14:textId="77777777" w:rsidR="00115250" w:rsidRPr="002126E7" w:rsidRDefault="00115250" w:rsidP="00115250">
      <w:pPr>
        <w:pStyle w:val="Bulletlevel1"/>
        <w:tabs>
          <w:tab w:val="clear" w:pos="360"/>
        </w:tabs>
      </w:pPr>
      <w:r>
        <w:t>(</w:t>
      </w:r>
      <w:r w:rsidRPr="002126E7">
        <w:t>Example A) Relevance to Agency Name:</w:t>
      </w:r>
    </w:p>
    <w:p w14:paraId="74F91382"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126E53AC" w14:textId="77777777" w:rsidR="00115250" w:rsidRPr="002126E7" w:rsidRDefault="00115250" w:rsidP="00115250">
      <w:pPr>
        <w:pStyle w:val="Bulletlevel1"/>
        <w:tabs>
          <w:tab w:val="clear" w:pos="360"/>
        </w:tabs>
      </w:pPr>
      <w:r w:rsidRPr="002126E7">
        <w:t>COTS implementation; replacement of legacy systems.</w:t>
      </w:r>
    </w:p>
    <w:p w14:paraId="2D8CA143" w14:textId="77777777" w:rsidR="00115250" w:rsidRPr="002126E7" w:rsidRDefault="00115250" w:rsidP="00115250">
      <w:pPr>
        <w:pStyle w:val="Bulletlevel1"/>
        <w:tabs>
          <w:tab w:val="clear" w:pos="360"/>
        </w:tabs>
      </w:pPr>
      <w:r w:rsidRPr="002126E7">
        <w:t xml:space="preserve">BPA with multiple task orders, similar to an IDIQ contract. </w:t>
      </w:r>
    </w:p>
    <w:p w14:paraId="07134E87" w14:textId="77777777" w:rsidR="00115250" w:rsidRPr="002126E7" w:rsidRDefault="00115250" w:rsidP="00115250">
      <w:pPr>
        <w:pStyle w:val="Bulletlevel1"/>
        <w:tabs>
          <w:tab w:val="clear" w:pos="360"/>
        </w:tabs>
      </w:pPr>
      <w:r w:rsidRPr="002126E7">
        <w:t>(Example B) Relevance to Agency Name:</w:t>
      </w:r>
    </w:p>
    <w:p w14:paraId="0AB83397" w14:textId="77777777" w:rsidR="00115250" w:rsidRPr="002126E7" w:rsidRDefault="00115250" w:rsidP="00115250">
      <w:pPr>
        <w:pStyle w:val="Bulletlevel1"/>
        <w:tabs>
          <w:tab w:val="clear" w:pos="360"/>
        </w:tabs>
      </w:pPr>
      <w:r w:rsidRPr="002126E7">
        <w:t>[Industry name] project with performance, reporting, and maintenance aspects.</w:t>
      </w:r>
    </w:p>
    <w:p w14:paraId="579FD137" w14:textId="77777777" w:rsidR="00115250" w:rsidRPr="002126E7" w:rsidRDefault="00115250" w:rsidP="00115250">
      <w:pPr>
        <w:pStyle w:val="Bulletlevel1"/>
        <w:tabs>
          <w:tab w:val="clear" w:pos="360"/>
        </w:tabs>
      </w:pPr>
      <w:r w:rsidRPr="002126E7">
        <w:t>Similar organizational, technical, and operational requirements.</w:t>
      </w:r>
    </w:p>
    <w:p w14:paraId="292A0F03" w14:textId="77777777" w:rsidR="00115250" w:rsidRDefault="00115250" w:rsidP="00115250">
      <w:pPr>
        <w:pStyle w:val="Bulletlevel1"/>
        <w:tabs>
          <w:tab w:val="clear" w:pos="360"/>
        </w:tabs>
      </w:pPr>
      <w:r w:rsidRPr="002126E7">
        <w:t>COTS integration s</w:t>
      </w:r>
      <w:r>
        <w:t>olution.</w:t>
      </w:r>
    </w:p>
    <w:p w14:paraId="4D8EAC5F" w14:textId="77777777" w:rsidR="00115250" w:rsidRDefault="00115250" w:rsidP="00C56F51">
      <w:pPr>
        <w:pStyle w:val="Note1"/>
      </w:pPr>
      <w:r>
        <w:t xml:space="preserve">Narrative: </w:t>
      </w:r>
    </w:p>
    <w:p w14:paraId="7577A0E2"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0963FF48" w14:textId="77777777" w:rsidR="00115250" w:rsidRDefault="00115250" w:rsidP="00891697">
      <w:pPr>
        <w:pStyle w:val="BodyText"/>
      </w:pPr>
      <w:r>
        <w:t>(Example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has involved multiple sites and approximately 120 Deloitte team members at peak; it will affect some 6,000 users at full deployment.</w:t>
      </w:r>
    </w:p>
    <w:p w14:paraId="5C452653" w14:textId="77777777" w:rsidR="00115250" w:rsidRDefault="00115250">
      <w:pPr>
        <w:pStyle w:val="BodyText"/>
      </w:pPr>
      <w:r>
        <w:t>Similar to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63DC2EB1" w14:textId="77777777" w:rsidR="00115250" w:rsidRPr="002126E7" w:rsidRDefault="00115250" w:rsidP="00115250">
      <w:pPr>
        <w:pStyle w:val="Bulletlevel1"/>
        <w:tabs>
          <w:tab w:val="clear" w:pos="360"/>
        </w:tabs>
      </w:pPr>
      <w:r w:rsidRPr="002126E7">
        <w:t xml:space="preserve">Establishing a program governance process and developing a program management office to coordinate this large-scale Oracle roll-out. </w:t>
      </w:r>
    </w:p>
    <w:p w14:paraId="10F835C3"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1D333E2D" w14:textId="77777777" w:rsidR="00115250" w:rsidRDefault="00115250" w:rsidP="00AD5D23">
      <w:pPr>
        <w:pStyle w:val="BodyTextBulletIntro"/>
      </w:pPr>
      <w:r>
        <w:t xml:space="preserve">(Example B) Support of the Agency Name included a variety of activities similar to Agency Name Task Order Name requirements. This $15 million, multi-year project covers both agency and enterprise-wide technology and management issues. </w:t>
      </w:r>
    </w:p>
    <w:p w14:paraId="51E51100"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the internal controls over financial reporting. Additional actions and results:</w:t>
      </w:r>
    </w:p>
    <w:p w14:paraId="5BC9FFDF" w14:textId="77777777" w:rsidR="00115250" w:rsidRPr="002126E7" w:rsidRDefault="00115250" w:rsidP="00115250">
      <w:pPr>
        <w:pStyle w:val="Bulletlevel1"/>
        <w:tabs>
          <w:tab w:val="clear" w:pos="360"/>
        </w:tabs>
      </w:pPr>
      <w:r w:rsidRPr="002126E7">
        <w:t xml:space="preserve">Bullet 1 text. </w:t>
      </w:r>
    </w:p>
    <w:p w14:paraId="6F69E3CD" w14:textId="77777777" w:rsidR="00115250" w:rsidRPr="002126E7" w:rsidRDefault="00115250" w:rsidP="00115250">
      <w:pPr>
        <w:pStyle w:val="Bulletlevel1"/>
        <w:tabs>
          <w:tab w:val="clear" w:pos="360"/>
        </w:tabs>
      </w:pPr>
      <w:r w:rsidRPr="002126E7">
        <w:t>Bullet 2 text.</w:t>
      </w:r>
    </w:p>
    <w:p w14:paraId="4C552EDA" w14:textId="77777777" w:rsidR="00115250" w:rsidRDefault="00115250" w:rsidP="00115250">
      <w:pPr>
        <w:pStyle w:val="Bulletlevel1"/>
        <w:tabs>
          <w:tab w:val="clear" w:pos="360"/>
        </w:tabs>
      </w:pPr>
      <w:r w:rsidRPr="002126E7">
        <w:t xml:space="preserve">Etc. </w:t>
      </w:r>
    </w:p>
    <w:p w14:paraId="7AF332F0" w14:textId="77777777" w:rsidR="00115250" w:rsidRDefault="00115250" w:rsidP="00C56F51">
      <w:pPr>
        <w:pStyle w:val="Note1"/>
      </w:pPr>
      <w:r>
        <w:t xml:space="preserve">Solution Benefits: </w:t>
      </w:r>
    </w:p>
    <w:p w14:paraId="5EF627E8" w14:textId="77777777" w:rsidR="00115250" w:rsidRDefault="00115250">
      <w:pPr>
        <w:pStyle w:val="BodyText"/>
      </w:pPr>
      <w:r>
        <w:t>Short description, in bullets, describing benefits provided. Please try to provide hard evidence of measurable results—e.g., saved $X, reduced errors Y percent, increased efficiency Z percent, etc. See example below.</w:t>
      </w:r>
    </w:p>
    <w:p w14:paraId="2465DFE7" w14:textId="77777777" w:rsidR="00115250" w:rsidRDefault="00115250" w:rsidP="00AD5D23">
      <w:pPr>
        <w:pStyle w:val="BodyTextBulletIntro"/>
      </w:pPr>
      <w:r>
        <w:t>(Example) In addition to the engagement goals, the client has benefited from the project by:</w:t>
      </w:r>
    </w:p>
    <w:p w14:paraId="734B549E" w14:textId="77777777" w:rsidR="00115250" w:rsidRPr="002126E7" w:rsidRDefault="00115250" w:rsidP="00115250">
      <w:pPr>
        <w:pStyle w:val="Bulletlevel1"/>
        <w:tabs>
          <w:tab w:val="clear" w:pos="360"/>
        </w:tabs>
      </w:pPr>
      <w:r w:rsidRPr="002126E7">
        <w:t>Eliminating redundant and outdated financial systems.</w:t>
      </w:r>
    </w:p>
    <w:p w14:paraId="2BFA17FA"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34769EEC"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45BB9A0D"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4911C827"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4A385B6E" w14:textId="77777777" w:rsidR="00115250" w:rsidRDefault="00115250" w:rsidP="00C56F51">
      <w:pPr>
        <w:pStyle w:val="Note1"/>
      </w:pPr>
      <w:r>
        <w:t xml:space="preserve">Quality of Work Performed: </w:t>
      </w:r>
    </w:p>
    <w:p w14:paraId="6F186DF0" w14:textId="77777777" w:rsidR="00115250" w:rsidRDefault="00115250" w:rsidP="00AD5D23">
      <w:pPr>
        <w:pStyle w:val="BodyTextBulletIntro"/>
      </w:pPr>
      <w:r>
        <w:t>Describe the quality of work—e.g., value added to client, add-on work, accolades, client quote, etc. Demonstrate customer satisfaction and excellence in delivery. Be brief. See examples below.</w:t>
      </w:r>
    </w:p>
    <w:p w14:paraId="173E8E5F"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E8817E" w14:textId="77777777" w:rsidR="00115250" w:rsidRDefault="00115250" w:rsidP="00115250">
      <w:pPr>
        <w:pStyle w:val="Bulletlevel1"/>
        <w:tabs>
          <w:tab w:val="clear" w:pos="360"/>
        </w:tabs>
      </w:pPr>
      <w:r w:rsidRPr="002126E7">
        <w:t>(Exa</w:t>
      </w:r>
      <w:r>
        <w:t>mple B) Deloitte’s excellence in delivery has been recognized numerous times—for example:</w:t>
      </w:r>
    </w:p>
    <w:p w14:paraId="53BC9457" w14:textId="77777777" w:rsidR="00115250" w:rsidRDefault="00115250">
      <w:pPr>
        <w:pStyle w:val="TableBody"/>
      </w:pPr>
      <w:r>
        <w:t>“Deloitte is fantastic. Deloitte team members worked above and beyond, providing innovative and valuable solutions to meet our needs.”</w:t>
      </w:r>
    </w:p>
    <w:p w14:paraId="0493B815" w14:textId="77777777" w:rsidR="00115250" w:rsidRDefault="00115250">
      <w:pPr>
        <w:pStyle w:val="TableBody"/>
      </w:pPr>
      <w:r>
        <w:tab/>
      </w:r>
      <w:r>
        <w:tab/>
      </w:r>
      <w:r>
        <w:tab/>
      </w:r>
      <w:r>
        <w:tab/>
        <w:t xml:space="preserve">—First and Last Name of Individual, Job Title, Agency Name </w:t>
      </w:r>
    </w:p>
    <w:p w14:paraId="3209B560" w14:textId="77777777" w:rsidR="00115250" w:rsidRPr="00B34D27" w:rsidRDefault="00115250" w:rsidP="00C56F51">
      <w:pPr>
        <w:pStyle w:val="Note1"/>
      </w:pPr>
      <w:r w:rsidRPr="00B34D27">
        <w:t>Names of subcontractors used, if any, and description of extent of work performed:</w:t>
      </w:r>
    </w:p>
    <w:p w14:paraId="3980031C"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7F041DD6"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BF9A4AF"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132FB6DA" w14:textId="77777777" w:rsidR="00115250" w:rsidRDefault="00115250" w:rsidP="00E64F9D">
      <w:pPr>
        <w:pStyle w:val="BodyText"/>
      </w:pPr>
    </w:p>
    <w:p w14:paraId="2886848A" w14:textId="77777777" w:rsidR="00115250" w:rsidRDefault="00115250">
      <w:pPr>
        <w:spacing w:line="24" w:lineRule="auto"/>
        <w:rPr>
          <w:rFonts w:ascii="Times New Roman" w:hAnsi="Times New Roman"/>
        </w:rPr>
      </w:pPr>
      <w:r>
        <w:br w:type="page"/>
      </w:r>
    </w:p>
    <w:p w14:paraId="4B977694" w14:textId="77777777" w:rsidR="00115250" w:rsidRDefault="00115250" w:rsidP="00C56F51">
      <w:pPr>
        <w:pStyle w:val="Subheading1"/>
        <w:rPr>
          <w:noProof/>
        </w:rPr>
      </w:pPr>
      <w:r>
        <w:rPr>
          <w:noProof/>
        </w:rPr>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FB2F7F" w:rsidRPr="00AA5125" w14:paraId="371FC543"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0CACDA72" w14:textId="77777777" w:rsidR="00FB2F7F" w:rsidRPr="00AA5125" w:rsidRDefault="00FB2F7F">
            <w:pPr>
              <w:pStyle w:val="PastPerfTableHeadingCenter"/>
            </w:pPr>
            <w:r w:rsidRPr="00AA5125">
              <w:t>Offeror</w:t>
            </w:r>
          </w:p>
        </w:tc>
        <w:tc>
          <w:tcPr>
            <w:tcW w:w="2611" w:type="dxa"/>
            <w:gridSpan w:val="2"/>
            <w:tcBorders>
              <w:left w:val="nil"/>
            </w:tcBorders>
            <w:vAlign w:val="center"/>
          </w:tcPr>
          <w:p w14:paraId="5E44F040" w14:textId="77777777" w:rsidR="00FB2F7F" w:rsidRPr="00AA5125" w:rsidRDefault="00FB2F7F">
            <w:pPr>
              <w:pStyle w:val="PastPerfTableBody"/>
            </w:pPr>
            <w:r w:rsidRPr="00AA5125">
              <w:t>Deloitte</w:t>
            </w:r>
          </w:p>
        </w:tc>
        <w:tc>
          <w:tcPr>
            <w:tcW w:w="810" w:type="dxa"/>
            <w:shd w:val="clear" w:color="auto" w:fill="595959" w:themeFill="text1" w:themeFillTint="A6"/>
            <w:vAlign w:val="center"/>
          </w:tcPr>
          <w:p w14:paraId="15C1A0DE" w14:textId="77777777" w:rsidR="00FB2F7F" w:rsidRPr="00AA5125" w:rsidRDefault="00FB2F7F">
            <w:pPr>
              <w:pStyle w:val="PastPerfTableHeadingLeft"/>
            </w:pPr>
            <w:r w:rsidRPr="00AA5125">
              <w:t>Client</w:t>
            </w:r>
          </w:p>
        </w:tc>
        <w:tc>
          <w:tcPr>
            <w:tcW w:w="5035" w:type="dxa"/>
            <w:gridSpan w:val="2"/>
            <w:vAlign w:val="center"/>
          </w:tcPr>
          <w:p w14:paraId="4045216A" w14:textId="77777777" w:rsidR="00FB2F7F" w:rsidRPr="00AA5125" w:rsidRDefault="00FB2F7F">
            <w:pPr>
              <w:pStyle w:val="PastPerfTableBody"/>
            </w:pPr>
            <w:r w:rsidRPr="00AA5125">
              <w:t>Name of Agency, Company, or Organization</w:t>
            </w:r>
          </w:p>
        </w:tc>
      </w:tr>
      <w:tr w:rsidR="00FB2F7F" w:rsidRPr="00AA5125" w14:paraId="2F5A3294" w14:textId="77777777" w:rsidTr="00C845B6">
        <w:tc>
          <w:tcPr>
            <w:tcW w:w="2515" w:type="dxa"/>
            <w:gridSpan w:val="2"/>
            <w:tcBorders>
              <w:left w:val="single" w:sz="18" w:space="0" w:color="005587"/>
            </w:tcBorders>
            <w:shd w:val="clear" w:color="auto" w:fill="595959" w:themeFill="text1" w:themeFillTint="A6"/>
            <w:vAlign w:val="center"/>
          </w:tcPr>
          <w:p w14:paraId="58DF6871" w14:textId="77777777" w:rsidR="00FB2F7F" w:rsidRPr="00AA5125" w:rsidRDefault="00FB2F7F">
            <w:pPr>
              <w:pStyle w:val="PastPerfTableHeadingLeft"/>
            </w:pPr>
            <w:r w:rsidRPr="0019446B">
              <w:t>Project Name</w:t>
            </w:r>
          </w:p>
        </w:tc>
        <w:tc>
          <w:tcPr>
            <w:tcW w:w="6835" w:type="dxa"/>
            <w:gridSpan w:val="4"/>
            <w:vAlign w:val="center"/>
          </w:tcPr>
          <w:p w14:paraId="0DB68D5F" w14:textId="77777777" w:rsidR="00FB2F7F" w:rsidRPr="00AA5125" w:rsidRDefault="00FB2F7F">
            <w:pPr>
              <w:pStyle w:val="PastPerfTableBody"/>
            </w:pPr>
          </w:p>
        </w:tc>
      </w:tr>
      <w:tr w:rsidR="00FB2F7F" w:rsidRPr="00AA5125" w14:paraId="36052754"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32533308" w14:textId="77777777" w:rsidR="00FB2F7F" w:rsidRPr="00AA5125" w:rsidRDefault="00FB2F7F">
            <w:pPr>
              <w:pStyle w:val="PastPerfTableHeadingLeft"/>
            </w:pPr>
            <w:r w:rsidRPr="0019446B">
              <w:t>Contract Number(s):</w:t>
            </w:r>
          </w:p>
        </w:tc>
        <w:tc>
          <w:tcPr>
            <w:tcW w:w="1800" w:type="dxa"/>
            <w:gridSpan w:val="2"/>
            <w:vAlign w:val="center"/>
          </w:tcPr>
          <w:p w14:paraId="3CD97686" w14:textId="77777777" w:rsidR="00FB2F7F" w:rsidRPr="00AA5125" w:rsidRDefault="00FB2F7F">
            <w:pPr>
              <w:pStyle w:val="PastPerfTableBody"/>
            </w:pPr>
          </w:p>
        </w:tc>
        <w:tc>
          <w:tcPr>
            <w:tcW w:w="2430" w:type="dxa"/>
            <w:shd w:val="clear" w:color="auto" w:fill="595959" w:themeFill="text1" w:themeFillTint="A6"/>
            <w:vAlign w:val="center"/>
          </w:tcPr>
          <w:p w14:paraId="7DA4CA7E" w14:textId="77777777" w:rsidR="00FB2F7F" w:rsidRPr="0019446B" w:rsidRDefault="00FB2F7F">
            <w:pPr>
              <w:pStyle w:val="PastPerfTableHeadingLeft"/>
            </w:pPr>
            <w:r w:rsidRPr="0019446B">
              <w:t>Value of Contract:</w:t>
            </w:r>
          </w:p>
        </w:tc>
        <w:tc>
          <w:tcPr>
            <w:tcW w:w="2605" w:type="dxa"/>
            <w:vAlign w:val="center"/>
          </w:tcPr>
          <w:p w14:paraId="35F93F7B" w14:textId="77777777" w:rsidR="00FB2F7F" w:rsidRPr="00AA5125" w:rsidRDefault="00FB2F7F">
            <w:pPr>
              <w:pStyle w:val="PastPerfTableBody"/>
            </w:pPr>
          </w:p>
        </w:tc>
      </w:tr>
      <w:tr w:rsidR="00FB2F7F" w:rsidRPr="00AA5125" w14:paraId="5F176F30" w14:textId="77777777" w:rsidTr="00C845B6">
        <w:tc>
          <w:tcPr>
            <w:tcW w:w="2515" w:type="dxa"/>
            <w:gridSpan w:val="2"/>
            <w:tcBorders>
              <w:left w:val="single" w:sz="18" w:space="0" w:color="005587"/>
            </w:tcBorders>
            <w:shd w:val="clear" w:color="auto" w:fill="595959" w:themeFill="text1" w:themeFillTint="A6"/>
            <w:vAlign w:val="center"/>
          </w:tcPr>
          <w:p w14:paraId="7EC28C97" w14:textId="77777777" w:rsidR="00FB2F7F" w:rsidRPr="0019446B" w:rsidRDefault="00FB2F7F">
            <w:pPr>
              <w:pStyle w:val="PastPerfTableHeadingLeft"/>
            </w:pPr>
            <w:r w:rsidRPr="0019446B">
              <w:t>Contract Type:</w:t>
            </w:r>
          </w:p>
        </w:tc>
        <w:tc>
          <w:tcPr>
            <w:tcW w:w="1800" w:type="dxa"/>
            <w:gridSpan w:val="2"/>
            <w:vAlign w:val="center"/>
          </w:tcPr>
          <w:p w14:paraId="08987D36" w14:textId="77777777" w:rsidR="00FB2F7F" w:rsidRPr="00AA5125" w:rsidRDefault="00FB2F7F">
            <w:pPr>
              <w:pStyle w:val="PastPerfTableBody"/>
            </w:pPr>
            <w:r w:rsidRPr="004C2454">
              <w:t xml:space="preserve">e.g., </w:t>
            </w:r>
            <w:r>
              <w:t>T&amp;M, FFP</w:t>
            </w:r>
          </w:p>
        </w:tc>
        <w:tc>
          <w:tcPr>
            <w:tcW w:w="2430" w:type="dxa"/>
            <w:shd w:val="clear" w:color="auto" w:fill="595959" w:themeFill="text1" w:themeFillTint="A6"/>
            <w:vAlign w:val="center"/>
          </w:tcPr>
          <w:p w14:paraId="5D0839F0" w14:textId="77777777" w:rsidR="00FB2F7F" w:rsidRPr="0019446B" w:rsidRDefault="00FB2F7F">
            <w:pPr>
              <w:pStyle w:val="PastPerfTableHeadingLeft"/>
            </w:pPr>
            <w:r w:rsidRPr="0019446B">
              <w:t>Period of Performance:</w:t>
            </w:r>
          </w:p>
        </w:tc>
        <w:tc>
          <w:tcPr>
            <w:tcW w:w="2605" w:type="dxa"/>
            <w:vAlign w:val="center"/>
          </w:tcPr>
          <w:p w14:paraId="1FA3844E" w14:textId="77777777" w:rsidR="00FB2F7F" w:rsidRPr="00AA5125" w:rsidRDefault="00FB2F7F">
            <w:pPr>
              <w:pStyle w:val="PastPerfTableBody"/>
            </w:pPr>
            <w:r w:rsidRPr="004C2454">
              <w:t>MM/YYYY – MM/YYYY</w:t>
            </w:r>
          </w:p>
        </w:tc>
      </w:tr>
      <w:tr w:rsidR="00FB2F7F" w:rsidRPr="00AA5125" w14:paraId="13AE31EE" w14:textId="77777777" w:rsidTr="00C845B6">
        <w:tc>
          <w:tcPr>
            <w:tcW w:w="2515" w:type="dxa"/>
            <w:gridSpan w:val="2"/>
            <w:tcBorders>
              <w:left w:val="single" w:sz="18" w:space="0" w:color="005587"/>
            </w:tcBorders>
            <w:shd w:val="clear" w:color="auto" w:fill="595959" w:themeFill="text1" w:themeFillTint="A6"/>
            <w:vAlign w:val="center"/>
          </w:tcPr>
          <w:p w14:paraId="21116FE3" w14:textId="77777777" w:rsidR="00FB2F7F" w:rsidRPr="00AA5125" w:rsidRDefault="00FB2F7F">
            <w:pPr>
              <w:pStyle w:val="PastPerfTableHeadingLeft"/>
            </w:pPr>
            <w:r w:rsidRPr="004C2454">
              <w:t>Client Point of Contact:</w:t>
            </w:r>
            <w:r>
              <w:t xml:space="preserve"> </w:t>
            </w:r>
          </w:p>
        </w:tc>
        <w:tc>
          <w:tcPr>
            <w:tcW w:w="6835" w:type="dxa"/>
            <w:gridSpan w:val="4"/>
            <w:vAlign w:val="center"/>
          </w:tcPr>
          <w:p w14:paraId="34FE1D13" w14:textId="77777777" w:rsidR="00FB2F7F" w:rsidRPr="00AA5125" w:rsidRDefault="00FB2F7F">
            <w:pPr>
              <w:pStyle w:val="PastPerfTableBody"/>
            </w:pPr>
            <w:r w:rsidRPr="004C2454">
              <w:t>Name ,Agency, Phone, Number, Email Address</w:t>
            </w:r>
          </w:p>
        </w:tc>
      </w:tr>
    </w:tbl>
    <w:p w14:paraId="1CBE2AA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Pr>
      <w:tblGrid>
        <w:gridCol w:w="9354"/>
      </w:tblGrid>
      <w:tr w:rsidR="00115250" w14:paraId="4CCDCBC0" w14:textId="77777777" w:rsidTr="00F20E93">
        <w:tc>
          <w:tcPr>
            <w:tcW w:w="9576" w:type="dxa"/>
            <w:shd w:val="clear" w:color="auto" w:fill="595959" w:themeFill="text1" w:themeFillTint="A6"/>
          </w:tcPr>
          <w:p w14:paraId="46768B60" w14:textId="77777777" w:rsidR="00115250" w:rsidRDefault="00115250" w:rsidP="00D67ED8">
            <w:pPr>
              <w:pStyle w:val="PastPerfTableHeadingCenter"/>
            </w:pPr>
            <w:r w:rsidRPr="009F2ABC">
              <w:t>Relevance to Agency Name:</w:t>
            </w:r>
          </w:p>
        </w:tc>
      </w:tr>
      <w:tr w:rsidR="00115250" w14:paraId="1E78E992" w14:textId="77777777" w:rsidTr="00471461">
        <w:tc>
          <w:tcPr>
            <w:tcW w:w="9576" w:type="dxa"/>
          </w:tcPr>
          <w:p w14:paraId="0E0E517B" w14:textId="77777777" w:rsidR="00115250" w:rsidRDefault="00115250" w:rsidP="00957B03">
            <w:pPr>
              <w:pStyle w:val="PastPerfTableSubheading"/>
            </w:pPr>
            <w:r>
              <w:t>Past Perf Table Subheading</w:t>
            </w:r>
          </w:p>
          <w:p w14:paraId="56588F29" w14:textId="77777777" w:rsidR="00115250" w:rsidRDefault="00115250" w:rsidP="006B211B">
            <w:pPr>
              <w:pStyle w:val="PastPerfTableBody"/>
            </w:pPr>
            <w:r>
              <w:t>Past Perf Table Body</w:t>
            </w:r>
          </w:p>
        </w:tc>
      </w:tr>
      <w:tr w:rsidR="00115250" w14:paraId="208B0F67" w14:textId="77777777" w:rsidTr="00F20E93">
        <w:tc>
          <w:tcPr>
            <w:tcW w:w="9576" w:type="dxa"/>
            <w:shd w:val="clear" w:color="auto" w:fill="595959" w:themeFill="text1" w:themeFillTint="A6"/>
          </w:tcPr>
          <w:p w14:paraId="1FA53911" w14:textId="77777777" w:rsidR="00115250" w:rsidRDefault="00115250" w:rsidP="00D67ED8">
            <w:pPr>
              <w:pStyle w:val="PastPerfTableHeadingCenter"/>
            </w:pPr>
            <w:r w:rsidRPr="009F2ABC">
              <w:t>Narrative:</w:t>
            </w:r>
          </w:p>
        </w:tc>
      </w:tr>
      <w:tr w:rsidR="00115250" w14:paraId="0D5899F7" w14:textId="77777777" w:rsidTr="00471461">
        <w:tc>
          <w:tcPr>
            <w:tcW w:w="9576" w:type="dxa"/>
          </w:tcPr>
          <w:p w14:paraId="11DAAE2C" w14:textId="77777777" w:rsidR="00115250" w:rsidRDefault="00115250" w:rsidP="00792036">
            <w:pPr>
              <w:pStyle w:val="PastPerfTableBody"/>
            </w:pPr>
          </w:p>
        </w:tc>
      </w:tr>
      <w:tr w:rsidR="00115250" w14:paraId="68E192C4" w14:textId="77777777" w:rsidTr="00F20E93">
        <w:tc>
          <w:tcPr>
            <w:tcW w:w="9576" w:type="dxa"/>
            <w:shd w:val="clear" w:color="auto" w:fill="595959" w:themeFill="text1" w:themeFillTint="A6"/>
          </w:tcPr>
          <w:p w14:paraId="1B175341" w14:textId="77777777" w:rsidR="00115250" w:rsidRDefault="00115250" w:rsidP="00D67ED8">
            <w:pPr>
              <w:pStyle w:val="PastPerfTableHeadingCenter"/>
            </w:pPr>
            <w:r w:rsidRPr="009F2ABC">
              <w:t>Solution Benefits:</w:t>
            </w:r>
          </w:p>
        </w:tc>
      </w:tr>
      <w:tr w:rsidR="00115250" w14:paraId="12DF93B3" w14:textId="77777777" w:rsidTr="00471461">
        <w:tc>
          <w:tcPr>
            <w:tcW w:w="9576" w:type="dxa"/>
          </w:tcPr>
          <w:p w14:paraId="30C86536" w14:textId="77777777" w:rsidR="00115250" w:rsidRDefault="00115250" w:rsidP="00792036">
            <w:pPr>
              <w:pStyle w:val="PastPerfTableBody"/>
            </w:pPr>
          </w:p>
        </w:tc>
      </w:tr>
      <w:tr w:rsidR="00115250" w14:paraId="6476FF46" w14:textId="77777777" w:rsidTr="00F20E93">
        <w:tc>
          <w:tcPr>
            <w:tcW w:w="9576" w:type="dxa"/>
            <w:shd w:val="clear" w:color="auto" w:fill="595959" w:themeFill="text1" w:themeFillTint="A6"/>
          </w:tcPr>
          <w:p w14:paraId="2631EDA8" w14:textId="77777777" w:rsidR="00115250" w:rsidRDefault="00115250" w:rsidP="00D67ED8">
            <w:pPr>
              <w:pStyle w:val="PastPerfTableHeadingCenter"/>
            </w:pPr>
            <w:r w:rsidRPr="009F2ABC">
              <w:t>Quality of Work Performed:</w:t>
            </w:r>
          </w:p>
        </w:tc>
      </w:tr>
      <w:tr w:rsidR="00115250" w14:paraId="6A9F4786" w14:textId="77777777" w:rsidTr="00471461">
        <w:tc>
          <w:tcPr>
            <w:tcW w:w="9576" w:type="dxa"/>
          </w:tcPr>
          <w:p w14:paraId="442C17F1" w14:textId="77777777" w:rsidR="00115250" w:rsidRDefault="00115250" w:rsidP="00792036">
            <w:pPr>
              <w:pStyle w:val="PastPerfTableBody"/>
            </w:pPr>
          </w:p>
        </w:tc>
      </w:tr>
      <w:tr w:rsidR="00115250" w:rsidRPr="009F2ABC" w14:paraId="237A173F" w14:textId="77777777" w:rsidTr="00F20E93">
        <w:tc>
          <w:tcPr>
            <w:tcW w:w="9576" w:type="dxa"/>
            <w:shd w:val="clear" w:color="auto" w:fill="595959" w:themeFill="text1" w:themeFillTint="A6"/>
          </w:tcPr>
          <w:p w14:paraId="7B87CAC0" w14:textId="77777777" w:rsidR="00115250" w:rsidRPr="009F2ABC" w:rsidRDefault="00115250" w:rsidP="00D67ED8">
            <w:pPr>
              <w:pStyle w:val="PastPerfTableHeadingCenter"/>
            </w:pPr>
            <w:r w:rsidRPr="009F2ABC">
              <w:t>Names of subcontractors used, if any, and description of extent of work performed:</w:t>
            </w:r>
          </w:p>
        </w:tc>
      </w:tr>
      <w:tr w:rsidR="00115250" w:rsidRPr="009F2ABC" w14:paraId="63F2D1D5" w14:textId="77777777" w:rsidTr="00471461">
        <w:tc>
          <w:tcPr>
            <w:tcW w:w="9576" w:type="dxa"/>
          </w:tcPr>
          <w:p w14:paraId="1DDA8A28" w14:textId="77777777" w:rsidR="00115250" w:rsidRPr="009F2ABC" w:rsidRDefault="00115250" w:rsidP="00792036">
            <w:pPr>
              <w:pStyle w:val="PastPerfTableBody"/>
            </w:pPr>
          </w:p>
        </w:tc>
      </w:tr>
      <w:tr w:rsidR="00115250" w:rsidRPr="009F2ABC" w14:paraId="4F867D9D" w14:textId="77777777" w:rsidTr="00F20E93">
        <w:tc>
          <w:tcPr>
            <w:tcW w:w="9576" w:type="dxa"/>
            <w:shd w:val="clear" w:color="auto" w:fill="595959" w:themeFill="text1" w:themeFillTint="A6"/>
          </w:tcPr>
          <w:p w14:paraId="7568C625" w14:textId="77777777" w:rsidR="00115250" w:rsidRPr="009F2ABC" w:rsidRDefault="00115250" w:rsidP="00D67ED8">
            <w:pPr>
              <w:pStyle w:val="PastPerfTableHeadingCenter"/>
            </w:pPr>
            <w:r w:rsidRPr="009F2ABC">
              <w:t>Number, type, and severity of any quality, delivery, or cost problems in performing the contract, the corrective action taken, and the effectiveness of the corrective action:</w:t>
            </w:r>
          </w:p>
        </w:tc>
      </w:tr>
      <w:tr w:rsidR="00115250" w:rsidRPr="009F2ABC" w14:paraId="5DE7CCA1" w14:textId="77777777" w:rsidTr="00471461">
        <w:tc>
          <w:tcPr>
            <w:tcW w:w="9576" w:type="dxa"/>
          </w:tcPr>
          <w:p w14:paraId="758DD9C2" w14:textId="77777777" w:rsidR="00115250" w:rsidRPr="009F2ABC" w:rsidRDefault="00115250" w:rsidP="00792036">
            <w:pPr>
              <w:pStyle w:val="PastPerfTableBody"/>
            </w:pPr>
          </w:p>
        </w:tc>
      </w:tr>
    </w:tbl>
    <w:p w14:paraId="20A21EB9" w14:textId="77777777" w:rsidR="00C65700" w:rsidRDefault="00C65700" w:rsidP="00080556">
      <w:pPr>
        <w:pStyle w:val="ParagraphSpacer"/>
      </w:pPr>
    </w:p>
    <w:p w14:paraId="068157B5" w14:textId="77777777" w:rsidR="00115250" w:rsidRDefault="00115250">
      <w:pPr>
        <w:spacing w:line="24" w:lineRule="auto"/>
        <w:rPr>
          <w:rFonts w:ascii="Times New Roman" w:hAnsi="Times New Roman"/>
        </w:rPr>
      </w:pPr>
      <w:r>
        <w:br w:type="page"/>
      </w:r>
    </w:p>
    <w:p w14:paraId="2B0E6C95" w14:textId="77777777" w:rsidR="00115250" w:rsidRDefault="00115250">
      <w:pPr>
        <w:pStyle w:val="Heading1"/>
      </w:pPr>
      <w:bookmarkStart w:id="151" w:name="_Toc227883208"/>
      <w:r>
        <w:t xml:space="preserve">List of </w:t>
      </w:r>
      <w:r w:rsidRPr="00016650">
        <w:t>Acro</w:t>
      </w:r>
      <w:r w:rsidRPr="00992E65">
        <w:t>nym</w:t>
      </w:r>
      <w:r w:rsidRPr="00016650">
        <w:t>s</w:t>
      </w:r>
      <w:r>
        <w:t xml:space="preserve"> and Abbreviations</w:t>
      </w:r>
      <w:bookmarkEnd w:id="1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16"/>
        <w:gridCol w:w="7034"/>
      </w:tblGrid>
      <w:tr w:rsidR="00115250" w14:paraId="49A5964B" w14:textId="77777777" w:rsidTr="000273B8">
        <w:trPr>
          <w:tblHeader/>
        </w:trPr>
        <w:tc>
          <w:tcPr>
            <w:tcW w:w="2316" w:type="dxa"/>
            <w:tcBorders>
              <w:bottom w:val="single" w:sz="18" w:space="0" w:color="0070C0"/>
            </w:tcBorders>
            <w:shd w:val="clear" w:color="auto" w:fill="005587"/>
          </w:tcPr>
          <w:p w14:paraId="636861F3" w14:textId="77777777" w:rsidR="00115250" w:rsidRPr="008B5DC2" w:rsidRDefault="00115250">
            <w:pPr>
              <w:pStyle w:val="TableHeading"/>
            </w:pPr>
            <w:r>
              <w:t>Acronym</w:t>
            </w:r>
          </w:p>
        </w:tc>
        <w:tc>
          <w:tcPr>
            <w:tcW w:w="7034" w:type="dxa"/>
            <w:tcBorders>
              <w:bottom w:val="single" w:sz="18" w:space="0" w:color="0070C0"/>
            </w:tcBorders>
            <w:shd w:val="clear" w:color="auto" w:fill="005587"/>
          </w:tcPr>
          <w:p w14:paraId="36828E9B" w14:textId="77777777" w:rsidR="00115250" w:rsidRPr="008B5DC2" w:rsidRDefault="00115250">
            <w:pPr>
              <w:pStyle w:val="TableHeading"/>
            </w:pPr>
            <w:r>
              <w:t>Definition</w:t>
            </w:r>
          </w:p>
        </w:tc>
      </w:tr>
      <w:tr w:rsidR="00115250" w14:paraId="4EAA389C" w14:textId="77777777" w:rsidTr="0013314E">
        <w:tc>
          <w:tcPr>
            <w:tcW w:w="2358" w:type="dxa"/>
            <w:tcBorders>
              <w:top w:val="single" w:sz="18" w:space="0" w:color="0070C0"/>
            </w:tcBorders>
          </w:tcPr>
          <w:p w14:paraId="708387BF" w14:textId="77777777" w:rsidR="00115250" w:rsidRPr="008B5DC2" w:rsidRDefault="00115250">
            <w:pPr>
              <w:pStyle w:val="TableRowHeading"/>
            </w:pPr>
          </w:p>
        </w:tc>
        <w:tc>
          <w:tcPr>
            <w:tcW w:w="7218" w:type="dxa"/>
            <w:tcBorders>
              <w:top w:val="single" w:sz="18" w:space="0" w:color="0070C0"/>
            </w:tcBorders>
          </w:tcPr>
          <w:p w14:paraId="00FB95B0" w14:textId="77777777" w:rsidR="00115250" w:rsidRPr="008B5DC2" w:rsidRDefault="00115250">
            <w:pPr>
              <w:pStyle w:val="TableBody"/>
            </w:pPr>
          </w:p>
        </w:tc>
      </w:tr>
      <w:tr w:rsidR="00115250" w14:paraId="3E3A6964" w14:textId="77777777" w:rsidTr="00992E65">
        <w:tc>
          <w:tcPr>
            <w:tcW w:w="2358" w:type="dxa"/>
          </w:tcPr>
          <w:p w14:paraId="734A90F0" w14:textId="77777777" w:rsidR="00115250" w:rsidRPr="008B5DC2" w:rsidRDefault="00115250">
            <w:pPr>
              <w:pStyle w:val="TableRowHeading"/>
            </w:pPr>
          </w:p>
        </w:tc>
        <w:tc>
          <w:tcPr>
            <w:tcW w:w="7218" w:type="dxa"/>
          </w:tcPr>
          <w:p w14:paraId="0EA72B72" w14:textId="77777777" w:rsidR="00115250" w:rsidRPr="008B5DC2" w:rsidRDefault="00115250">
            <w:pPr>
              <w:pStyle w:val="TableBody"/>
            </w:pPr>
          </w:p>
        </w:tc>
      </w:tr>
      <w:tr w:rsidR="00115250" w14:paraId="415DA71C" w14:textId="77777777" w:rsidTr="00992E65">
        <w:tc>
          <w:tcPr>
            <w:tcW w:w="2358" w:type="dxa"/>
          </w:tcPr>
          <w:p w14:paraId="61E9E4E9" w14:textId="77777777" w:rsidR="00115250" w:rsidRPr="008B5DC2" w:rsidRDefault="00115250">
            <w:pPr>
              <w:pStyle w:val="TableRowHeading"/>
            </w:pPr>
          </w:p>
        </w:tc>
        <w:tc>
          <w:tcPr>
            <w:tcW w:w="7218" w:type="dxa"/>
          </w:tcPr>
          <w:p w14:paraId="64FFB8B3" w14:textId="77777777" w:rsidR="00115250" w:rsidRPr="008B5DC2" w:rsidRDefault="00115250">
            <w:pPr>
              <w:pStyle w:val="TableBody"/>
            </w:pPr>
          </w:p>
        </w:tc>
      </w:tr>
      <w:tr w:rsidR="00115250" w14:paraId="7B037099" w14:textId="77777777" w:rsidTr="00992E65">
        <w:tc>
          <w:tcPr>
            <w:tcW w:w="2358" w:type="dxa"/>
          </w:tcPr>
          <w:p w14:paraId="40E0AF38" w14:textId="77777777" w:rsidR="00115250" w:rsidRPr="008B5DC2" w:rsidRDefault="00115250">
            <w:pPr>
              <w:pStyle w:val="TableRowHeading"/>
            </w:pPr>
          </w:p>
        </w:tc>
        <w:tc>
          <w:tcPr>
            <w:tcW w:w="7218" w:type="dxa"/>
          </w:tcPr>
          <w:p w14:paraId="06AECD37" w14:textId="77777777" w:rsidR="00115250" w:rsidRPr="008B5DC2" w:rsidRDefault="00115250">
            <w:pPr>
              <w:pStyle w:val="TableBody"/>
            </w:pPr>
          </w:p>
        </w:tc>
      </w:tr>
      <w:tr w:rsidR="00115250" w14:paraId="314A6883" w14:textId="77777777" w:rsidTr="00992E65">
        <w:tc>
          <w:tcPr>
            <w:tcW w:w="2358" w:type="dxa"/>
          </w:tcPr>
          <w:p w14:paraId="4E039192" w14:textId="77777777" w:rsidR="00115250" w:rsidRPr="008B5DC2" w:rsidRDefault="00115250">
            <w:pPr>
              <w:pStyle w:val="TableRowHeading"/>
            </w:pPr>
          </w:p>
        </w:tc>
        <w:tc>
          <w:tcPr>
            <w:tcW w:w="7218" w:type="dxa"/>
          </w:tcPr>
          <w:p w14:paraId="79F46EC5" w14:textId="77777777" w:rsidR="00115250" w:rsidRPr="008B5DC2" w:rsidRDefault="00115250">
            <w:pPr>
              <w:pStyle w:val="TableBody"/>
            </w:pPr>
          </w:p>
        </w:tc>
      </w:tr>
      <w:tr w:rsidR="00115250" w14:paraId="49A2DE1E" w14:textId="77777777" w:rsidTr="00992E65">
        <w:tc>
          <w:tcPr>
            <w:tcW w:w="2358" w:type="dxa"/>
          </w:tcPr>
          <w:p w14:paraId="0E9847A1" w14:textId="77777777" w:rsidR="00115250" w:rsidRPr="008B5DC2" w:rsidRDefault="00115250">
            <w:pPr>
              <w:pStyle w:val="TableRowHeading"/>
            </w:pPr>
          </w:p>
        </w:tc>
        <w:tc>
          <w:tcPr>
            <w:tcW w:w="7218" w:type="dxa"/>
          </w:tcPr>
          <w:p w14:paraId="03009D65" w14:textId="77777777" w:rsidR="00115250" w:rsidRPr="008B5DC2" w:rsidRDefault="00115250">
            <w:pPr>
              <w:pStyle w:val="TableBody"/>
            </w:pPr>
          </w:p>
        </w:tc>
      </w:tr>
      <w:tr w:rsidR="00115250" w14:paraId="4E6C44E6" w14:textId="77777777" w:rsidTr="00992E65">
        <w:tc>
          <w:tcPr>
            <w:tcW w:w="2358" w:type="dxa"/>
          </w:tcPr>
          <w:p w14:paraId="0830081C" w14:textId="77777777" w:rsidR="00115250" w:rsidRPr="008B5DC2" w:rsidRDefault="00115250">
            <w:pPr>
              <w:pStyle w:val="TableRowHeading"/>
            </w:pPr>
          </w:p>
        </w:tc>
        <w:tc>
          <w:tcPr>
            <w:tcW w:w="7218" w:type="dxa"/>
          </w:tcPr>
          <w:p w14:paraId="35B3D12C" w14:textId="77777777" w:rsidR="00115250" w:rsidRPr="008B5DC2" w:rsidRDefault="00115250">
            <w:pPr>
              <w:pStyle w:val="TableBody"/>
            </w:pPr>
          </w:p>
        </w:tc>
      </w:tr>
      <w:tr w:rsidR="00115250" w14:paraId="1F248791" w14:textId="77777777" w:rsidTr="00992E65">
        <w:tc>
          <w:tcPr>
            <w:tcW w:w="2358" w:type="dxa"/>
          </w:tcPr>
          <w:p w14:paraId="2A9C0313" w14:textId="77777777" w:rsidR="00115250" w:rsidRPr="008B5DC2" w:rsidRDefault="00115250">
            <w:pPr>
              <w:pStyle w:val="TableRowHeading"/>
            </w:pPr>
          </w:p>
        </w:tc>
        <w:tc>
          <w:tcPr>
            <w:tcW w:w="7218" w:type="dxa"/>
          </w:tcPr>
          <w:p w14:paraId="3E2EA95F" w14:textId="77777777" w:rsidR="00115250" w:rsidRPr="008B5DC2" w:rsidRDefault="00115250">
            <w:pPr>
              <w:pStyle w:val="TableBody"/>
            </w:pPr>
          </w:p>
        </w:tc>
      </w:tr>
      <w:tr w:rsidR="00115250" w14:paraId="6F070568" w14:textId="77777777" w:rsidTr="00992E65">
        <w:tc>
          <w:tcPr>
            <w:tcW w:w="2358" w:type="dxa"/>
          </w:tcPr>
          <w:p w14:paraId="57718849" w14:textId="77777777" w:rsidR="00115250" w:rsidRPr="008B5DC2" w:rsidRDefault="00115250">
            <w:pPr>
              <w:pStyle w:val="TableRowHeading"/>
            </w:pPr>
          </w:p>
        </w:tc>
        <w:tc>
          <w:tcPr>
            <w:tcW w:w="7218" w:type="dxa"/>
          </w:tcPr>
          <w:p w14:paraId="398644B7" w14:textId="77777777" w:rsidR="00115250" w:rsidRPr="008B5DC2" w:rsidRDefault="00115250">
            <w:pPr>
              <w:pStyle w:val="TableBody"/>
            </w:pPr>
          </w:p>
        </w:tc>
      </w:tr>
      <w:tr w:rsidR="00115250" w14:paraId="069A4D08" w14:textId="77777777" w:rsidTr="00992E65">
        <w:tc>
          <w:tcPr>
            <w:tcW w:w="2358" w:type="dxa"/>
          </w:tcPr>
          <w:p w14:paraId="7B675A51" w14:textId="77777777" w:rsidR="00115250" w:rsidRPr="008B5DC2" w:rsidRDefault="00115250">
            <w:pPr>
              <w:pStyle w:val="TableRowHeading"/>
            </w:pPr>
          </w:p>
        </w:tc>
        <w:tc>
          <w:tcPr>
            <w:tcW w:w="7218" w:type="dxa"/>
          </w:tcPr>
          <w:p w14:paraId="4700D939" w14:textId="77777777" w:rsidR="00115250" w:rsidRPr="008B5DC2" w:rsidRDefault="00115250">
            <w:pPr>
              <w:pStyle w:val="TableBody"/>
            </w:pPr>
          </w:p>
        </w:tc>
      </w:tr>
      <w:tr w:rsidR="00115250" w14:paraId="4C0B300E" w14:textId="77777777" w:rsidTr="00992E65">
        <w:tc>
          <w:tcPr>
            <w:tcW w:w="2358" w:type="dxa"/>
          </w:tcPr>
          <w:p w14:paraId="6889DFE8" w14:textId="77777777" w:rsidR="00115250" w:rsidRPr="008B5DC2" w:rsidRDefault="00115250">
            <w:pPr>
              <w:pStyle w:val="TableRowHeading"/>
            </w:pPr>
          </w:p>
        </w:tc>
        <w:tc>
          <w:tcPr>
            <w:tcW w:w="7218" w:type="dxa"/>
          </w:tcPr>
          <w:p w14:paraId="0C5FA35F" w14:textId="77777777" w:rsidR="00115250" w:rsidRPr="008B5DC2" w:rsidRDefault="00115250">
            <w:pPr>
              <w:pStyle w:val="TableBody"/>
            </w:pPr>
          </w:p>
        </w:tc>
      </w:tr>
      <w:tr w:rsidR="00115250" w14:paraId="16738F14" w14:textId="77777777" w:rsidTr="00992E65">
        <w:tc>
          <w:tcPr>
            <w:tcW w:w="2358" w:type="dxa"/>
          </w:tcPr>
          <w:p w14:paraId="643F59EF" w14:textId="77777777" w:rsidR="00115250" w:rsidRPr="008B5DC2" w:rsidRDefault="00115250">
            <w:pPr>
              <w:pStyle w:val="TableRowHeading"/>
            </w:pPr>
          </w:p>
        </w:tc>
        <w:tc>
          <w:tcPr>
            <w:tcW w:w="7218" w:type="dxa"/>
          </w:tcPr>
          <w:p w14:paraId="6D69FF49" w14:textId="77777777" w:rsidR="00115250" w:rsidRPr="008B5DC2" w:rsidRDefault="00115250">
            <w:pPr>
              <w:pStyle w:val="TableBody"/>
            </w:pPr>
          </w:p>
        </w:tc>
      </w:tr>
      <w:tr w:rsidR="00115250" w14:paraId="211DA389" w14:textId="77777777" w:rsidTr="00992E65">
        <w:tc>
          <w:tcPr>
            <w:tcW w:w="2358" w:type="dxa"/>
          </w:tcPr>
          <w:p w14:paraId="6A44B9F8" w14:textId="77777777" w:rsidR="00115250" w:rsidRPr="008B5DC2" w:rsidRDefault="00115250">
            <w:pPr>
              <w:pStyle w:val="TableRowHeading"/>
            </w:pPr>
          </w:p>
        </w:tc>
        <w:tc>
          <w:tcPr>
            <w:tcW w:w="7218" w:type="dxa"/>
          </w:tcPr>
          <w:p w14:paraId="699F58C6" w14:textId="77777777" w:rsidR="00115250" w:rsidRPr="008B5DC2" w:rsidRDefault="00115250">
            <w:pPr>
              <w:pStyle w:val="TableBody"/>
            </w:pPr>
          </w:p>
        </w:tc>
      </w:tr>
      <w:tr w:rsidR="00115250" w14:paraId="699F7EA4" w14:textId="77777777" w:rsidTr="00992E65">
        <w:tc>
          <w:tcPr>
            <w:tcW w:w="2358" w:type="dxa"/>
          </w:tcPr>
          <w:p w14:paraId="09177F10" w14:textId="77777777" w:rsidR="00115250" w:rsidRPr="008B5DC2" w:rsidRDefault="00115250">
            <w:pPr>
              <w:pStyle w:val="TableRowHeading"/>
            </w:pPr>
          </w:p>
        </w:tc>
        <w:tc>
          <w:tcPr>
            <w:tcW w:w="7218" w:type="dxa"/>
          </w:tcPr>
          <w:p w14:paraId="65723671" w14:textId="77777777" w:rsidR="00115250" w:rsidRPr="008B5DC2" w:rsidRDefault="00115250">
            <w:pPr>
              <w:pStyle w:val="TableBody"/>
            </w:pPr>
          </w:p>
        </w:tc>
      </w:tr>
      <w:tr w:rsidR="00115250" w14:paraId="0217AE56" w14:textId="77777777" w:rsidTr="00992E65">
        <w:tc>
          <w:tcPr>
            <w:tcW w:w="2358" w:type="dxa"/>
          </w:tcPr>
          <w:p w14:paraId="26CA4181" w14:textId="77777777" w:rsidR="00115250" w:rsidRPr="008B5DC2" w:rsidRDefault="00115250">
            <w:pPr>
              <w:pStyle w:val="TableRowHeading"/>
            </w:pPr>
          </w:p>
        </w:tc>
        <w:tc>
          <w:tcPr>
            <w:tcW w:w="7218" w:type="dxa"/>
          </w:tcPr>
          <w:p w14:paraId="383FC93B" w14:textId="77777777" w:rsidR="00115250" w:rsidRPr="008B5DC2" w:rsidRDefault="00115250">
            <w:pPr>
              <w:pStyle w:val="TableBody"/>
            </w:pPr>
          </w:p>
        </w:tc>
      </w:tr>
      <w:tr w:rsidR="00115250" w14:paraId="0D235C7B" w14:textId="77777777" w:rsidTr="00992E65">
        <w:tc>
          <w:tcPr>
            <w:tcW w:w="2358" w:type="dxa"/>
          </w:tcPr>
          <w:p w14:paraId="6187BACF" w14:textId="77777777" w:rsidR="00115250" w:rsidRPr="008B5DC2" w:rsidRDefault="00115250">
            <w:pPr>
              <w:pStyle w:val="TableRowHeading"/>
            </w:pPr>
          </w:p>
        </w:tc>
        <w:tc>
          <w:tcPr>
            <w:tcW w:w="7218" w:type="dxa"/>
          </w:tcPr>
          <w:p w14:paraId="2F167F6E" w14:textId="77777777" w:rsidR="00115250" w:rsidRPr="008B5DC2" w:rsidRDefault="00115250">
            <w:pPr>
              <w:pStyle w:val="TableBody"/>
            </w:pPr>
          </w:p>
        </w:tc>
      </w:tr>
      <w:tr w:rsidR="00115250" w14:paraId="1C8752F6" w14:textId="77777777" w:rsidTr="00992E65">
        <w:tc>
          <w:tcPr>
            <w:tcW w:w="2358" w:type="dxa"/>
          </w:tcPr>
          <w:p w14:paraId="209F9308" w14:textId="77777777" w:rsidR="00115250" w:rsidRPr="008B5DC2" w:rsidRDefault="00115250">
            <w:pPr>
              <w:pStyle w:val="TableRowHeading"/>
            </w:pPr>
          </w:p>
        </w:tc>
        <w:tc>
          <w:tcPr>
            <w:tcW w:w="7218" w:type="dxa"/>
          </w:tcPr>
          <w:p w14:paraId="24D8642A" w14:textId="77777777" w:rsidR="00115250" w:rsidRPr="008B5DC2" w:rsidRDefault="00115250">
            <w:pPr>
              <w:pStyle w:val="TableBody"/>
            </w:pPr>
          </w:p>
        </w:tc>
      </w:tr>
      <w:tr w:rsidR="00115250" w14:paraId="284DA9E2" w14:textId="77777777" w:rsidTr="00992E65">
        <w:tc>
          <w:tcPr>
            <w:tcW w:w="2358" w:type="dxa"/>
          </w:tcPr>
          <w:p w14:paraId="0E866796" w14:textId="77777777" w:rsidR="00115250" w:rsidRPr="008B5DC2" w:rsidRDefault="00115250">
            <w:pPr>
              <w:pStyle w:val="TableRowHeading"/>
            </w:pPr>
          </w:p>
        </w:tc>
        <w:tc>
          <w:tcPr>
            <w:tcW w:w="7218" w:type="dxa"/>
          </w:tcPr>
          <w:p w14:paraId="55408C27" w14:textId="77777777" w:rsidR="00115250" w:rsidRPr="008B5DC2" w:rsidRDefault="00115250">
            <w:pPr>
              <w:pStyle w:val="TableBody"/>
            </w:pPr>
          </w:p>
        </w:tc>
      </w:tr>
      <w:tr w:rsidR="00115250" w14:paraId="252D1D12" w14:textId="77777777" w:rsidTr="00992E65">
        <w:tc>
          <w:tcPr>
            <w:tcW w:w="2358" w:type="dxa"/>
          </w:tcPr>
          <w:p w14:paraId="467B044A" w14:textId="77777777" w:rsidR="00115250" w:rsidRPr="008B5DC2" w:rsidRDefault="00115250">
            <w:pPr>
              <w:pStyle w:val="TableRowHeading"/>
            </w:pPr>
          </w:p>
        </w:tc>
        <w:tc>
          <w:tcPr>
            <w:tcW w:w="7218" w:type="dxa"/>
          </w:tcPr>
          <w:p w14:paraId="786065C5" w14:textId="77777777" w:rsidR="00115250" w:rsidRPr="008B5DC2" w:rsidRDefault="00115250">
            <w:pPr>
              <w:pStyle w:val="TableBody"/>
            </w:pPr>
          </w:p>
        </w:tc>
      </w:tr>
      <w:tr w:rsidR="00115250" w14:paraId="57F8BFE6" w14:textId="77777777" w:rsidTr="00992E65">
        <w:tc>
          <w:tcPr>
            <w:tcW w:w="2358" w:type="dxa"/>
          </w:tcPr>
          <w:p w14:paraId="4EC10199" w14:textId="77777777" w:rsidR="00115250" w:rsidRPr="008B5DC2" w:rsidRDefault="00115250">
            <w:pPr>
              <w:pStyle w:val="TableRowHeading"/>
            </w:pPr>
          </w:p>
        </w:tc>
        <w:tc>
          <w:tcPr>
            <w:tcW w:w="7218" w:type="dxa"/>
          </w:tcPr>
          <w:p w14:paraId="5D671E0D" w14:textId="77777777" w:rsidR="00115250" w:rsidRPr="008B5DC2" w:rsidRDefault="00115250">
            <w:pPr>
              <w:pStyle w:val="TableBody"/>
            </w:pPr>
          </w:p>
        </w:tc>
      </w:tr>
      <w:tr w:rsidR="00115250" w14:paraId="1148FC95" w14:textId="77777777" w:rsidTr="00992E65">
        <w:tc>
          <w:tcPr>
            <w:tcW w:w="2358" w:type="dxa"/>
          </w:tcPr>
          <w:p w14:paraId="7CE6B8F6" w14:textId="77777777" w:rsidR="00115250" w:rsidRPr="008B5DC2" w:rsidRDefault="00115250">
            <w:pPr>
              <w:pStyle w:val="TableRowHeading"/>
            </w:pPr>
          </w:p>
        </w:tc>
        <w:tc>
          <w:tcPr>
            <w:tcW w:w="7218" w:type="dxa"/>
          </w:tcPr>
          <w:p w14:paraId="3A52B07A" w14:textId="77777777" w:rsidR="00115250" w:rsidRPr="008B5DC2" w:rsidRDefault="00115250">
            <w:pPr>
              <w:pStyle w:val="TableBody"/>
            </w:pPr>
          </w:p>
        </w:tc>
      </w:tr>
      <w:tr w:rsidR="00115250" w14:paraId="70BB6400" w14:textId="77777777" w:rsidTr="00992E65">
        <w:tc>
          <w:tcPr>
            <w:tcW w:w="2358" w:type="dxa"/>
          </w:tcPr>
          <w:p w14:paraId="380EA5D0" w14:textId="77777777" w:rsidR="00115250" w:rsidRPr="008B5DC2" w:rsidRDefault="00115250">
            <w:pPr>
              <w:pStyle w:val="TableRowHeading"/>
            </w:pPr>
          </w:p>
        </w:tc>
        <w:tc>
          <w:tcPr>
            <w:tcW w:w="7218" w:type="dxa"/>
          </w:tcPr>
          <w:p w14:paraId="24FBF38E" w14:textId="77777777" w:rsidR="00115250" w:rsidRPr="008B5DC2" w:rsidRDefault="00115250">
            <w:pPr>
              <w:pStyle w:val="TableBody"/>
            </w:pPr>
          </w:p>
        </w:tc>
      </w:tr>
      <w:tr w:rsidR="00115250" w14:paraId="5EAED1A3" w14:textId="77777777" w:rsidTr="00992E65">
        <w:tc>
          <w:tcPr>
            <w:tcW w:w="2358" w:type="dxa"/>
          </w:tcPr>
          <w:p w14:paraId="5FF856E6" w14:textId="77777777" w:rsidR="00115250" w:rsidRPr="008B5DC2" w:rsidRDefault="00115250">
            <w:pPr>
              <w:pStyle w:val="TableRowHeading"/>
            </w:pPr>
          </w:p>
        </w:tc>
        <w:tc>
          <w:tcPr>
            <w:tcW w:w="7218" w:type="dxa"/>
          </w:tcPr>
          <w:p w14:paraId="552A9BFB" w14:textId="77777777" w:rsidR="00115250" w:rsidRPr="008B5DC2" w:rsidRDefault="00115250">
            <w:pPr>
              <w:pStyle w:val="TableBody"/>
            </w:pPr>
          </w:p>
        </w:tc>
      </w:tr>
      <w:tr w:rsidR="00115250" w14:paraId="38725926" w14:textId="77777777" w:rsidTr="00992E65">
        <w:tc>
          <w:tcPr>
            <w:tcW w:w="2358" w:type="dxa"/>
          </w:tcPr>
          <w:p w14:paraId="73AD31CE" w14:textId="77777777" w:rsidR="00115250" w:rsidRPr="008B5DC2" w:rsidRDefault="00115250">
            <w:pPr>
              <w:pStyle w:val="TableRowHeading"/>
            </w:pPr>
          </w:p>
        </w:tc>
        <w:tc>
          <w:tcPr>
            <w:tcW w:w="7218" w:type="dxa"/>
          </w:tcPr>
          <w:p w14:paraId="565C92A3" w14:textId="77777777" w:rsidR="00115250" w:rsidRPr="008B5DC2" w:rsidRDefault="00115250">
            <w:pPr>
              <w:pStyle w:val="TableBody"/>
            </w:pPr>
          </w:p>
        </w:tc>
      </w:tr>
      <w:tr w:rsidR="00115250" w14:paraId="1A7796C6" w14:textId="77777777" w:rsidTr="00992E65">
        <w:tc>
          <w:tcPr>
            <w:tcW w:w="2358" w:type="dxa"/>
          </w:tcPr>
          <w:p w14:paraId="15D2C9CB" w14:textId="77777777" w:rsidR="00115250" w:rsidRPr="008B5DC2" w:rsidRDefault="00115250">
            <w:pPr>
              <w:pStyle w:val="TableRowHeading"/>
            </w:pPr>
          </w:p>
        </w:tc>
        <w:tc>
          <w:tcPr>
            <w:tcW w:w="7218" w:type="dxa"/>
          </w:tcPr>
          <w:p w14:paraId="5294330F" w14:textId="77777777" w:rsidR="00115250" w:rsidRPr="008B5DC2" w:rsidRDefault="00115250">
            <w:pPr>
              <w:pStyle w:val="TableBody"/>
            </w:pPr>
          </w:p>
        </w:tc>
      </w:tr>
      <w:tr w:rsidR="00115250" w14:paraId="41DF6372" w14:textId="77777777" w:rsidTr="00992E65">
        <w:tc>
          <w:tcPr>
            <w:tcW w:w="2358" w:type="dxa"/>
          </w:tcPr>
          <w:p w14:paraId="78DFF8FA" w14:textId="77777777" w:rsidR="00115250" w:rsidRPr="008B5DC2" w:rsidRDefault="00115250">
            <w:pPr>
              <w:pStyle w:val="TableRowHeading"/>
            </w:pPr>
          </w:p>
        </w:tc>
        <w:tc>
          <w:tcPr>
            <w:tcW w:w="7218" w:type="dxa"/>
          </w:tcPr>
          <w:p w14:paraId="435F80DC" w14:textId="77777777" w:rsidR="00115250" w:rsidRPr="008B5DC2" w:rsidRDefault="00115250">
            <w:pPr>
              <w:pStyle w:val="TableBody"/>
            </w:pPr>
          </w:p>
        </w:tc>
      </w:tr>
      <w:tr w:rsidR="00115250" w14:paraId="297D1C43" w14:textId="77777777" w:rsidTr="00992E65">
        <w:tc>
          <w:tcPr>
            <w:tcW w:w="2358" w:type="dxa"/>
          </w:tcPr>
          <w:p w14:paraId="31F6D8FE" w14:textId="77777777" w:rsidR="00115250" w:rsidRPr="008B5DC2" w:rsidRDefault="00115250">
            <w:pPr>
              <w:pStyle w:val="TableRowHeading"/>
            </w:pPr>
          </w:p>
        </w:tc>
        <w:tc>
          <w:tcPr>
            <w:tcW w:w="7218" w:type="dxa"/>
          </w:tcPr>
          <w:p w14:paraId="65EF542C" w14:textId="77777777" w:rsidR="00115250" w:rsidRPr="008B5DC2" w:rsidRDefault="00115250">
            <w:pPr>
              <w:pStyle w:val="TableBody"/>
            </w:pPr>
          </w:p>
        </w:tc>
      </w:tr>
      <w:tr w:rsidR="00115250" w14:paraId="628098BD" w14:textId="77777777" w:rsidTr="00992E65">
        <w:tc>
          <w:tcPr>
            <w:tcW w:w="2358" w:type="dxa"/>
          </w:tcPr>
          <w:p w14:paraId="3FB20EFB" w14:textId="77777777" w:rsidR="00115250" w:rsidRPr="008B5DC2" w:rsidRDefault="00115250">
            <w:pPr>
              <w:pStyle w:val="TableRowHeading"/>
            </w:pPr>
          </w:p>
        </w:tc>
        <w:tc>
          <w:tcPr>
            <w:tcW w:w="7218" w:type="dxa"/>
          </w:tcPr>
          <w:p w14:paraId="2CF58874" w14:textId="77777777" w:rsidR="00115250" w:rsidRPr="008B5DC2" w:rsidRDefault="00115250">
            <w:pPr>
              <w:pStyle w:val="TableBody"/>
            </w:pPr>
          </w:p>
        </w:tc>
      </w:tr>
      <w:tr w:rsidR="00115250" w14:paraId="3FF6892A" w14:textId="77777777" w:rsidTr="00992E65">
        <w:tc>
          <w:tcPr>
            <w:tcW w:w="2358" w:type="dxa"/>
          </w:tcPr>
          <w:p w14:paraId="7A707940" w14:textId="77777777" w:rsidR="00115250" w:rsidRPr="008B5DC2" w:rsidRDefault="00115250">
            <w:pPr>
              <w:pStyle w:val="TableRowHeading"/>
            </w:pPr>
          </w:p>
        </w:tc>
        <w:tc>
          <w:tcPr>
            <w:tcW w:w="7218" w:type="dxa"/>
          </w:tcPr>
          <w:p w14:paraId="47E89059" w14:textId="77777777" w:rsidR="00115250" w:rsidRPr="008B5DC2" w:rsidRDefault="00115250">
            <w:pPr>
              <w:pStyle w:val="TableBody"/>
            </w:pPr>
          </w:p>
        </w:tc>
      </w:tr>
      <w:tr w:rsidR="00115250" w14:paraId="6A29B4DD" w14:textId="77777777" w:rsidTr="00992E65">
        <w:tc>
          <w:tcPr>
            <w:tcW w:w="2358" w:type="dxa"/>
          </w:tcPr>
          <w:p w14:paraId="6FF8DA22" w14:textId="77777777" w:rsidR="00115250" w:rsidRPr="008B5DC2" w:rsidRDefault="00115250">
            <w:pPr>
              <w:pStyle w:val="TableRowHeading"/>
            </w:pPr>
          </w:p>
        </w:tc>
        <w:tc>
          <w:tcPr>
            <w:tcW w:w="7218" w:type="dxa"/>
          </w:tcPr>
          <w:p w14:paraId="38D54E4D" w14:textId="77777777" w:rsidR="00115250" w:rsidRPr="008B5DC2" w:rsidRDefault="00115250">
            <w:pPr>
              <w:pStyle w:val="TableBody"/>
            </w:pPr>
          </w:p>
        </w:tc>
      </w:tr>
      <w:tr w:rsidR="00115250" w14:paraId="0EEBAF49" w14:textId="77777777" w:rsidTr="00992E65">
        <w:tc>
          <w:tcPr>
            <w:tcW w:w="2358" w:type="dxa"/>
          </w:tcPr>
          <w:p w14:paraId="5D0C7AC5" w14:textId="77777777" w:rsidR="00115250" w:rsidRPr="008B5DC2" w:rsidRDefault="00115250">
            <w:pPr>
              <w:pStyle w:val="TableRowHeading"/>
            </w:pPr>
          </w:p>
        </w:tc>
        <w:tc>
          <w:tcPr>
            <w:tcW w:w="7218" w:type="dxa"/>
          </w:tcPr>
          <w:p w14:paraId="42CEB467" w14:textId="77777777" w:rsidR="00115250" w:rsidRPr="008B5DC2" w:rsidRDefault="00115250">
            <w:pPr>
              <w:pStyle w:val="TableBody"/>
            </w:pPr>
          </w:p>
        </w:tc>
      </w:tr>
      <w:tr w:rsidR="00115250" w14:paraId="7E95A35D" w14:textId="77777777" w:rsidTr="00992E65">
        <w:tc>
          <w:tcPr>
            <w:tcW w:w="2358" w:type="dxa"/>
          </w:tcPr>
          <w:p w14:paraId="02B02B29" w14:textId="77777777" w:rsidR="00115250" w:rsidRPr="008B5DC2" w:rsidRDefault="00115250">
            <w:pPr>
              <w:pStyle w:val="TableRowHeading"/>
            </w:pPr>
          </w:p>
        </w:tc>
        <w:tc>
          <w:tcPr>
            <w:tcW w:w="7218" w:type="dxa"/>
          </w:tcPr>
          <w:p w14:paraId="3B747ABE" w14:textId="77777777" w:rsidR="00115250" w:rsidRPr="008B5DC2" w:rsidRDefault="00115250">
            <w:pPr>
              <w:pStyle w:val="TableBody"/>
            </w:pPr>
          </w:p>
        </w:tc>
      </w:tr>
      <w:tr w:rsidR="00115250" w14:paraId="728AB42A" w14:textId="77777777" w:rsidTr="00992E65">
        <w:tc>
          <w:tcPr>
            <w:tcW w:w="2316" w:type="dxa"/>
          </w:tcPr>
          <w:p w14:paraId="4DA91D8C" w14:textId="77777777" w:rsidR="00115250" w:rsidRPr="008B5DC2" w:rsidRDefault="00115250">
            <w:pPr>
              <w:pStyle w:val="TableRowHeading"/>
            </w:pPr>
          </w:p>
        </w:tc>
        <w:tc>
          <w:tcPr>
            <w:tcW w:w="7034" w:type="dxa"/>
          </w:tcPr>
          <w:p w14:paraId="6BDF59F3" w14:textId="77777777" w:rsidR="00115250" w:rsidRPr="008B5DC2" w:rsidRDefault="00115250">
            <w:pPr>
              <w:pStyle w:val="TableBody"/>
            </w:pPr>
          </w:p>
        </w:tc>
      </w:tr>
      <w:tr w:rsidR="00115250" w14:paraId="1CDBA242" w14:textId="77777777" w:rsidTr="00992E65">
        <w:tc>
          <w:tcPr>
            <w:tcW w:w="2316" w:type="dxa"/>
          </w:tcPr>
          <w:p w14:paraId="4E2E96E2" w14:textId="77777777" w:rsidR="00115250" w:rsidRPr="008B5DC2" w:rsidRDefault="00115250">
            <w:pPr>
              <w:pStyle w:val="TableRowHeading"/>
            </w:pPr>
          </w:p>
        </w:tc>
        <w:tc>
          <w:tcPr>
            <w:tcW w:w="7034" w:type="dxa"/>
          </w:tcPr>
          <w:p w14:paraId="6C5F3E08" w14:textId="77777777" w:rsidR="00115250" w:rsidRPr="008B5DC2" w:rsidRDefault="00115250">
            <w:pPr>
              <w:pStyle w:val="TableBody"/>
            </w:pPr>
          </w:p>
        </w:tc>
      </w:tr>
      <w:tr w:rsidR="00115250" w14:paraId="5FCAFF15" w14:textId="77777777" w:rsidTr="00992E65">
        <w:tc>
          <w:tcPr>
            <w:tcW w:w="2316" w:type="dxa"/>
          </w:tcPr>
          <w:p w14:paraId="30EC8070" w14:textId="77777777" w:rsidR="00115250" w:rsidRPr="008B5DC2" w:rsidRDefault="00115250">
            <w:pPr>
              <w:pStyle w:val="TableRowHeading"/>
            </w:pPr>
          </w:p>
        </w:tc>
        <w:tc>
          <w:tcPr>
            <w:tcW w:w="7034" w:type="dxa"/>
          </w:tcPr>
          <w:p w14:paraId="7C0826F2" w14:textId="77777777" w:rsidR="00115250" w:rsidRPr="008B5DC2" w:rsidRDefault="00115250">
            <w:pPr>
              <w:pStyle w:val="TableBody"/>
            </w:pPr>
          </w:p>
        </w:tc>
      </w:tr>
    </w:tbl>
    <w:p w14:paraId="09A8BB7F" w14:textId="77777777" w:rsidR="00115250" w:rsidRDefault="00115250">
      <w:pPr>
        <w:pStyle w:val="ParagraphSpacer"/>
      </w:pPr>
    </w:p>
    <w:p w14:paraId="292DBC13" w14:textId="77777777" w:rsidR="00024A9E" w:rsidRDefault="00115250">
      <w:pPr>
        <w:spacing w:line="24" w:lineRule="auto"/>
        <w:rPr>
          <w:rFonts w:ascii="Times New Roman" w:hAnsi="Times New Roman"/>
        </w:rPr>
      </w:pPr>
      <w:r>
        <w:br w:type="page"/>
      </w:r>
    </w:p>
    <w:p>
      <w:pPr>
        <w:pStyle w:val="Heading1"/>
      </w:pPr>
      <w:r>
        <w:t>Compliance Matrix</w:t>
      </w:r>
    </w:p>
    <w:p>
      <w:pPr>
        <w:pStyle w:val="BodyText"/>
      </w:pPr>
      <w:r>
        <w:t>The matrix below cross-walks every Statement of Work (SOW) task and every Volume I evaluation sub-factor in Attachment 2 to the Volume I section and page where Deloitte's response appears. The Compliance Matrix is provided in accordance with the indexing guidance in Attachment 2 and is advisory in nature; it imparts no information beyond the identification of content and is therefore not counted against the Volume I forty-page limit.</w:t>
      </w:r>
    </w:p>
    <w:p>
      <w:pPr>
        <w:pStyle w:val="TableTitle"/>
      </w:pPr>
      <w:r>
        <w:t>Table CM-1. Cross-Walk of SOW Requirements and Attachment 2 Evaluation Factors to Volume I Sections.</w:t>
      </w:r>
    </w:p>
    <w:tbl>
      <w:tblPr>
        <w:tblStyle w:val="TableGrid"/>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SOW / Attachment 2 Reference</w:t>
            </w:r>
          </w:p>
        </w:tc>
        <w:tc>
          <w:tcPr>
            <w:tcW w:type="dxa" w:w="3120"/>
          </w:tcPr>
          <w:p>
            <w:r>
              <w:t>Volume I Section / Page</w:t>
            </w:r>
          </w:p>
        </w:tc>
      </w:tr>
      <w:tr>
        <w:tc>
          <w:tcPr>
            <w:tcW w:type="dxa" w:w="3120"/>
          </w:tcPr>
          <w:p>
            <w:r>
              <w:t>Att. 2 Factor 1: Technical Understanding &amp; Approach</w:t>
            </w:r>
          </w:p>
        </w:tc>
        <w:tc>
          <w:tcPr>
            <w:tcW w:type="dxa" w:w="3120"/>
          </w:tcPr>
          <w:p>
            <w:r>
              <w:t>Att. 2 §Volume I Section 1</w:t>
            </w:r>
          </w:p>
        </w:tc>
        <w:tc>
          <w:tcPr>
            <w:tcW w:type="dxa" w:w="3120"/>
          </w:tcPr>
          <w:p>
            <w:r/>
          </w:p>
        </w:tc>
      </w:tr>
      <w:tr>
        <w:tc>
          <w:tcPr>
            <w:tcW w:type="dxa" w:w="3120"/>
          </w:tcPr>
          <w:p>
            <w:r>
              <w:t>Sub-Factor 1A: Understanding of CMS' Program &amp; Acquisition Objectives</w:t>
            </w:r>
          </w:p>
        </w:tc>
        <w:tc>
          <w:tcPr>
            <w:tcW w:type="dxa" w:w="3120"/>
          </w:tcPr>
          <w:p>
            <w:r>
              <w:t>Att. 2 §1A</w:t>
            </w:r>
          </w:p>
        </w:tc>
        <w:tc>
          <w:tcPr>
            <w:tcW w:type="dxa" w:w="3120"/>
          </w:tcPr>
          <w:p>
            <w:r>
              <w:t>Section 1.1 (Sub-Section 1A) — p. [auto]</w:t>
            </w:r>
          </w:p>
        </w:tc>
      </w:tr>
      <w:tr>
        <w:tc>
          <w:tcPr>
            <w:tcW w:type="dxa" w:w="3120"/>
          </w:tcPr>
          <w:p>
            <w:r>
              <w:t>Sub-Factor 1B: Approach to Performing Requirements in the SOW (Tasks 2–10)</w:t>
            </w:r>
          </w:p>
        </w:tc>
        <w:tc>
          <w:tcPr>
            <w:tcW w:type="dxa" w:w="3120"/>
          </w:tcPr>
          <w:p>
            <w:r>
              <w:t>Att. 2 §1B; SOW §3.2–3.10</w:t>
            </w:r>
          </w:p>
        </w:tc>
        <w:tc>
          <w:tcPr>
            <w:tcW w:type="dxa" w:w="3120"/>
          </w:tcPr>
          <w:p>
            <w:r>
              <w:t>Section 1.2 (Sub-Section 1B) — p. [auto]</w:t>
            </w:r>
          </w:p>
        </w:tc>
      </w:tr>
      <w:tr>
        <w:tc>
          <w:tcPr>
            <w:tcW w:type="dxa" w:w="3120"/>
          </w:tcPr>
          <w:p>
            <w:r>
              <w:t>Task 2: ER&amp;R Issuer Disputes (incl. Subtask 2.1 Low Complexity, 2.2 High Complexity)</w:t>
            </w:r>
          </w:p>
        </w:tc>
        <w:tc>
          <w:tcPr>
            <w:tcW w:type="dxa" w:w="3120"/>
          </w:tcPr>
          <w:p>
            <w:r>
              <w:t>SOW §3.2, §3.2.1, §3.2.2</w:t>
            </w:r>
          </w:p>
        </w:tc>
        <w:tc>
          <w:tcPr>
            <w:tcW w:type="dxa" w:w="3120"/>
          </w:tcPr>
          <w:p>
            <w:r>
              <w:t>Section 1.2.1 — p. [auto]</w:t>
            </w:r>
          </w:p>
        </w:tc>
      </w:tr>
      <w:tr>
        <w:tc>
          <w:tcPr>
            <w:tcW w:type="dxa" w:w="3120"/>
          </w:tcPr>
          <w:p>
            <w:r>
              <w:t>Task 3: Form 1095-A Consumer Disputes (incl. Subtask 3.1 Low, 3.2 Medium, 3.3 High Complexity)</w:t>
            </w:r>
          </w:p>
        </w:tc>
        <w:tc>
          <w:tcPr>
            <w:tcW w:type="dxa" w:w="3120"/>
          </w:tcPr>
          <w:p>
            <w:r>
              <w:t>SOW §3.3, §3.3.1, §3.3.2, §3.3.3</w:t>
            </w:r>
          </w:p>
        </w:tc>
        <w:tc>
          <w:tcPr>
            <w:tcW w:type="dxa" w:w="3120"/>
          </w:tcPr>
          <w:p>
            <w:r>
              <w:t>Section 1.2.2 — p. [auto]</w:t>
            </w:r>
          </w:p>
        </w:tc>
      </w:tr>
      <w:tr>
        <w:tc>
          <w:tcPr>
            <w:tcW w:type="dxa" w:w="3120"/>
          </w:tcPr>
          <w:p>
            <w:r>
              <w:t>Task 4: Complex Case Help Center (CCHC)</w:t>
            </w:r>
          </w:p>
        </w:tc>
        <w:tc>
          <w:tcPr>
            <w:tcW w:type="dxa" w:w="3120"/>
          </w:tcPr>
          <w:p>
            <w:r>
              <w:t>SOW §3.4</w:t>
            </w:r>
          </w:p>
        </w:tc>
        <w:tc>
          <w:tcPr>
            <w:tcW w:type="dxa" w:w="3120"/>
          </w:tcPr>
          <w:p>
            <w:r>
              <w:t>Section 1.2.3 — p. [auto]</w:t>
            </w:r>
          </w:p>
        </w:tc>
      </w:tr>
      <w:tr>
        <w:tc>
          <w:tcPr>
            <w:tcW w:type="dxa" w:w="3120"/>
          </w:tcPr>
          <w:p>
            <w:r>
              <w:t>Task 5: Updating the FFE</w:t>
            </w:r>
          </w:p>
        </w:tc>
        <w:tc>
          <w:tcPr>
            <w:tcW w:type="dxa" w:w="3120"/>
          </w:tcPr>
          <w:p>
            <w:r>
              <w:t>SOW §3.5</w:t>
            </w:r>
          </w:p>
        </w:tc>
        <w:tc>
          <w:tcPr>
            <w:tcW w:type="dxa" w:w="3120"/>
          </w:tcPr>
          <w:p>
            <w:r>
              <w:t>Section 1.2.4 — p. [auto]</w:t>
            </w:r>
          </w:p>
        </w:tc>
      </w:tr>
      <w:tr>
        <w:tc>
          <w:tcPr>
            <w:tcW w:type="dxa" w:w="3120"/>
          </w:tcPr>
          <w:p>
            <w:r>
              <w:t>Task 6: Notice Generation</w:t>
            </w:r>
          </w:p>
        </w:tc>
        <w:tc>
          <w:tcPr>
            <w:tcW w:type="dxa" w:w="3120"/>
          </w:tcPr>
          <w:p>
            <w:r>
              <w:t>SOW §3.6</w:t>
            </w:r>
          </w:p>
        </w:tc>
        <w:tc>
          <w:tcPr>
            <w:tcW w:type="dxa" w:w="3120"/>
          </w:tcPr>
          <w:p>
            <w:r>
              <w:t>Section 1.2.5 — p. [auto]</w:t>
            </w:r>
          </w:p>
        </w:tc>
      </w:tr>
      <w:tr>
        <w:tc>
          <w:tcPr>
            <w:tcW w:type="dxa" w:w="3120"/>
          </w:tcPr>
          <w:p>
            <w:r>
              <w:t>Task 7: Telephone and Correspondence Support</w:t>
            </w:r>
          </w:p>
        </w:tc>
        <w:tc>
          <w:tcPr>
            <w:tcW w:type="dxa" w:w="3120"/>
          </w:tcPr>
          <w:p>
            <w:r>
              <w:t>SOW §3.7</w:t>
            </w:r>
          </w:p>
        </w:tc>
        <w:tc>
          <w:tcPr>
            <w:tcW w:type="dxa" w:w="3120"/>
          </w:tcPr>
          <w:p>
            <w:r>
              <w:t>Section 1.2.6 — p. [auto]</w:t>
            </w:r>
          </w:p>
        </w:tc>
      </w:tr>
      <w:tr>
        <w:tc>
          <w:tcPr>
            <w:tcW w:type="dxa" w:w="3120"/>
          </w:tcPr>
          <w:p>
            <w:r>
              <w:t>Task 8: IT Systems (CERRS, MCR, SEED, HICS, EDA CORE)</w:t>
            </w:r>
          </w:p>
        </w:tc>
        <w:tc>
          <w:tcPr>
            <w:tcW w:type="dxa" w:w="3120"/>
          </w:tcPr>
          <w:p>
            <w:r>
              <w:t>SOW §3.8, §3.8.1, §3.8.1.1, §3.8.1.2, §3.8.2, §3.8.3</w:t>
            </w:r>
          </w:p>
        </w:tc>
        <w:tc>
          <w:tcPr>
            <w:tcW w:type="dxa" w:w="3120"/>
          </w:tcPr>
          <w:p>
            <w:r>
              <w:t>Section 1.2.7 — p. [auto]</w:t>
            </w:r>
          </w:p>
        </w:tc>
      </w:tr>
      <w:tr>
        <w:tc>
          <w:tcPr>
            <w:tcW w:type="dxa" w:w="3120"/>
          </w:tcPr>
          <w:p>
            <w:r>
              <w:t>Task 9: SOPs Business Requirements &amp; Quality Assurance</w:t>
            </w:r>
          </w:p>
        </w:tc>
        <w:tc>
          <w:tcPr>
            <w:tcW w:type="dxa" w:w="3120"/>
          </w:tcPr>
          <w:p>
            <w:r>
              <w:t>SOW §3.9</w:t>
            </w:r>
          </w:p>
        </w:tc>
        <w:tc>
          <w:tcPr>
            <w:tcW w:type="dxa" w:w="3120"/>
          </w:tcPr>
          <w:p>
            <w:r>
              <w:t>Section 1.2.8 — p. [auto]</w:t>
            </w:r>
          </w:p>
        </w:tc>
      </w:tr>
      <w:tr>
        <w:tc>
          <w:tcPr>
            <w:tcW w:type="dxa" w:w="3120"/>
          </w:tcPr>
          <w:p>
            <w:r>
              <w:t>Task 10: Ad Hoc Work and Special Projects (incl. Enrollment Manual, Death PDM, Employer Notice Helpdesk)</w:t>
            </w:r>
          </w:p>
        </w:tc>
        <w:tc>
          <w:tcPr>
            <w:tcW w:type="dxa" w:w="3120"/>
          </w:tcPr>
          <w:p>
            <w:r>
              <w:t>SOW §3.10</w:t>
            </w:r>
          </w:p>
        </w:tc>
        <w:tc>
          <w:tcPr>
            <w:tcW w:type="dxa" w:w="3120"/>
          </w:tcPr>
          <w:p>
            <w:r>
              <w:t>Section 1.2.9 — p. [auto]</w:t>
            </w:r>
          </w:p>
        </w:tc>
      </w:tr>
      <w:tr>
        <w:tc>
          <w:tcPr>
            <w:tcW w:type="dxa" w:w="3120"/>
          </w:tcPr>
          <w:p>
            <w:r>
              <w:t>Sub-Factor 1C: Understanding and Mitigation of Risks (10 Risks + Risk Management Lifecycle)</w:t>
            </w:r>
          </w:p>
        </w:tc>
        <w:tc>
          <w:tcPr>
            <w:tcW w:type="dxa" w:w="3120"/>
          </w:tcPr>
          <w:p>
            <w:r>
              <w:t>Att. 2 §1C</w:t>
            </w:r>
          </w:p>
        </w:tc>
        <w:tc>
          <w:tcPr>
            <w:tcW w:type="dxa" w:w="3120"/>
          </w:tcPr>
          <w:p>
            <w:r>
              <w:t>Section 1.3 (Sub-Section 1C) — p. [auto]</w:t>
            </w:r>
          </w:p>
        </w:tc>
      </w:tr>
      <w:tr>
        <w:tc>
          <w:tcPr>
            <w:tcW w:type="dxa" w:w="3120"/>
          </w:tcPr>
          <w:p>
            <w:r>
              <w:t>Att. 2 Factor 2: Management Approach, Quality Assurance, and Staffing Plan</w:t>
            </w:r>
          </w:p>
        </w:tc>
        <w:tc>
          <w:tcPr>
            <w:tcW w:type="dxa" w:w="3120"/>
          </w:tcPr>
          <w:p>
            <w:r>
              <w:t>Att. 2 §Volume I Section 2</w:t>
            </w:r>
          </w:p>
        </w:tc>
        <w:tc>
          <w:tcPr>
            <w:tcW w:type="dxa" w:w="3120"/>
          </w:tcPr>
          <w:p>
            <w:r/>
          </w:p>
        </w:tc>
      </w:tr>
      <w:tr>
        <w:tc>
          <w:tcPr>
            <w:tcW w:type="dxa" w:w="3120"/>
          </w:tcPr>
          <w:p>
            <w:r>
              <w:t>Sub-Factor 2A: Management Approach (incl. Tasks 1, 11, 12)</w:t>
            </w:r>
          </w:p>
        </w:tc>
        <w:tc>
          <w:tcPr>
            <w:tcW w:type="dxa" w:w="3120"/>
          </w:tcPr>
          <w:p>
            <w:r>
              <w:t>Att. 2 §2A; SOW §3.1, §3.11, §3.12</w:t>
            </w:r>
          </w:p>
        </w:tc>
        <w:tc>
          <w:tcPr>
            <w:tcW w:type="dxa" w:w="3120"/>
          </w:tcPr>
          <w:p>
            <w:r>
              <w:t>Section 2.1 (Sub-Section 2A) — p. [auto]</w:t>
            </w:r>
          </w:p>
        </w:tc>
      </w:tr>
      <w:tr>
        <w:tc>
          <w:tcPr>
            <w:tcW w:type="dxa" w:w="3120"/>
          </w:tcPr>
          <w:p>
            <w:r>
              <w:t>Task 1: Program Implementation and Oversight (PI&amp;O) — PIOP, Kickoff, Reporting Cadence</w:t>
            </w:r>
          </w:p>
        </w:tc>
        <w:tc>
          <w:tcPr>
            <w:tcW w:type="dxa" w:w="3120"/>
          </w:tcPr>
          <w:p>
            <w:r>
              <w:t>SOW §3.1</w:t>
            </w:r>
          </w:p>
        </w:tc>
        <w:tc>
          <w:tcPr>
            <w:tcW w:type="dxa" w:w="3120"/>
          </w:tcPr>
          <w:p>
            <w:r>
              <w:t>Section 2.1.1 — p. [auto]</w:t>
            </w:r>
          </w:p>
        </w:tc>
      </w:tr>
      <w:tr>
        <w:tc>
          <w:tcPr>
            <w:tcW w:type="dxa" w:w="3120"/>
          </w:tcPr>
          <w:p>
            <w:r>
              <w:t>Task 11: Transition-Out (Optional)</w:t>
            </w:r>
          </w:p>
        </w:tc>
        <w:tc>
          <w:tcPr>
            <w:tcW w:type="dxa" w:w="3120"/>
          </w:tcPr>
          <w:p>
            <w:r>
              <w:t>SOW §3.11</w:t>
            </w:r>
          </w:p>
        </w:tc>
        <w:tc>
          <w:tcPr>
            <w:tcW w:type="dxa" w:w="3120"/>
          </w:tcPr>
          <w:p>
            <w:r>
              <w:t>Section 2.1.2 — p. [auto]</w:t>
            </w:r>
          </w:p>
        </w:tc>
      </w:tr>
      <w:tr>
        <w:tc>
          <w:tcPr>
            <w:tcW w:type="dxa" w:w="3120"/>
          </w:tcPr>
          <w:p>
            <w:r>
              <w:t>Task 12: Transition-In (Optional)</w:t>
            </w:r>
          </w:p>
        </w:tc>
        <w:tc>
          <w:tcPr>
            <w:tcW w:type="dxa" w:w="3120"/>
          </w:tcPr>
          <w:p>
            <w:r>
              <w:t>SOW §3.12</w:t>
            </w:r>
          </w:p>
        </w:tc>
        <w:tc>
          <w:tcPr>
            <w:tcW w:type="dxa" w:w="3120"/>
          </w:tcPr>
          <w:p>
            <w:r>
              <w:t>Section 2.1.3 — p. [auto]</w:t>
            </w:r>
          </w:p>
        </w:tc>
      </w:tr>
      <w:tr>
        <w:tc>
          <w:tcPr>
            <w:tcW w:type="dxa" w:w="3120"/>
          </w:tcPr>
          <w:p>
            <w:r>
              <w:t>Sub-Factor 2B: Quality Assurance Approach (KPIs, AQLs, SLAs, QASP)</w:t>
            </w:r>
          </w:p>
        </w:tc>
        <w:tc>
          <w:tcPr>
            <w:tcW w:type="dxa" w:w="3120"/>
          </w:tcPr>
          <w:p>
            <w:r>
              <w:t>Att. 2 §2B</w:t>
            </w:r>
          </w:p>
        </w:tc>
        <w:tc>
          <w:tcPr>
            <w:tcW w:type="dxa" w:w="3120"/>
          </w:tcPr>
          <w:p>
            <w:r>
              <w:t>Section 2.2 (Sub-Section 2B) — p. [auto]</w:t>
            </w:r>
          </w:p>
        </w:tc>
      </w:tr>
      <w:tr>
        <w:tc>
          <w:tcPr>
            <w:tcW w:type="dxa" w:w="3120"/>
          </w:tcPr>
          <w:p>
            <w:r>
              <w:t>Sub-Factor 2C: Staffing Plan (Workforce, Surge, Subcontractor Integration)</w:t>
            </w:r>
          </w:p>
        </w:tc>
        <w:tc>
          <w:tcPr>
            <w:tcW w:type="dxa" w:w="3120"/>
          </w:tcPr>
          <w:p>
            <w:r>
              <w:t>Att. 2 §2C</w:t>
            </w:r>
          </w:p>
        </w:tc>
        <w:tc>
          <w:tcPr>
            <w:tcW w:type="dxa" w:w="3120"/>
          </w:tcPr>
          <w:p>
            <w:r>
              <w:t>Section 2.3 (Sub-Section 2C) — p. [auto]</w:t>
            </w:r>
          </w:p>
        </w:tc>
      </w:tr>
      <w:tr>
        <w:tc>
          <w:tcPr>
            <w:tcW w:type="dxa" w:w="3120"/>
          </w:tcPr>
          <w:p>
            <w:r>
              <w:t>Att. 2 Factor 3: Key Personnel Qualifications and Corporate Experience</w:t>
            </w:r>
          </w:p>
        </w:tc>
        <w:tc>
          <w:tcPr>
            <w:tcW w:type="dxa" w:w="3120"/>
          </w:tcPr>
          <w:p>
            <w:r>
              <w:t>Att. 2 §Volume I Section 3</w:t>
            </w:r>
          </w:p>
        </w:tc>
        <w:tc>
          <w:tcPr>
            <w:tcW w:type="dxa" w:w="3120"/>
          </w:tcPr>
          <w:p>
            <w:r/>
          </w:p>
        </w:tc>
      </w:tr>
      <w:tr>
        <w:tc>
          <w:tcPr>
            <w:tcW w:type="dxa" w:w="3120"/>
          </w:tcPr>
          <w:p>
            <w:r>
              <w:t>Sub-Factor 3A: Key Personnel Qualifications</w:t>
            </w:r>
          </w:p>
        </w:tc>
        <w:tc>
          <w:tcPr>
            <w:tcW w:type="dxa" w:w="3120"/>
          </w:tcPr>
          <w:p>
            <w:r>
              <w:t>Att. 2 §3A</w:t>
            </w:r>
          </w:p>
        </w:tc>
        <w:tc>
          <w:tcPr>
            <w:tcW w:type="dxa" w:w="3120"/>
          </w:tcPr>
          <w:p>
            <w:r>
              <w:t>Section 3.1 (Sub-Section 3A) — p. [auto]</w:t>
            </w:r>
          </w:p>
        </w:tc>
      </w:tr>
      <w:tr>
        <w:tc>
          <w:tcPr>
            <w:tcW w:type="dxa" w:w="3120"/>
          </w:tcPr>
          <w:p>
            <w:r>
              <w:t>Project Director (8 yrs systems exp.; 5 yrs each: enrollment recon, sensitive contracts, federal healthcare data, call center)</w:t>
            </w:r>
          </w:p>
        </w:tc>
        <w:tc>
          <w:tcPr>
            <w:tcW w:type="dxa" w:w="3120"/>
          </w:tcPr>
          <w:p>
            <w:r>
              <w:t>Att. 2 §3A</w:t>
            </w:r>
          </w:p>
        </w:tc>
        <w:tc>
          <w:tcPr>
            <w:tcW w:type="dxa" w:w="3120"/>
          </w:tcPr>
          <w:p>
            <w:r>
              <w:t>Section 3.1, Table 3.1-1 + Appendix A.1 — p. [auto]</w:t>
            </w:r>
          </w:p>
        </w:tc>
      </w:tr>
      <w:tr>
        <w:tc>
          <w:tcPr>
            <w:tcW w:type="dxa" w:w="3120"/>
          </w:tcPr>
          <w:p>
            <w:r>
              <w:t>Project Manager (ER&amp;R) — 5 yrs exp., PMP</w:t>
            </w:r>
          </w:p>
        </w:tc>
        <w:tc>
          <w:tcPr>
            <w:tcW w:type="dxa" w:w="3120"/>
          </w:tcPr>
          <w:p>
            <w:r>
              <w:t>Att. 2 §3A</w:t>
            </w:r>
          </w:p>
        </w:tc>
        <w:tc>
          <w:tcPr>
            <w:tcW w:type="dxa" w:w="3120"/>
          </w:tcPr>
          <w:p>
            <w:r>
              <w:t>Section 3.1, Table 3.1-1 + Appendix A.2 — p. [auto]</w:t>
            </w:r>
          </w:p>
        </w:tc>
      </w:tr>
      <w:tr>
        <w:tc>
          <w:tcPr>
            <w:tcW w:type="dxa" w:w="3120"/>
          </w:tcPr>
          <w:p>
            <w:r>
              <w:t>Project Manager (Form 1095-A &amp; CCHC) — 5/5/5/3 yrs, PMP</w:t>
            </w:r>
          </w:p>
        </w:tc>
        <w:tc>
          <w:tcPr>
            <w:tcW w:type="dxa" w:w="3120"/>
          </w:tcPr>
          <w:p>
            <w:r>
              <w:t>Att. 2 §3A</w:t>
            </w:r>
          </w:p>
        </w:tc>
        <w:tc>
          <w:tcPr>
            <w:tcW w:type="dxa" w:w="3120"/>
          </w:tcPr>
          <w:p>
            <w:r>
              <w:t>Section 3.1, Table 3.1-1 + Appendix A.3 — p. [auto]</w:t>
            </w:r>
          </w:p>
        </w:tc>
      </w:tr>
      <w:tr>
        <w:tc>
          <w:tcPr>
            <w:tcW w:type="dxa" w:w="3120"/>
          </w:tcPr>
          <w:p>
            <w:r>
              <w:t>Project Manager (IT Data and Technical Support) — 8/5/5 yrs</w:t>
            </w:r>
          </w:p>
        </w:tc>
        <w:tc>
          <w:tcPr>
            <w:tcW w:type="dxa" w:w="3120"/>
          </w:tcPr>
          <w:p>
            <w:r>
              <w:t>Att. 2 §3A</w:t>
            </w:r>
          </w:p>
        </w:tc>
        <w:tc>
          <w:tcPr>
            <w:tcW w:type="dxa" w:w="3120"/>
          </w:tcPr>
          <w:p>
            <w:r>
              <w:t>Section 3.1, Table 3.1-1 + Appendix A.4 — p. [auto]</w:t>
            </w:r>
          </w:p>
        </w:tc>
      </w:tr>
      <w:tr>
        <w:tc>
          <w:tcPr>
            <w:tcW w:type="dxa" w:w="3120"/>
          </w:tcPr>
          <w:p>
            <w:r>
              <w:t>Technical Director — 8 yrs software, 5 yrs CMS Marketplace systems</w:t>
            </w:r>
          </w:p>
        </w:tc>
        <w:tc>
          <w:tcPr>
            <w:tcW w:type="dxa" w:w="3120"/>
          </w:tcPr>
          <w:p>
            <w:r>
              <w:t>Att. 2 §3A</w:t>
            </w:r>
          </w:p>
        </w:tc>
        <w:tc>
          <w:tcPr>
            <w:tcW w:type="dxa" w:w="3120"/>
          </w:tcPr>
          <w:p>
            <w:r>
              <w:t>Section 3.1, Table 3.1-1 + Appendix A.5 — p. [auto]</w:t>
            </w:r>
          </w:p>
        </w:tc>
      </w:tr>
      <w:tr>
        <w:tc>
          <w:tcPr>
            <w:tcW w:type="dxa" w:w="3120"/>
          </w:tcPr>
          <w:p>
            <w:r>
              <w:t>Security and Privacy Officer — 5 yrs CMS Info Sec, CISSP</w:t>
            </w:r>
          </w:p>
        </w:tc>
        <w:tc>
          <w:tcPr>
            <w:tcW w:type="dxa" w:w="3120"/>
          </w:tcPr>
          <w:p>
            <w:r>
              <w:t>Att. 2 §3A</w:t>
            </w:r>
          </w:p>
        </w:tc>
        <w:tc>
          <w:tcPr>
            <w:tcW w:type="dxa" w:w="3120"/>
          </w:tcPr>
          <w:p>
            <w:r>
              <w:t>Section 3.1, Table 3.1-1 + Appendix A.6 — p. [auto]</w:t>
            </w:r>
          </w:p>
        </w:tc>
      </w:tr>
      <w:tr>
        <w:tc>
          <w:tcPr>
            <w:tcW w:type="dxa" w:w="3120"/>
          </w:tcPr>
          <w:p>
            <w:r>
              <w:t>Sub-Factor 3B: Corporate Experience</w:t>
            </w:r>
          </w:p>
        </w:tc>
        <w:tc>
          <w:tcPr>
            <w:tcW w:type="dxa" w:w="3120"/>
          </w:tcPr>
          <w:p>
            <w:r>
              <w:t>Att. 2 §3B</w:t>
            </w:r>
          </w:p>
        </w:tc>
        <w:tc>
          <w:tcPr>
            <w:tcW w:type="dxa" w:w="3120"/>
          </w:tcPr>
          <w:p>
            <w:r>
              <w:t>Section 3.2 (Sub-Section 3B), Table 3.2-1 — p. [auto]</w:t>
            </w:r>
          </w:p>
        </w:tc>
      </w:tr>
      <w:tr>
        <w:tc>
          <w:tcPr>
            <w:tcW w:type="dxa" w:w="3120"/>
          </w:tcPr>
          <w:p>
            <w:r>
              <w:t>Att. 2 Factor 4: Utilization of Small Business (Evaluated, Not Rated; 5 page limit; not counted toward 40-page Vol I)</w:t>
            </w:r>
          </w:p>
        </w:tc>
        <w:tc>
          <w:tcPr>
            <w:tcW w:type="dxa" w:w="3120"/>
          </w:tcPr>
          <w:p>
            <w:r>
              <w:t>Att. 2 §Volume I Section 4</w:t>
            </w:r>
          </w:p>
        </w:tc>
        <w:tc>
          <w:tcPr>
            <w:tcW w:type="dxa" w:w="3120"/>
          </w:tcPr>
          <w:p>
            <w:r>
              <w:t>Section 4 — p. [auto]</w:t>
            </w:r>
          </w:p>
        </w:tc>
      </w:tr>
      <w:tr>
        <w:tc>
          <w:tcPr>
            <w:tcW w:type="dxa" w:w="3120"/>
          </w:tcPr>
          <w:p>
            <w:r>
              <w:t>15% Small Business Subcontracting Goal Plan + Subcontractor Table</w:t>
            </w:r>
          </w:p>
        </w:tc>
        <w:tc>
          <w:tcPr>
            <w:tcW w:type="dxa" w:w="3120"/>
          </w:tcPr>
          <w:p>
            <w:r>
              <w:t>Att. 2 §Section 4</w:t>
            </w:r>
          </w:p>
        </w:tc>
        <w:tc>
          <w:tcPr>
            <w:tcW w:type="dxa" w:w="3120"/>
          </w:tcPr>
          <w:p>
            <w:r>
              <w:t>Sections 4.1 / 4.2 / Table 4.2-1 — p. [auto]</w:t>
            </w:r>
          </w:p>
        </w:tc>
      </w:tr>
      <w:tr>
        <w:tc>
          <w:tcPr>
            <w:tcW w:type="dxa" w:w="3120"/>
          </w:tcPr>
          <w:p>
            <w:r>
              <w:t>Letters of Commitment / Draft Subcontracting Agreements / Teaming Arrangements</w:t>
            </w:r>
          </w:p>
        </w:tc>
        <w:tc>
          <w:tcPr>
            <w:tcW w:type="dxa" w:w="3120"/>
          </w:tcPr>
          <w:p>
            <w:r>
              <w:t>Att. 2 §Section 4</w:t>
            </w:r>
          </w:p>
        </w:tc>
        <w:tc>
          <w:tcPr>
            <w:tcW w:type="dxa" w:w="3120"/>
          </w:tcPr>
          <w:p>
            <w:r>
              <w:t>Section 4.3 (attached separately, not counted)</w:t>
            </w:r>
          </w:p>
        </w:tc>
      </w:tr>
      <w:tr>
        <w:tc>
          <w:tcPr>
            <w:tcW w:type="dxa" w:w="3120"/>
          </w:tcPr>
          <w:p>
            <w:r>
              <w:t>Subcontracting Plan Governance (FAR 19.704, HHSAR 352.219-70, eSRS)</w:t>
            </w:r>
          </w:p>
        </w:tc>
        <w:tc>
          <w:tcPr>
            <w:tcW w:type="dxa" w:w="3120"/>
          </w:tcPr>
          <w:p>
            <w:r>
              <w:t>FAR/HHSAR</w:t>
            </w:r>
          </w:p>
        </w:tc>
        <w:tc>
          <w:tcPr>
            <w:tcW w:type="dxa" w:w="3120"/>
          </w:tcPr>
          <w:p>
            <w:r>
              <w:t>Section 4.4 — p. [auto]</w:t>
            </w:r>
          </w:p>
        </w:tc>
      </w:tr>
      <w:tr>
        <w:tc>
          <w:tcPr>
            <w:tcW w:type="dxa" w:w="3120"/>
          </w:tcPr>
          <w:p>
            <w:r>
              <w:t>Compliance — Cross-Cutting Requirements</w:t>
            </w:r>
          </w:p>
        </w:tc>
        <w:tc>
          <w:tcPr>
            <w:tcW w:type="dxa" w:w="3120"/>
          </w:tcPr>
          <w:p>
            <w:r/>
          </w:p>
        </w:tc>
        <w:tc>
          <w:tcPr>
            <w:tcW w:type="dxa" w:w="3120"/>
          </w:tcPr>
          <w:p>
            <w:r/>
          </w:p>
        </w:tc>
      </w:tr>
      <w:tr>
        <w:tc>
          <w:tcPr>
            <w:tcW w:type="dxa" w:w="3120"/>
          </w:tcPr>
          <w:p>
            <w:r>
              <w:t>Page Limits, 12-pt body, single-spacing, page X of X numbering</w:t>
            </w:r>
          </w:p>
        </w:tc>
        <w:tc>
          <w:tcPr>
            <w:tcW w:type="dxa" w:w="3120"/>
          </w:tcPr>
          <w:p>
            <w:r>
              <w:t>Att. 2 §Formatting / §Page Limits</w:t>
            </w:r>
          </w:p>
        </w:tc>
        <w:tc>
          <w:tcPr>
            <w:tcW w:type="dxa" w:w="3120"/>
          </w:tcPr>
          <w:p>
            <w:r>
              <w:t>All sections (footers) — formatting compliant</w:t>
            </w:r>
          </w:p>
        </w:tc>
      </w:tr>
      <w:tr>
        <w:tc>
          <w:tcPr>
            <w:tcW w:type="dxa" w:w="3120"/>
          </w:tcPr>
          <w:p>
            <w:r>
              <w:t>RFQ Number 75FCMC26Q0068 on every page</w:t>
            </w:r>
          </w:p>
        </w:tc>
        <w:tc>
          <w:tcPr>
            <w:tcW w:type="dxa" w:w="3120"/>
          </w:tcPr>
          <w:p>
            <w:r>
              <w:t>Att. 2 §Indexing</w:t>
            </w:r>
          </w:p>
        </w:tc>
        <w:tc>
          <w:tcPr>
            <w:tcW w:type="dxa" w:w="3120"/>
          </w:tcPr>
          <w:p>
            <w:r>
              <w:t>Cover, headers/footers</w:t>
            </w:r>
          </w:p>
        </w:tc>
      </w:tr>
      <w:tr>
        <w:tc>
          <w:tcPr>
            <w:tcW w:type="dxa" w:w="3120"/>
          </w:tcPr>
          <w:p>
            <w:r>
              <w:t>Conflict of Interest disclosure (CMS COI clause AUG 2024)</w:t>
            </w:r>
          </w:p>
        </w:tc>
        <w:tc>
          <w:tcPr>
            <w:tcW w:type="dxa" w:w="3120"/>
          </w:tcPr>
          <w:p>
            <w:r>
              <w:t>Att. 2 §Volume III; Solicitation Conflict of Interest clause</w:t>
            </w:r>
          </w:p>
        </w:tc>
        <w:tc>
          <w:tcPr>
            <w:tcW w:type="dxa" w:w="3120"/>
          </w:tcPr>
          <w:p>
            <w:r>
              <w:t>Volume III: Conflict of Interest</w:t>
            </w:r>
          </w:p>
        </w:tc>
      </w:tr>
      <w:tr>
        <w:tc>
          <w:tcPr>
            <w:tcW w:type="dxa" w:w="3120"/>
          </w:tcPr>
          <w:p>
            <w:r>
              <w:t>Section 508 Accessibility Compliance (Attachment 4 checklist)</w:t>
            </w:r>
          </w:p>
        </w:tc>
        <w:tc>
          <w:tcPr>
            <w:tcW w:type="dxa" w:w="3120"/>
          </w:tcPr>
          <w:p>
            <w:r>
              <w:t>Att. 2 §Volume IV; Section 508 of the Rehabilitation Act</w:t>
            </w:r>
          </w:p>
        </w:tc>
        <w:tc>
          <w:tcPr>
            <w:tcW w:type="dxa" w:w="3120"/>
          </w:tcPr>
          <w:p>
            <w:r>
              <w:t>Volume IV: Section 508 Compliance</w:t>
            </w:r>
          </w:p>
        </w:tc>
      </w:tr>
      <w:tr>
        <w:tc>
          <w:tcPr>
            <w:tcW w:type="dxa" w:w="3120"/>
          </w:tcPr>
          <w:p>
            <w:r>
              <w:t>FedRAMP / HHS-OCIO Information Security &amp; Privacy</w:t>
            </w:r>
          </w:p>
        </w:tc>
        <w:tc>
          <w:tcPr>
            <w:tcW w:type="dxa" w:w="3120"/>
          </w:tcPr>
          <w:p>
            <w:r>
              <w:t>SOW §6 (Security &amp; Privacy); FedRAMP; HHS IS2P; CMS IS2P2</w:t>
            </w:r>
          </w:p>
        </w:tc>
        <w:tc>
          <w:tcPr>
            <w:tcW w:type="dxa" w:w="3120"/>
          </w:tcPr>
          <w:p>
            <w:r>
              <w:t>Sections 1.2.7, 2.2; Risk Register R3, R9</w:t>
            </w:r>
          </w:p>
        </w:tc>
      </w:tr>
      <w:tr>
        <w:tc>
          <w:tcPr>
            <w:tcW w:type="dxa" w:w="3120"/>
          </w:tcPr>
          <w:p>
            <w:r>
              <w:t>Privacy Act SORN 09-70-0560 Compliance</w:t>
            </w:r>
          </w:p>
        </w:tc>
        <w:tc>
          <w:tcPr>
            <w:tcW w:type="dxa" w:w="3120"/>
          </w:tcPr>
          <w:p>
            <w:r>
              <w:t>SOW §6.2</w:t>
            </w:r>
          </w:p>
        </w:tc>
        <w:tc>
          <w:tcPr>
            <w:tcW w:type="dxa" w:w="3120"/>
          </w:tcPr>
          <w:p>
            <w:r>
              <w:t>Sections 1.2.7, 2.2; Volume III</w:t>
            </w:r>
          </w:p>
        </w:tc>
      </w:tr>
    </w:tbl>
    <w:sectPr w:rsidR="00024A9E" w:rsidSect="000B1BCE">
      <w:pgSz w:w="12240" w:h="15840" w:code="1"/>
      <w:pgMar w:top="1440" w:right="1440" w:bottom="1440" w:left="1440" w:header="720" w:footer="576"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ibbetts, William" w:date="2026-04-27T06:59:00Z" w:initials="TW">
    <w:p w14:paraId="1B25A828" w14:textId="0F394A51" w:rsidR="007D7DF3" w:rsidRDefault="007D7DF3">
      <w:pPr>
        <w:pStyle w:val="CommentText"/>
      </w:pPr>
      <w:r>
        <w:rPr>
          <w:rStyle w:val="CommentReference"/>
        </w:rPr>
        <w:annotationRef/>
      </w:r>
      <w:r w:rsidRPr="6F268D8F">
        <w:t>The cover page isn't technically scored, but we can use this space better. Maybe introduce our team and our win themes?</w:t>
      </w:r>
    </w:p>
  </w:comment>
  <w:comment w:id="2" w:author="Tibbetts, William" w:date="2026-04-27T08:08:00Z" w:initials="TW">
    <w:p w14:paraId="7583337B" w14:textId="72635912" w:rsidR="009A07ED" w:rsidRDefault="009A07ED">
      <w:pPr>
        <w:pStyle w:val="CommentText"/>
      </w:pPr>
      <w:r>
        <w:rPr>
          <w:rStyle w:val="CommentReference"/>
        </w:rPr>
        <w:annotationRef/>
      </w:r>
      <w:r w:rsidRPr="688B404D">
        <w:t>overall, there is some good content in here, we should think about re-outlining to make sure we are responsive to the RFP and re-map the content</w:t>
      </w:r>
    </w:p>
  </w:comment>
  <w:comment w:id="3" w:author="Bhatnagar, Abhas" w:date="2026-04-23T22:10:00Z" w:initials="AB">
    <w:p w14:paraId="3F64D291" w14:textId="77777777" w:rsidR="00801E03" w:rsidRDefault="00486D0C" w:rsidP="00801E03">
      <w:pPr>
        <w:pStyle w:val="CommentText"/>
      </w:pPr>
      <w:r>
        <w:rPr>
          <w:rStyle w:val="CommentReference"/>
        </w:rPr>
        <w:annotationRef/>
      </w:r>
      <w:r w:rsidR="00801E03">
        <w:rPr>
          <w:b/>
          <w:bCs/>
        </w:rPr>
        <w:t xml:space="preserve">Attachment 2 - </w:t>
      </w:r>
      <w:r w:rsidR="00801E03">
        <w:rPr>
          <w:b/>
          <w:bCs/>
          <w:color w:val="000000"/>
        </w:rPr>
        <w:t xml:space="preserve">VOLUME I: TECHNICAL QUOTE INSTRUCTIONS </w:t>
      </w:r>
      <w:r w:rsidR="00801E03">
        <w:rPr>
          <w:b/>
          <w:bCs/>
        </w:rPr>
        <w:t>, Pg 3</w:t>
      </w:r>
      <w:r w:rsidR="00801E03">
        <w:br/>
      </w:r>
      <w:r w:rsidR="00801E03">
        <w:br/>
      </w:r>
      <w:r w:rsidR="00801E03">
        <w:rPr>
          <w:color w:val="000000"/>
        </w:rPr>
        <w:t xml:space="preserve">The written technical quote </w:t>
      </w:r>
      <w:r w:rsidR="00801E03">
        <w:rPr>
          <w:b/>
          <w:bCs/>
          <w:color w:val="000000"/>
        </w:rPr>
        <w:t>shall</w:t>
      </w:r>
      <w:r w:rsidR="00801E03">
        <w:rPr>
          <w:color w:val="000000"/>
        </w:rPr>
        <w:t xml:space="preserve"> describe the Offeror’s approach to meeting the requirements of the Statement of Work (SOW). </w:t>
      </w:r>
      <w:r w:rsidR="00801E03">
        <w:rPr>
          <w:color w:val="323232"/>
        </w:rPr>
        <w:t xml:space="preserve">The contractor </w:t>
      </w:r>
      <w:r w:rsidR="00801E03">
        <w:rPr>
          <w:b/>
          <w:bCs/>
          <w:color w:val="323232"/>
        </w:rPr>
        <w:t>shall</w:t>
      </w:r>
      <w:r w:rsidR="00801E03">
        <w:rPr>
          <w:color w:val="323232"/>
        </w:rPr>
        <w:t xml:space="preserve"> provide a clear and concise presentation of the proposed technical approach. The presentation </w:t>
      </w:r>
      <w:r w:rsidR="00801E03">
        <w:rPr>
          <w:b/>
          <w:bCs/>
          <w:color w:val="323232"/>
        </w:rPr>
        <w:t>shall</w:t>
      </w:r>
      <w:r w:rsidR="00801E03">
        <w:rPr>
          <w:color w:val="323232"/>
        </w:rPr>
        <w:t xml:space="preserve"> be complete and cover all aspects of the scope of work. The contractor </w:t>
      </w:r>
      <w:r w:rsidR="00801E03">
        <w:rPr>
          <w:b/>
          <w:bCs/>
          <w:color w:val="323232"/>
        </w:rPr>
        <w:t>shall</w:t>
      </w:r>
      <w:r w:rsidR="00801E03">
        <w:rPr>
          <w:color w:val="323232"/>
        </w:rPr>
        <w:t xml:space="preserve"> provide sufficient detail in the quote to demonstrate technical understanding and capabilities of performing the requirements of the SOW. A contractor’s response that simply repeats the requirements or states </w:t>
      </w:r>
      <w:r w:rsidR="00801E03">
        <w:rPr>
          <w:b/>
          <w:bCs/>
          <w:color w:val="323232"/>
        </w:rPr>
        <w:t>“we will conform to the requirements as stated” or language to that effect, is not acceptable</w:t>
      </w:r>
      <w:r w:rsidR="00801E03">
        <w:rPr>
          <w:color w:val="323232"/>
        </w:rPr>
        <w:t xml:space="preserve"> and will be considered non-responsive. </w:t>
      </w:r>
      <w:r w:rsidR="00801E03">
        <w:rPr>
          <w:color w:val="323232"/>
        </w:rPr>
        <w:br/>
      </w:r>
      <w:r w:rsidR="00801E03">
        <w:rPr>
          <w:color w:val="323232"/>
        </w:rPr>
        <w:br/>
      </w:r>
      <w:r w:rsidR="00801E03">
        <w:rPr>
          <w:b/>
          <w:bCs/>
          <w:color w:val="000000"/>
        </w:rPr>
        <w:t>Attachment 2 - VOLUME I: Technical Quote Evaluation, Pg 20</w:t>
      </w:r>
    </w:p>
    <w:p w14:paraId="19EEDEBE" w14:textId="77777777" w:rsidR="00801E03" w:rsidRDefault="00801E03" w:rsidP="00801E03">
      <w:pPr>
        <w:pStyle w:val="CommentText"/>
      </w:pPr>
    </w:p>
    <w:p w14:paraId="7BE3DF3C" w14:textId="77777777" w:rsidR="00801E03" w:rsidRDefault="00801E03" w:rsidP="00801E03">
      <w:pPr>
        <w:pStyle w:val="CommentText"/>
      </w:pPr>
      <w:r>
        <w:rPr>
          <w:color w:val="000000"/>
        </w:rPr>
        <w:t xml:space="preserve">For Technical Evaluation Factors 1 through 4 (see table below) the Offeror’s technical quote </w:t>
      </w:r>
      <w:r>
        <w:rPr>
          <w:b/>
          <w:bCs/>
          <w:color w:val="000000"/>
        </w:rPr>
        <w:t>will</w:t>
      </w:r>
      <w:r>
        <w:rPr>
          <w:color w:val="000000"/>
        </w:rPr>
        <w:t xml:space="preserve"> be evaluated for the level of confidence it provides CMS in the Offeror’s </w:t>
      </w:r>
      <w:r>
        <w:rPr>
          <w:b/>
          <w:bCs/>
          <w:color w:val="000000"/>
        </w:rPr>
        <w:t>ability to successfully perform the requirements</w:t>
      </w:r>
      <w:r>
        <w:rPr>
          <w:color w:val="000000"/>
        </w:rPr>
        <w:t xml:space="preserve"> in the SOW. </w:t>
      </w:r>
    </w:p>
    <w:p w14:paraId="6FF7F42F" w14:textId="77777777" w:rsidR="00801E03" w:rsidRDefault="00801E03" w:rsidP="00801E03">
      <w:pPr>
        <w:pStyle w:val="CommentText"/>
      </w:pPr>
      <w:r>
        <w:rPr>
          <w:color w:val="000000"/>
        </w:rPr>
        <w:t xml:space="preserve">The non-price evaluation factors (Technical Evaluation Factors) are listed below and are </w:t>
      </w:r>
      <w:r>
        <w:rPr>
          <w:b/>
          <w:bCs/>
          <w:color w:val="000000"/>
        </w:rPr>
        <w:t xml:space="preserve">in the descending order of importance. </w:t>
      </w:r>
      <w:r>
        <w:rPr>
          <w:b/>
          <w:bCs/>
          <w:color w:val="000000"/>
        </w:rPr>
        <w:br/>
      </w:r>
      <w:r>
        <w:rPr>
          <w:b/>
          <w:bCs/>
          <w:color w:val="000000"/>
        </w:rPr>
        <w:br/>
      </w:r>
    </w:p>
    <w:p w14:paraId="165FA4CA" w14:textId="77777777" w:rsidR="00801E03" w:rsidRDefault="00801E03" w:rsidP="00801E03">
      <w:pPr>
        <w:pStyle w:val="CommentText"/>
      </w:pPr>
      <w:r>
        <w:rPr>
          <w:color w:val="000000"/>
        </w:rPr>
        <w:t xml:space="preserve">Evaluation Factor 1: Technical Understanding and Approach </w:t>
      </w:r>
    </w:p>
    <w:p w14:paraId="6E419AA5" w14:textId="77777777" w:rsidR="00801E03" w:rsidRDefault="00801E03" w:rsidP="00801E03">
      <w:pPr>
        <w:pStyle w:val="CommentText"/>
      </w:pPr>
      <w:r>
        <w:rPr>
          <w:color w:val="000000"/>
        </w:rPr>
        <w:t xml:space="preserve">Evaluation Factor 2: Management Approach, Quality Assurance and Staffing Plan </w:t>
      </w:r>
    </w:p>
    <w:p w14:paraId="65D68DCC" w14:textId="77777777" w:rsidR="00801E03" w:rsidRDefault="00801E03" w:rsidP="00801E03">
      <w:pPr>
        <w:pStyle w:val="CommentText"/>
      </w:pPr>
      <w:r>
        <w:rPr>
          <w:color w:val="000000"/>
        </w:rPr>
        <w:t xml:space="preserve">Evaluation Factor 3: Key Personnel Qualifications and Corporate Experience </w:t>
      </w:r>
    </w:p>
    <w:p w14:paraId="730AADA3" w14:textId="77777777" w:rsidR="00801E03" w:rsidRDefault="00801E03" w:rsidP="00801E03">
      <w:pPr>
        <w:pStyle w:val="CommentText"/>
      </w:pPr>
      <w:r>
        <w:rPr>
          <w:color w:val="000000"/>
        </w:rPr>
        <w:t>Evaluation Factor 4: Utilization of Small Business (Evaluated, but not rated)</w:t>
      </w:r>
    </w:p>
    <w:p w14:paraId="7BB440F2" w14:textId="77777777" w:rsidR="00801E03" w:rsidRDefault="00801E03" w:rsidP="00801E03">
      <w:pPr>
        <w:pStyle w:val="CommentText"/>
      </w:pPr>
    </w:p>
    <w:p w14:paraId="4D2C7222" w14:textId="77777777" w:rsidR="00801E03" w:rsidRDefault="00801E03" w:rsidP="00801E03">
      <w:pPr>
        <w:pStyle w:val="CommentText"/>
      </w:pPr>
      <w:r>
        <w:rPr>
          <w:b/>
          <w:bCs/>
        </w:rPr>
        <w:t xml:space="preserve">Attachment 2 - </w:t>
      </w:r>
      <w:r>
        <w:rPr>
          <w:b/>
          <w:bCs/>
          <w:color w:val="000000"/>
        </w:rPr>
        <w:t xml:space="preserve">VOLUME I, Section 1: Technical Understanding and Approach, Pg 4 </w:t>
      </w:r>
    </w:p>
    <w:p w14:paraId="3D2363AF" w14:textId="77777777" w:rsidR="00801E03" w:rsidRDefault="00801E03" w:rsidP="00801E03">
      <w:pPr>
        <w:pStyle w:val="CommentText"/>
      </w:pPr>
      <w:r>
        <w:rPr>
          <w:color w:val="000000"/>
        </w:rPr>
        <w:t xml:space="preserve">This section of the written technical quote </w:t>
      </w:r>
      <w:r>
        <w:rPr>
          <w:b/>
          <w:bCs/>
          <w:color w:val="000000"/>
        </w:rPr>
        <w:t>shall</w:t>
      </w:r>
      <w:r>
        <w:rPr>
          <w:color w:val="000000"/>
        </w:rPr>
        <w:t xml:space="preserve"> demonstrate the Offeror’s understanding of the SOW’s requirements, as well as the </w:t>
      </w:r>
      <w:r>
        <w:rPr>
          <w:b/>
          <w:bCs/>
          <w:color w:val="000000"/>
        </w:rPr>
        <w:t>soundness</w:t>
      </w:r>
      <w:r>
        <w:rPr>
          <w:color w:val="000000"/>
        </w:rPr>
        <w:t xml:space="preserve"> and </w:t>
      </w:r>
      <w:r>
        <w:rPr>
          <w:b/>
          <w:bCs/>
          <w:color w:val="000000"/>
        </w:rPr>
        <w:t>feasibility</w:t>
      </w:r>
      <w:r>
        <w:rPr>
          <w:color w:val="000000"/>
        </w:rPr>
        <w:t xml:space="preserve"> of delivering the proposed product(s) and/or service(s) within the operational constraints of the CMS environment. </w:t>
      </w:r>
    </w:p>
    <w:p w14:paraId="11B4088B" w14:textId="77777777" w:rsidR="00801E03" w:rsidRDefault="00801E03" w:rsidP="00801E03">
      <w:pPr>
        <w:pStyle w:val="CommentText"/>
      </w:pPr>
    </w:p>
    <w:p w14:paraId="42B8796A" w14:textId="77777777" w:rsidR="00801E03" w:rsidRDefault="00801E03" w:rsidP="00801E03">
      <w:pPr>
        <w:pStyle w:val="CommentText"/>
      </w:pPr>
      <w:r>
        <w:rPr>
          <w:b/>
          <w:bCs/>
          <w:color w:val="000000"/>
        </w:rPr>
        <w:t xml:space="preserve">Attachment 2 - VOLUME I: Technical Evaluation Factor 1 - Technical Understanding and Approach, Pg 21 </w:t>
      </w:r>
    </w:p>
    <w:p w14:paraId="3A16A4D6" w14:textId="77777777" w:rsidR="00801E03" w:rsidRDefault="00801E03" w:rsidP="00801E03">
      <w:pPr>
        <w:pStyle w:val="CommentText"/>
      </w:pPr>
      <w:r>
        <w:rPr>
          <w:color w:val="000000"/>
        </w:rPr>
        <w:t xml:space="preserve">The Government </w:t>
      </w:r>
      <w:r>
        <w:rPr>
          <w:b/>
          <w:bCs/>
          <w:color w:val="000000"/>
        </w:rPr>
        <w:t>will</w:t>
      </w:r>
      <w:r>
        <w:rPr>
          <w:color w:val="000000"/>
        </w:rPr>
        <w:t xml:space="preserve"> evaluate the Offeror’s understanding of the requirements and proposed technical approach relative to the Offeror’s technical ability to perform the requirements set forth in the SOW. Technical Approach </w:t>
      </w:r>
      <w:r>
        <w:rPr>
          <w:b/>
          <w:bCs/>
          <w:color w:val="000000"/>
        </w:rPr>
        <w:t>will</w:t>
      </w:r>
      <w:r>
        <w:rPr>
          <w:color w:val="000000"/>
        </w:rPr>
        <w:t xml:space="preserve"> be evaluated to determine the extent to which the Offeror demonstrates a comprehensive, sound, efficient, and reasonable approach to performing all contract requirements and tasks (except for Task 1: Program Implementation and Oversight, Task 11: Transition-Out (Optional) and Task 12: Transition-In (Optional). The Government will evaluate proposed methods, processes, and tools to assess the feasibility, completeness, and effectiveness of the proposed approach. The evaluation </w:t>
      </w:r>
      <w:r>
        <w:rPr>
          <w:b/>
          <w:bCs/>
          <w:color w:val="000000"/>
        </w:rPr>
        <w:t>will</w:t>
      </w:r>
      <w:r>
        <w:rPr>
          <w:color w:val="000000"/>
        </w:rPr>
        <w:t xml:space="preserve"> focus on the following elements: </w:t>
      </w:r>
    </w:p>
    <w:p w14:paraId="11BE6A9B" w14:textId="77777777" w:rsidR="00801E03" w:rsidRDefault="00801E03" w:rsidP="00801E03">
      <w:pPr>
        <w:pStyle w:val="CommentText"/>
      </w:pPr>
      <w:r>
        <w:rPr>
          <w:color w:val="000000"/>
        </w:rPr>
        <w:t xml:space="preserve">1. Sub-Factor 1A: Understanding of CMS’ Program and Acquisition Objectives </w:t>
      </w:r>
    </w:p>
    <w:p w14:paraId="510C6D03" w14:textId="77777777" w:rsidR="00801E03" w:rsidRDefault="00801E03" w:rsidP="00801E03">
      <w:pPr>
        <w:pStyle w:val="CommentText"/>
      </w:pPr>
      <w:r>
        <w:rPr>
          <w:color w:val="000000"/>
        </w:rPr>
        <w:t xml:space="preserve">2. Sub-Factor 1B: Approach to Performing Requirements Identified in the SOW </w:t>
      </w:r>
    </w:p>
    <w:p w14:paraId="467C6C46" w14:textId="77777777" w:rsidR="00801E03" w:rsidRDefault="00801E03" w:rsidP="00801E03">
      <w:pPr>
        <w:pStyle w:val="CommentText"/>
      </w:pPr>
      <w:r>
        <w:rPr>
          <w:color w:val="000000"/>
        </w:rPr>
        <w:t xml:space="preserve">3. Sub-Factor 1C: Understanding and Mitigation of Risks </w:t>
      </w:r>
    </w:p>
  </w:comment>
  <w:comment w:id="4" w:author="Bowman, Kelly" w:date="2026-04-27T08:03:00Z" w:initials="KB">
    <w:p w14:paraId="112FAD1D" w14:textId="77777777" w:rsidR="00577FD6" w:rsidRDefault="00577FD6" w:rsidP="00577FD6">
      <w:pPr>
        <w:pStyle w:val="CommentText"/>
      </w:pPr>
      <w:r>
        <w:rPr>
          <w:rStyle w:val="CommentReference"/>
        </w:rPr>
        <w:annotationRef/>
      </w:r>
      <w:r>
        <w:t xml:space="preserve">Isn’t sections 1, 2, and 3 combined 40 pages? </w:t>
      </w:r>
    </w:p>
  </w:comment>
  <w:comment w:id="5" w:author="Bowman, Kelly" w:date="2026-04-27T07:58:00Z" w:initials="KB">
    <w:p w14:paraId="0690FA56" w14:textId="77777777" w:rsidR="00AC5460" w:rsidRDefault="00AC5460" w:rsidP="00AC5460">
      <w:pPr>
        <w:pStyle w:val="CommentText"/>
      </w:pPr>
      <w:r>
        <w:rPr>
          <w:rStyle w:val="CommentReference"/>
        </w:rPr>
        <w:annotationRef/>
      </w:r>
      <w:r>
        <w:rPr>
          <w:b/>
          <w:bCs/>
          <w:color w:val="000000"/>
        </w:rPr>
        <w:t>EVAL CRITERIA BOILED DOWN:</w:t>
      </w:r>
    </w:p>
    <w:p w14:paraId="02E059A9" w14:textId="77777777" w:rsidR="00AC5460" w:rsidRDefault="00AC5460" w:rsidP="00AC5460">
      <w:pPr>
        <w:pStyle w:val="CommentText"/>
      </w:pPr>
      <w:r>
        <w:rPr>
          <w:b/>
          <w:bCs/>
          <w:color w:val="000000"/>
        </w:rPr>
        <w:t>“</w:t>
      </w:r>
      <w:r>
        <w:rPr>
          <w:color w:val="000000"/>
        </w:rPr>
        <w:t xml:space="preserve">comprehensive, sound, efficient, and reasonable approach” </w:t>
      </w:r>
    </w:p>
    <w:p w14:paraId="7C91B162" w14:textId="77777777" w:rsidR="00AC5460" w:rsidRDefault="00AC5460" w:rsidP="00AC5460">
      <w:pPr>
        <w:pStyle w:val="CommentText"/>
      </w:pPr>
      <w:r>
        <w:rPr>
          <w:color w:val="000000"/>
        </w:rPr>
        <w:t xml:space="preserve">“feasibility, completeness, and effectiveness” of “methods, processes, and tools” </w:t>
      </w:r>
    </w:p>
  </w:comment>
  <w:comment w:id="7" w:author="Jain, Rajat" w:date="2026-04-23T22:24:00Z" w:initials="RJ">
    <w:p w14:paraId="04051B1A" w14:textId="77777777" w:rsidR="005A229D" w:rsidRDefault="005A229D" w:rsidP="005A229D">
      <w:pPr>
        <w:pStyle w:val="CommentText"/>
      </w:pPr>
      <w:r>
        <w:rPr>
          <w:rStyle w:val="CommentReference"/>
        </w:rPr>
        <w:annotationRef/>
      </w:r>
      <w:r>
        <w:rPr>
          <w:b/>
          <w:bCs/>
        </w:rPr>
        <w:t xml:space="preserve">Attachment 2 - </w:t>
      </w:r>
      <w:r>
        <w:rPr>
          <w:b/>
          <w:bCs/>
          <w:color w:val="000000"/>
        </w:rPr>
        <w:t xml:space="preserve">VOLUME I: Sub-Section 1A: Understanding of CMS’ Program and Acquisition Objectives </w:t>
      </w:r>
      <w:r>
        <w:rPr>
          <w:b/>
          <w:bCs/>
        </w:rPr>
        <w:t>, Pg 4</w:t>
      </w:r>
    </w:p>
    <w:p w14:paraId="52ED7868" w14:textId="77777777" w:rsidR="005A229D" w:rsidRDefault="005A229D" w:rsidP="005A229D">
      <w:pPr>
        <w:pStyle w:val="CommentText"/>
      </w:pPr>
    </w:p>
    <w:p w14:paraId="7B30FDF4" w14:textId="77777777" w:rsidR="005A229D" w:rsidRDefault="005A229D" w:rsidP="005A229D">
      <w:pPr>
        <w:pStyle w:val="CommentText"/>
      </w:pPr>
      <w:r>
        <w:rPr>
          <w:color w:val="000000"/>
        </w:rPr>
        <w:t xml:space="preserve">Offerors </w:t>
      </w:r>
      <w:r>
        <w:rPr>
          <w:b/>
          <w:bCs/>
          <w:color w:val="000000"/>
        </w:rPr>
        <w:t xml:space="preserve">shall </w:t>
      </w:r>
      <w:r>
        <w:rPr>
          <w:color w:val="000000"/>
        </w:rPr>
        <w:t xml:space="preserve">provide a narrative showing understanding of the background, vision, task order objectives, and desired program and task order outcomes for the Enrollment Resolution &amp; Reconciliation, Form 1095-A Data Reporting (ER&amp;R). </w:t>
      </w:r>
    </w:p>
    <w:p w14:paraId="218B611E" w14:textId="77777777" w:rsidR="005A229D" w:rsidRDefault="005A229D" w:rsidP="005A229D">
      <w:pPr>
        <w:pStyle w:val="CommentText"/>
      </w:pPr>
    </w:p>
    <w:p w14:paraId="7B198FE4" w14:textId="77777777" w:rsidR="005A229D" w:rsidRDefault="005A229D" w:rsidP="005A229D">
      <w:pPr>
        <w:pStyle w:val="CommentText"/>
      </w:pPr>
      <w:r>
        <w:rPr>
          <w:b/>
          <w:bCs/>
          <w:color w:val="000000"/>
        </w:rPr>
        <w:t>Attachment 2 - VOLUME I:Technical Evaluation Factor 1, Pg 21</w:t>
      </w:r>
    </w:p>
    <w:p w14:paraId="1EB20F6C" w14:textId="77777777" w:rsidR="005A229D" w:rsidRDefault="005A229D" w:rsidP="005A229D">
      <w:pPr>
        <w:pStyle w:val="CommentText"/>
      </w:pPr>
    </w:p>
    <w:p w14:paraId="300663CC" w14:textId="77777777" w:rsidR="005A229D" w:rsidRDefault="005A229D" w:rsidP="005A229D">
      <w:pPr>
        <w:pStyle w:val="CommentText"/>
      </w:pPr>
      <w:r>
        <w:rPr>
          <w:color w:val="000000"/>
        </w:rPr>
        <w:t xml:space="preserve">The evaluation </w:t>
      </w:r>
      <w:r>
        <w:rPr>
          <w:b/>
          <w:bCs/>
          <w:color w:val="000000"/>
        </w:rPr>
        <w:t>will</w:t>
      </w:r>
      <w:r>
        <w:rPr>
          <w:color w:val="000000"/>
        </w:rPr>
        <w:t xml:space="preserve"> focus on the following elements: Understanding of CMS’ Program and Acquisition Objectives </w:t>
      </w:r>
    </w:p>
    <w:p w14:paraId="002F607B" w14:textId="77777777" w:rsidR="005A229D" w:rsidRDefault="005A229D" w:rsidP="005A229D">
      <w:pPr>
        <w:pStyle w:val="CommentText"/>
      </w:pPr>
    </w:p>
    <w:p w14:paraId="3494FA38" w14:textId="77777777" w:rsidR="005A229D" w:rsidRDefault="005A229D" w:rsidP="005A229D">
      <w:pPr>
        <w:pStyle w:val="CommentText"/>
      </w:pPr>
    </w:p>
    <w:p w14:paraId="524FFE47" w14:textId="77777777" w:rsidR="005A229D" w:rsidRDefault="005A229D" w:rsidP="005A229D">
      <w:pPr>
        <w:pStyle w:val="CommentText"/>
      </w:pPr>
    </w:p>
    <w:p w14:paraId="47B5D933" w14:textId="77777777" w:rsidR="005A229D" w:rsidRDefault="005A229D" w:rsidP="005A229D">
      <w:pPr>
        <w:pStyle w:val="CommentText"/>
      </w:pPr>
    </w:p>
  </w:comment>
  <w:comment w:id="8" w:author="Tibbetts, William" w:date="2026-04-27T07:03:00Z" w:initials="TW">
    <w:p w14:paraId="0F40F631" w14:textId="706D80C3" w:rsidR="007D7DF3" w:rsidRDefault="007D7DF3">
      <w:pPr>
        <w:pStyle w:val="CommentText"/>
      </w:pPr>
      <w:r>
        <w:rPr>
          <w:rStyle w:val="CommentReference"/>
        </w:rPr>
        <w:annotationRef/>
      </w:r>
      <w:r w:rsidRPr="53FB7D36">
        <w:t xml:space="preserve">I'm thinking we need a paragraph introduction that covers our team and high level win themes and notes the importance of this work and then we get into a more detailed understanding section that shows that we understand the background, vision, task order objectives from the SOO and map them to outcomes/differentiators </w:t>
      </w:r>
    </w:p>
  </w:comment>
  <w:comment w:id="9" w:author="Tibbetts, William" w:date="2026-04-27T06:39:00Z" w:initials="TW">
    <w:p w14:paraId="57CB2C08" w14:textId="6849F3F6" w:rsidR="00A92553" w:rsidRDefault="00A92553">
      <w:pPr>
        <w:pStyle w:val="CommentText"/>
      </w:pPr>
      <w:r>
        <w:rPr>
          <w:rStyle w:val="CommentReference"/>
        </w:rPr>
        <w:annotationRef/>
      </w:r>
      <w:r w:rsidRPr="671B5ED1">
        <w:t>We need to introduce our team (subs) at some point</w:t>
      </w:r>
    </w:p>
  </w:comment>
  <w:comment w:id="10" w:author="Tibbetts, William" w:date="2026-04-27T06:42:00Z" w:initials="TW">
    <w:p w14:paraId="28824E59" w14:textId="4BBB8743" w:rsidR="007D7DF3" w:rsidRDefault="007D7DF3">
      <w:pPr>
        <w:pStyle w:val="CommentText"/>
      </w:pPr>
      <w:r>
        <w:rPr>
          <w:rStyle w:val="CommentReference"/>
        </w:rPr>
        <w:annotationRef/>
      </w:r>
      <w:r w:rsidRPr="7695B6B3">
        <w:t xml:space="preserve">I think its a little early to dive into FWA and would suggest moving the purple text down or get rid of it. It's a win theme for us, but not the primary thing on CCIIO's mind </w:t>
      </w:r>
    </w:p>
  </w:comment>
  <w:comment w:id="13" w:author="Tibbetts, William" w:date="2026-04-27T06:45:00Z" w:initials="TW">
    <w:p w14:paraId="5BB95CCE" w14:textId="3CD94FB7" w:rsidR="007D7DF3" w:rsidRDefault="007D7DF3">
      <w:pPr>
        <w:pStyle w:val="CommentText"/>
      </w:pPr>
      <w:r>
        <w:rPr>
          <w:rStyle w:val="CommentReference"/>
        </w:rPr>
        <w:annotationRef/>
      </w:r>
      <w:r w:rsidRPr="1723C197">
        <w:t>Do we want to add a FWA win theme here?</w:t>
      </w:r>
    </w:p>
  </w:comment>
  <w:comment w:id="14" w:author="Bowman, Kelly" w:date="2026-04-27T08:17:00Z" w:initials="KB">
    <w:p w14:paraId="2A1D3191" w14:textId="77777777" w:rsidR="00CA3896" w:rsidRDefault="00CA3896" w:rsidP="00CA3896">
      <w:pPr>
        <w:pStyle w:val="CommentText"/>
      </w:pPr>
      <w:r>
        <w:rPr>
          <w:rStyle w:val="CommentReference"/>
        </w:rPr>
        <w:annotationRef/>
      </w:r>
      <w:r>
        <w:t>The consumer should come first - re-order so the consumer is at the top of this list</w:t>
      </w:r>
    </w:p>
  </w:comment>
  <w:comment w:id="19" w:author="Jain, Rajat" w:date="2026-04-23T22:28:00Z" w:initials="RJ">
    <w:p w14:paraId="327BBEE1" w14:textId="77777777" w:rsidR="008A2E01" w:rsidRDefault="008A2E01" w:rsidP="008A2E01">
      <w:pPr>
        <w:pStyle w:val="CommentText"/>
      </w:pPr>
      <w:r>
        <w:rPr>
          <w:rStyle w:val="CommentReference"/>
        </w:rPr>
        <w:annotationRef/>
      </w:r>
      <w:r>
        <w:rPr>
          <w:b/>
          <w:bCs/>
        </w:rPr>
        <w:t xml:space="preserve">Attachment 2 - </w:t>
      </w:r>
      <w:r>
        <w:rPr>
          <w:b/>
          <w:bCs/>
          <w:color w:val="000000"/>
        </w:rPr>
        <w:t xml:space="preserve">VOLUME I: Sub-Section 1B: Approach to Performing the Requirements Identified in the SOW </w:t>
      </w:r>
      <w:r>
        <w:rPr>
          <w:b/>
          <w:bCs/>
        </w:rPr>
        <w:t>, Pg 4</w:t>
      </w:r>
    </w:p>
    <w:p w14:paraId="50568AC2" w14:textId="77777777" w:rsidR="008A2E01" w:rsidRDefault="008A2E01" w:rsidP="008A2E01">
      <w:pPr>
        <w:pStyle w:val="CommentText"/>
      </w:pPr>
    </w:p>
    <w:p w14:paraId="2316228C" w14:textId="77777777" w:rsidR="008A2E01" w:rsidRDefault="008A2E01" w:rsidP="008A2E01">
      <w:pPr>
        <w:pStyle w:val="CommentText"/>
      </w:pPr>
      <w:r>
        <w:rPr>
          <w:color w:val="000000"/>
        </w:rPr>
        <w:t>Offerors shall provide a narrative of their technical approach for meeting all of the requirements and tasks identified in the SOW (except for Task 1: Program Implementation and Oversight, Task 11: Transition-Out (Optional) and Task 12: Transition-In (Optional). The approach for Task 1, Task 11, and Task 12 should be covered under Sub-Section 2A: Management Approach). While adhering to CMS’ broad goals and requirements, Offerors are encouraged to propose innovative and efficient solutions to meet the ER&amp;R goals and objectives. The approach should be detailed, complete, and consistent. Offerors are encouraged to provide clear, succinct process flow diagrams, tables, charts, and other visual aids to demonstrate their proposed processes and techniques. A narrative of the Offeror’s technical approach shall address each of the following tasks (and associated sub-tasks) identified in the SOW: Task 2-10</w:t>
      </w:r>
    </w:p>
    <w:p w14:paraId="2338282F" w14:textId="77777777" w:rsidR="008A2E01" w:rsidRDefault="008A2E01" w:rsidP="008A2E01">
      <w:pPr>
        <w:pStyle w:val="CommentText"/>
      </w:pPr>
    </w:p>
    <w:p w14:paraId="3C6A45F3" w14:textId="77777777" w:rsidR="008A2E01" w:rsidRDefault="008A2E01" w:rsidP="008A2E01">
      <w:pPr>
        <w:pStyle w:val="CommentText"/>
      </w:pPr>
      <w:r>
        <w:rPr>
          <w:b/>
          <w:bCs/>
          <w:color w:val="000000"/>
        </w:rPr>
        <w:t>Attachment 2 - VOLUME I:Technical Evaluation Factor 1, Pg 21</w:t>
      </w:r>
    </w:p>
    <w:p w14:paraId="540A61EE" w14:textId="77777777" w:rsidR="008A2E01" w:rsidRDefault="008A2E01" w:rsidP="008A2E01">
      <w:pPr>
        <w:pStyle w:val="CommentText"/>
      </w:pPr>
    </w:p>
    <w:p w14:paraId="2D5BBB75" w14:textId="77777777" w:rsidR="008A2E01" w:rsidRDefault="008A2E01" w:rsidP="008A2E01">
      <w:pPr>
        <w:pStyle w:val="CommentText"/>
      </w:pPr>
      <w:r>
        <w:rPr>
          <w:color w:val="000000"/>
        </w:rPr>
        <w:t xml:space="preserve">The evaluation will focus on the following elements: Approach to Performing Requirements Identified in the SOW </w:t>
      </w:r>
    </w:p>
    <w:p w14:paraId="333342BC" w14:textId="77777777" w:rsidR="008A2E01" w:rsidRDefault="008A2E01" w:rsidP="008A2E01">
      <w:pPr>
        <w:pStyle w:val="CommentText"/>
      </w:pPr>
    </w:p>
    <w:p w14:paraId="5093E7DC" w14:textId="77777777" w:rsidR="008A2E01" w:rsidRDefault="008A2E01" w:rsidP="005B6F6F">
      <w:pPr>
        <w:pStyle w:val="CommentText"/>
      </w:pPr>
    </w:p>
  </w:comment>
  <w:comment w:id="21" w:author="Tibbetts, William" w:date="2026-04-27T07:07:00Z" w:initials="TW">
    <w:p w14:paraId="4C62FDC9" w14:textId="451E0182" w:rsidR="007D7DF3" w:rsidRDefault="007D7DF3">
      <w:pPr>
        <w:pStyle w:val="CommentText"/>
      </w:pPr>
      <w:r>
        <w:rPr>
          <w:rStyle w:val="CommentReference"/>
        </w:rPr>
        <w:annotationRef/>
      </w:r>
      <w:r w:rsidRPr="3E655C0C">
        <w:t>This is pretty transition heavy, I would start with our understanding of the importance of task 2 then get into our proposed methods, processes, tools of our approach to completing the task</w:t>
      </w:r>
    </w:p>
  </w:comment>
  <w:comment w:id="22" w:author="Bowman, Kelly" w:date="2026-04-27T08:00:00Z" w:initials="KB">
    <w:p w14:paraId="18D1D841" w14:textId="77777777" w:rsidR="00601B3C" w:rsidRDefault="00601B3C" w:rsidP="00601B3C">
      <w:pPr>
        <w:pStyle w:val="CommentText"/>
      </w:pPr>
      <w:r>
        <w:rPr>
          <w:rStyle w:val="CommentReference"/>
        </w:rPr>
        <w:annotationRef/>
      </w:r>
      <w:r>
        <w:t>Agree, see note above</w:t>
      </w:r>
    </w:p>
  </w:comment>
  <w:comment w:id="23" w:author="Bowman, Kelly" w:date="2026-04-27T08:24:00Z" w:initials="KB">
    <w:p w14:paraId="69B73DFA" w14:textId="77777777" w:rsidR="002A1669" w:rsidRDefault="002A1669" w:rsidP="002A1669">
      <w:pPr>
        <w:pStyle w:val="CommentText"/>
      </w:pPr>
      <w:r>
        <w:rPr>
          <w:rStyle w:val="CommentReference"/>
        </w:rPr>
        <w:annotationRef/>
      </w:r>
      <w:r>
        <w:t>Some of the writing is in present and some in future tense. Switch everything to present tense</w:t>
      </w:r>
    </w:p>
  </w:comment>
  <w:comment w:id="24" w:author="Bowman, Kelly" w:date="2026-04-27T08:12:00Z" w:initials="KB">
    <w:p w14:paraId="5BD4BE12" w14:textId="77777777" w:rsidR="00136D3E" w:rsidRDefault="00136D3E" w:rsidP="00136D3E">
      <w:pPr>
        <w:pStyle w:val="CommentText"/>
      </w:pPr>
      <w:r>
        <w:rPr>
          <w:rStyle w:val="CommentReference"/>
        </w:rPr>
        <w:annotationRef/>
      </w:r>
      <w:r>
        <w:t>Per instructions - transition in is in sub-section 1B, please move it out of this section</w:t>
      </w:r>
    </w:p>
  </w:comment>
  <w:comment w:id="25" w:author="Tibbetts, William" w:date="2026-04-27T07:08:00Z" w:initials="TW">
    <w:p w14:paraId="514BCAEC" w14:textId="134429A2" w:rsidR="007D7DF3" w:rsidRDefault="007D7DF3">
      <w:pPr>
        <w:pStyle w:val="CommentText"/>
      </w:pPr>
      <w:r>
        <w:rPr>
          <w:rStyle w:val="CommentReference"/>
        </w:rPr>
        <w:annotationRef/>
      </w:r>
      <w:r w:rsidRPr="20E7445A">
        <w:t>We should talk about how to include proprietary tools that we may not have talked to the customer about. This may scare them. It may be better as a callout box that details how we used TruNorth on another government project and how it could apply to ERR</w:t>
      </w:r>
    </w:p>
  </w:comment>
  <w:comment w:id="43" w:author="Jennings, Ben" w:date="2026-04-26T12:32:00Z" w:initials="BJ">
    <w:p w14:paraId="18568756" w14:textId="77777777" w:rsidR="008E092C" w:rsidRDefault="008E092C" w:rsidP="008E092C">
      <w:pPr>
        <w:pStyle w:val="CommentText"/>
      </w:pPr>
      <w:r>
        <w:rPr>
          <w:rStyle w:val="CommentReference"/>
        </w:rPr>
        <w:annotationRef/>
      </w:r>
      <w:r>
        <w:t>Overall Notes:</w:t>
      </w:r>
      <w:r>
        <w:br/>
        <w:t xml:space="preserve"> - Deliverables from writing guide not necessary</w:t>
      </w:r>
    </w:p>
    <w:p w14:paraId="4A92BE91" w14:textId="77777777" w:rsidR="008E092C" w:rsidRDefault="008E092C" w:rsidP="008E092C">
      <w:pPr>
        <w:pStyle w:val="CommentText"/>
      </w:pPr>
      <w:r>
        <w:t xml:space="preserve"> - See if we can cut out things that are just repeating the SOW</w:t>
      </w:r>
    </w:p>
    <w:p w14:paraId="0A07C44F" w14:textId="77777777" w:rsidR="008E092C" w:rsidRDefault="008E092C" w:rsidP="008E092C">
      <w:pPr>
        <w:pStyle w:val="CommentText"/>
      </w:pPr>
      <w:r>
        <w:t xml:space="preserve"> - focus on the people side</w:t>
      </w:r>
    </w:p>
  </w:comment>
  <w:comment w:id="44" w:author="Jennings, Ben" w:date="2026-04-26T14:51:00Z" w:initials="BJ">
    <w:p w14:paraId="26AD2F54" w14:textId="77777777" w:rsidR="0027044E" w:rsidRDefault="0027044E" w:rsidP="0027044E">
      <w:pPr>
        <w:pStyle w:val="CommentText"/>
      </w:pPr>
      <w:r>
        <w:rPr>
          <w:rStyle w:val="CommentReference"/>
        </w:rPr>
        <w:annotationRef/>
      </w:r>
      <w:r>
        <w:t>Review for future tense</w:t>
      </w:r>
    </w:p>
  </w:comment>
  <w:comment w:id="46" w:author="Jennings, Ben" w:date="2026-04-26T12:21:00Z" w:initials="BJ">
    <w:p w14:paraId="5333E8A0" w14:textId="77777777" w:rsidR="00437C78" w:rsidRDefault="00437C78" w:rsidP="00437C78">
      <w:pPr>
        <w:pStyle w:val="CommentText"/>
      </w:pPr>
      <w:r>
        <w:rPr>
          <w:rStyle w:val="CommentReference"/>
        </w:rPr>
        <w:annotationRef/>
      </w:r>
      <w:r>
        <w:t>Awkward, can compress</w:t>
      </w:r>
    </w:p>
  </w:comment>
  <w:comment w:id="45" w:author="Jennings, Ben" w:date="2026-04-26T12:21:00Z" w:initials="BJ">
    <w:p w14:paraId="09702961" w14:textId="77777777" w:rsidR="00437C78" w:rsidRDefault="00437C78" w:rsidP="00437C78">
      <w:pPr>
        <w:pStyle w:val="CommentText"/>
      </w:pPr>
      <w:r>
        <w:rPr>
          <w:rStyle w:val="CommentReference"/>
        </w:rPr>
        <w:annotationRef/>
      </w:r>
      <w:r>
        <w:t>Can combine these</w:t>
      </w:r>
    </w:p>
  </w:comment>
  <w:comment w:id="47" w:author="Jennings, Ben" w:date="2026-04-26T14:06:00Z" w:initials="BJ">
    <w:p w14:paraId="2B97751F" w14:textId="77777777" w:rsidR="00914960" w:rsidRDefault="00914960" w:rsidP="00914960">
      <w:pPr>
        <w:pStyle w:val="CommentText"/>
      </w:pPr>
      <w:r>
        <w:rPr>
          <w:rStyle w:val="CommentReference"/>
        </w:rPr>
        <w:annotationRef/>
      </w:r>
      <w:r>
        <w:t>There’s no longer section numbering like this.</w:t>
      </w:r>
    </w:p>
  </w:comment>
  <w:comment w:id="48" w:author="Jennings, Ben" w:date="2026-04-26T12:31:00Z" w:initials="BJ">
    <w:p w14:paraId="4AC5698B" w14:textId="77777777" w:rsidR="00477000" w:rsidRDefault="00477000" w:rsidP="00477000">
      <w:pPr>
        <w:pStyle w:val="CommentText"/>
      </w:pPr>
      <w:r>
        <w:rPr>
          <w:rStyle w:val="CommentReference"/>
        </w:rPr>
        <w:annotationRef/>
      </w:r>
      <w:r>
        <w:rPr>
          <w:color w:val="212121"/>
          <w:highlight w:val="white"/>
        </w:rPr>
        <w:t>we might have to separate it or rewrite it. There is no much substance about what Deloitte can do in this section.</w:t>
      </w:r>
      <w:r>
        <w:t xml:space="preserve"> </w:t>
      </w:r>
    </w:p>
  </w:comment>
  <w:comment w:id="49" w:author="Jennings, Ben" w:date="2026-04-26T12:26:00Z" w:initials="BJ">
    <w:p w14:paraId="68D8BE2B" w14:textId="333FE10B" w:rsidR="00431364" w:rsidRDefault="00431364" w:rsidP="00431364">
      <w:pPr>
        <w:pStyle w:val="CommentText"/>
      </w:pPr>
      <w:r>
        <w:rPr>
          <w:rStyle w:val="CommentReference"/>
        </w:rPr>
        <w:annotationRef/>
      </w:r>
      <w:r>
        <w:t>Review for repetition</w:t>
      </w:r>
    </w:p>
  </w:comment>
  <w:comment w:id="50" w:author="Noorani, Bilal" w:date="2026-04-26T16:51:00Z" w:initials="BN">
    <w:p w14:paraId="5E8BF986" w14:textId="77777777" w:rsidR="009409F6" w:rsidRDefault="009409F6" w:rsidP="009409F6">
      <w:r>
        <w:rPr>
          <w:rStyle w:val="CommentReference"/>
        </w:rPr>
        <w:annotationRef/>
      </w:r>
      <w:r>
        <w:rPr>
          <w:sz w:val="20"/>
          <w:szCs w:val="20"/>
        </w:rPr>
        <w:t>We may have to remove it given it belongs to the future state.</w:t>
      </w:r>
    </w:p>
  </w:comment>
  <w:comment w:id="51" w:author="Borhan, Zerina" w:date="2026-04-26T23:00:00Z" w:initials="ZB">
    <w:p w14:paraId="2599AF8A" w14:textId="77777777" w:rsidR="009B1E5F" w:rsidRDefault="009B1E5F" w:rsidP="009B1E5F">
      <w:pPr>
        <w:pStyle w:val="CommentText"/>
      </w:pPr>
      <w:r>
        <w:rPr>
          <w:rStyle w:val="CommentReference"/>
        </w:rPr>
        <w:annotationRef/>
      </w:r>
      <w:r>
        <w:t xml:space="preserve">Can add Altered Imagine Model instead? </w:t>
      </w:r>
    </w:p>
  </w:comment>
  <w:comment w:id="53" w:author="Borhan, Zerina" w:date="2026-04-26T23:11:00Z" w:initials="ZB">
    <w:p w14:paraId="07F64CBD" w14:textId="77777777" w:rsidR="00041619" w:rsidRDefault="00041619" w:rsidP="00041619">
      <w:pPr>
        <w:pStyle w:val="CommentText"/>
        <w:numPr>
          <w:ilvl w:val="0"/>
          <w:numId w:val="80"/>
        </w:numPr>
      </w:pPr>
      <w:r>
        <w:rPr>
          <w:rStyle w:val="CommentReference"/>
        </w:rPr>
        <w:annotationRef/>
      </w:r>
      <w:r>
        <w:rPr>
          <w:color w:val="1A1A1A"/>
        </w:rPr>
        <w:t>Conduct advanced fraud training for all CCHC staff, focusing on social engineering tactics, red flag identification, and secure escalation procedures.</w:t>
      </w:r>
    </w:p>
    <w:p w14:paraId="0EEAA702" w14:textId="77777777" w:rsidR="00041619" w:rsidRDefault="00041619" w:rsidP="00041619">
      <w:pPr>
        <w:pStyle w:val="CommentText"/>
        <w:numPr>
          <w:ilvl w:val="0"/>
          <w:numId w:val="80"/>
        </w:numPr>
      </w:pPr>
      <w:r>
        <w:rPr>
          <w:color w:val="1A1A1A"/>
        </w:rPr>
        <w:t>Enhance the case management system to provide agents with a real-time risk score for the consumer or case they are handling using the models made under tasks 2 + 3.</w:t>
      </w:r>
    </w:p>
    <w:p w14:paraId="5B15C1FB" w14:textId="77777777" w:rsidR="00041619" w:rsidRDefault="00041619" w:rsidP="00041619">
      <w:pPr>
        <w:pStyle w:val="CommentText"/>
        <w:numPr>
          <w:ilvl w:val="0"/>
          <w:numId w:val="80"/>
        </w:numPr>
      </w:pPr>
      <w:r>
        <w:rPr>
          <w:color w:val="1A1A1A"/>
        </w:rPr>
        <w:t>Triage for potential high-risk/integrity-impacting cases (e.g., repeated mismatches, multiple open cases).</w:t>
      </w:r>
    </w:p>
    <w:p w14:paraId="6CBF943F" w14:textId="77777777" w:rsidR="00041619" w:rsidRDefault="00041619" w:rsidP="00041619">
      <w:pPr>
        <w:pStyle w:val="CommentText"/>
        <w:numPr>
          <w:ilvl w:val="0"/>
          <w:numId w:val="80"/>
        </w:numPr>
      </w:pPr>
      <w:r>
        <w:rPr>
          <w:color w:val="1A1A1A"/>
        </w:rPr>
        <w:t>Disciplined audit trail and escalation to CMS for patterns indicating systemic control gaps.</w:t>
      </w:r>
    </w:p>
    <w:p w14:paraId="2AEC1D4C" w14:textId="77777777" w:rsidR="00041619" w:rsidRDefault="00041619" w:rsidP="00041619">
      <w:pPr>
        <w:pStyle w:val="CommentText"/>
      </w:pPr>
      <w:r>
        <w:t>PI in Call Center Ops</w:t>
      </w:r>
    </w:p>
  </w:comment>
  <w:comment w:id="55" w:author="Borhan, Zerina" w:date="2026-04-26T23:13:00Z" w:initials="ZB">
    <w:p w14:paraId="511F2C9C" w14:textId="77777777" w:rsidR="00A70C01" w:rsidRDefault="00A70C01" w:rsidP="00A70C01">
      <w:pPr>
        <w:pStyle w:val="CommentText"/>
      </w:pPr>
      <w:r>
        <w:rPr>
          <w:rStyle w:val="CommentReference"/>
        </w:rPr>
        <w:annotationRef/>
      </w:r>
      <w:r>
        <w:t xml:space="preserve">PI approach : </w:t>
      </w:r>
    </w:p>
    <w:p w14:paraId="33FF4965" w14:textId="77777777" w:rsidR="00A70C01" w:rsidRDefault="00A70C01" w:rsidP="00A70C01">
      <w:pPr>
        <w:pStyle w:val="CommentText"/>
        <w:numPr>
          <w:ilvl w:val="0"/>
          <w:numId w:val="81"/>
        </w:numPr>
      </w:pPr>
      <w:r>
        <w:t>Perform automated reconciliations to verify that BUU updates align to source evidence and downstream posting results, helping detect unsupported or inconsistent changes before they affect the FFE.</w:t>
      </w:r>
    </w:p>
    <w:p w14:paraId="63AF70AB" w14:textId="77777777" w:rsidR="00A70C01" w:rsidRDefault="00A70C01" w:rsidP="00A70C01">
      <w:pPr>
        <w:pStyle w:val="CommentText"/>
        <w:numPr>
          <w:ilvl w:val="0"/>
          <w:numId w:val="81"/>
        </w:numPr>
      </w:pPr>
      <w:r>
        <w:t>Use post-update sampling and data integrity validation/modeling to identify common issues, recurring error patterns, and potential control gaps requiring remediation.</w:t>
      </w:r>
    </w:p>
    <w:p w14:paraId="2E077F52" w14:textId="77777777" w:rsidR="00A70C01" w:rsidRDefault="00A70C01" w:rsidP="00A70C01">
      <w:pPr>
        <w:pStyle w:val="CommentText"/>
        <w:numPr>
          <w:ilvl w:val="0"/>
          <w:numId w:val="81"/>
        </w:numPr>
      </w:pPr>
      <w:r>
        <w:t>Apply risk-based manual review for erroneous electronic transactions and heightened governance for non-standard BUU updates to reduce PI/FWA risk while preserving throughput by slowing only higher-risk items.</w:t>
      </w:r>
    </w:p>
  </w:comment>
  <w:comment w:id="58" w:author="Marsh, Hana" w:date="2026-04-25T19:35:00Z" w:initials="HM">
    <w:p w14:paraId="4F226D04" w14:textId="0DD79742" w:rsidR="00F44734" w:rsidRDefault="00F44734" w:rsidP="00F44734">
      <w:pPr>
        <w:pStyle w:val="CommentText"/>
      </w:pPr>
      <w:r>
        <w:rPr>
          <w:rStyle w:val="CommentReference"/>
        </w:rPr>
        <w:annotationRef/>
      </w:r>
      <w:r>
        <w:t xml:space="preserve">Task 7 is not a generic contact center; it is CMS’s multi-stakeholder, multi-channel resolution function for the Marketplace. Through coordinated inbound and outbound calls, after-hours voicemail, issuer email support, and written correspondence, the contractor supports consumers, issuers, FFE staff, and SBEs in moving cases to resolution with consistency, visibility, and compliance. The SOW calls for inbound and outbound phone support, direct phone numbers with voicemail outside business hours, issuer call and email support through the ER&amp;R Support Center, outbound outreach when live contact can expedite resolution, CMS-approved scripts and SOPs, ongoing staff training, and weekly and monthly reporting. </w:t>
      </w:r>
    </w:p>
    <w:p w14:paraId="76BD1D99" w14:textId="77777777" w:rsidR="00F44734" w:rsidRDefault="00F44734" w:rsidP="00F44734">
      <w:pPr>
        <w:pStyle w:val="CommentText"/>
      </w:pPr>
    </w:p>
    <w:p w14:paraId="50256D0B" w14:textId="77777777" w:rsidR="00F44734" w:rsidRDefault="00F44734" w:rsidP="00F44734">
      <w:pPr>
        <w:pStyle w:val="CommentText"/>
      </w:pPr>
      <w:r>
        <w:t xml:space="preserve">This task operates in a complex Marketplace ecosystem where each stakeholder group brings different needs, dependencies, and escalation paths. Consumers need clear, plain-language support and sensitive handling of enrollment and eligibility issues. Issuers need operationally precise coordination, documented communications, and timely follow-up. FFE staff, SBEs, and other Marketplace partners need clean handoffs, reliable status visibility, and dependable follow-through across organizational lines. For that reason, Task 7 is best understood as a closed-loop resolution workflow, not a set of disconnected channels. Each interaction should contribute to a single case history that supports downstream actions, formal decisions, and status updates. </w:t>
      </w:r>
    </w:p>
    <w:p w14:paraId="46D51F94" w14:textId="77777777" w:rsidR="00F44734" w:rsidRDefault="00F44734" w:rsidP="00F44734">
      <w:pPr>
        <w:pStyle w:val="CommentText"/>
      </w:pPr>
    </w:p>
    <w:p w14:paraId="79294FC6" w14:textId="77777777" w:rsidR="00F44734" w:rsidRDefault="00F44734" w:rsidP="00F44734">
      <w:pPr>
        <w:pStyle w:val="CommentText"/>
      </w:pPr>
      <w:r>
        <w:t xml:space="preserve">Deloitte will deliver Task 7 as a stakeholder-based resolution model, not just queue management. We will align triage, routing, outreach, communications, and escalation paths to the needs of each stakeholder group while maintaining one common control structure across the operation. This approach will help CMS reduce rework, shorten cycle time, and maintain consistent guidance across consumers, issuers, FFE staff, SBEs, and related Marketplace partners. </w:t>
      </w:r>
    </w:p>
    <w:p w14:paraId="40E6450F" w14:textId="77777777" w:rsidR="00F44734" w:rsidRDefault="00F44734" w:rsidP="00F44734">
      <w:pPr>
        <w:pStyle w:val="CommentText"/>
      </w:pPr>
    </w:p>
    <w:p w14:paraId="5CF41A1A" w14:textId="77777777" w:rsidR="00F44734" w:rsidRDefault="00F44734" w:rsidP="00F44734">
      <w:pPr>
        <w:pStyle w:val="CommentText"/>
      </w:pPr>
      <w:r>
        <w:t xml:space="preserve">We will run a unified multi-channel workflow in which inbound calls, outbound calls, voicemail, issuer emails, and correspondence work together to advance case resolution. Outbound support will be used proactively when live outreach can resolve missing information, confirm next steps, or unblock a case faster than written exchanges alone, including during higher-volume periods for Form 1095-A disputes, unauthorized enrollments, and UPS cases. We will also treat voicemail as an active, SLA-driven intake lane with clear ownership, prioritization, aging visibility, and one-business-day response discipline. Where approved by CMS, Deloitte can apply AI-assisted transcription and triage to help staff categorize messages faster and surface urgent issues sooner while keeping human review and CMS-approved scripting in place. </w:t>
      </w:r>
    </w:p>
    <w:p w14:paraId="1B9A467E" w14:textId="77777777" w:rsidR="00F44734" w:rsidRDefault="00F44734" w:rsidP="00F44734">
      <w:pPr>
        <w:pStyle w:val="CommentText"/>
      </w:pPr>
    </w:p>
    <w:p w14:paraId="088F0A99" w14:textId="77777777" w:rsidR="00F44734" w:rsidRDefault="00F44734" w:rsidP="00F44734">
      <w:pPr>
        <w:pStyle w:val="CommentText"/>
      </w:pPr>
      <w:r>
        <w:t xml:space="preserve">Deloitte will provide a distinct issuer-support lane through the ER&amp;R Support Center for issuer calls and emails, documentation in Enrollment Community, coordinated issuer communications, and support for testing and recommendations tied to Enrollment Data Alignment. At the same time, we will manage the handoff-heavy operating environment across CMS, issuers, states, SBEs, the Exchange Call Center, and related contractors through defined transfer points, escalation triggers, and visible status tracking. This will give CMS stronger operational control and lower the risk of dropped transfers, duplicate work, or conflicting guidance. </w:t>
      </w:r>
    </w:p>
    <w:p w14:paraId="7296333F" w14:textId="77777777" w:rsidR="00F44734" w:rsidRDefault="00F44734" w:rsidP="00F44734">
      <w:pPr>
        <w:pStyle w:val="CommentText"/>
      </w:pPr>
    </w:p>
    <w:p w14:paraId="0738E36A" w14:textId="77777777" w:rsidR="00F44734" w:rsidRDefault="00F44734" w:rsidP="00F44734">
      <w:pPr>
        <w:pStyle w:val="CommentText"/>
      </w:pPr>
      <w:r>
        <w:t xml:space="preserve">Delivery will be supported by disciplined workforce management, quality assurance, training, and knowledge management. We will forecast seasonal and intraday demand, align staffing to volume patterns, monitor quality and script adherence, keep SOPs and QRGs current, and refresh training as policy or process direction changes. These controls matter because Task 7 volumes ebb and flow, case complexity varies by stakeholder, and CMS expects representatives to resolve complex cases efficiently and with sensitivity. </w:t>
      </w:r>
    </w:p>
    <w:p w14:paraId="2C78FFCC" w14:textId="77777777" w:rsidR="00F44734" w:rsidRDefault="00F44734" w:rsidP="00F44734">
      <w:pPr>
        <w:pStyle w:val="CommentText"/>
      </w:pPr>
    </w:p>
    <w:p w14:paraId="46D811AC" w14:textId="77777777" w:rsidR="00F44734" w:rsidRDefault="00F44734" w:rsidP="00F44734">
      <w:pPr>
        <w:pStyle w:val="CommentText"/>
      </w:pPr>
      <w:r>
        <w:t xml:space="preserve">Finally, Deloitte will treat Task 7 as an improvement engine, not only a service-delivery function. Using weekly and monthly reporting, escalation reviews, and recurring trend analysis, we will help CMS identify pain points, recommend script and workflow updates, and support issuer communications when cross-issuer patterns emerge. The result will be a compliant, visible, and continuously improving resolution function that supports faster case movement and a better stakeholder experience across the Marketplace. </w:t>
      </w:r>
    </w:p>
  </w:comment>
  <w:comment w:id="59" w:author="Marsh, Hana" w:date="2026-04-25T18:53:00Z" w:initials="HM">
    <w:p w14:paraId="0E687C86" w14:textId="7763D275" w:rsidR="004E7BE1" w:rsidRDefault="00E72CE8" w:rsidP="004E7BE1">
      <w:pPr>
        <w:pStyle w:val="CommentText"/>
      </w:pPr>
      <w:r>
        <w:rPr>
          <w:rStyle w:val="CommentReference"/>
        </w:rPr>
        <w:annotationRef/>
      </w:r>
      <w:r w:rsidR="004E7BE1">
        <w:t>Can make this a visual/graphic.</w:t>
      </w:r>
    </w:p>
  </w:comment>
  <w:comment w:id="60" w:author="Krause Schmidt, Phil" w:date="2026-04-25T19:53:00Z" w:initials="PK">
    <w:p w14:paraId="261972F3" w14:textId="77777777" w:rsidR="000713EF" w:rsidRDefault="000713EF" w:rsidP="000713EF">
      <w:pPr>
        <w:pStyle w:val="CommentText"/>
      </w:pPr>
      <w:r>
        <w:rPr>
          <w:rStyle w:val="CommentReference"/>
        </w:rPr>
        <w:annotationRef/>
      </w:r>
      <w:r>
        <w:t>Yes or table for space</w:t>
      </w:r>
    </w:p>
  </w:comment>
  <w:comment w:id="61" w:author="Marsh, Hana" w:date="2026-04-25T18:56:00Z" w:initials="HM">
    <w:p w14:paraId="5F9C9625" w14:textId="77777777" w:rsidR="004E7BE1" w:rsidRDefault="004E7BE1" w:rsidP="004E7BE1">
      <w:pPr>
        <w:pStyle w:val="CommentText"/>
      </w:pPr>
      <w:r>
        <w:rPr>
          <w:rStyle w:val="CommentReference"/>
        </w:rPr>
        <w:annotationRef/>
      </w:r>
      <w:r>
        <w:t>Can make this a table</w:t>
      </w:r>
    </w:p>
  </w:comment>
  <w:comment w:id="62" w:author="Krause Schmidt, Phil" w:date="2026-04-25T19:56:00Z" w:initials="PK">
    <w:p w14:paraId="0EBAA838" w14:textId="77777777" w:rsidR="00811BEA" w:rsidRDefault="00811BEA" w:rsidP="00811BEA">
      <w:pPr>
        <w:pStyle w:val="CommentText"/>
      </w:pPr>
      <w:r>
        <w:rPr>
          <w:rStyle w:val="CommentReference"/>
        </w:rPr>
        <w:annotationRef/>
      </w:r>
      <w:r>
        <w:t>Yes thinking category - sample measures - impact to ER&amp;R and Marketplace</w:t>
      </w:r>
    </w:p>
  </w:comment>
  <w:comment w:id="63" w:author="Marsh, Hana" w:date="2026-04-25T18:59:00Z" w:initials="HM">
    <w:p w14:paraId="7DABF88F" w14:textId="77777777" w:rsidR="00772824" w:rsidRDefault="00772824" w:rsidP="00772824">
      <w:pPr>
        <w:pStyle w:val="CommentText"/>
      </w:pPr>
      <w:r>
        <w:rPr>
          <w:rStyle w:val="CommentReference"/>
        </w:rPr>
        <w:annotationRef/>
      </w:r>
      <w:r>
        <w:t>Will also need some federal quals</w:t>
      </w:r>
    </w:p>
  </w:comment>
  <w:comment w:id="64" w:author="Krause Schmidt, Phil" w:date="2026-04-25T19:57:00Z" w:initials="PK">
    <w:p w14:paraId="3B1EA8FE" w14:textId="7FDEEADD" w:rsidR="00811BEA" w:rsidRDefault="00811BEA" w:rsidP="00811BEA">
      <w:pPr>
        <w:pStyle w:val="CommentText"/>
      </w:pPr>
      <w:r>
        <w:rPr>
          <w:rStyle w:val="CommentReference"/>
        </w:rPr>
        <w:annotationRef/>
      </w:r>
      <w:r>
        <w:fldChar w:fldCharType="begin"/>
      </w:r>
      <w:r>
        <w:instrText>HYPERLINK "mailto:gkelley@deloitte.com"</w:instrText>
      </w:r>
      <w:bookmarkStart w:id="68" w:name="_@_114257DEB65743C1B4822BF38BC5A6E4Z"/>
      <w:r>
        <w:fldChar w:fldCharType="separate"/>
      </w:r>
      <w:bookmarkEnd w:id="68"/>
      <w:r w:rsidRPr="00811BEA">
        <w:rPr>
          <w:rStyle w:val="Mention"/>
          <w:noProof/>
        </w:rPr>
        <w:t>@Kelley, Gabrielle</w:t>
      </w:r>
      <w:r>
        <w:fldChar w:fldCharType="end"/>
      </w:r>
      <w:r>
        <w:t xml:space="preserve">  - any standout suggestions?</w:t>
      </w:r>
    </w:p>
  </w:comment>
  <w:comment w:id="65" w:author="Krause Schmidt, Phil" w:date="2026-04-25T20:30:00Z" w:initials="PK">
    <w:p w14:paraId="0EA79AFD" w14:textId="77777777" w:rsidR="00095BFA" w:rsidRDefault="00095BFA" w:rsidP="00095BFA">
      <w:pPr>
        <w:pStyle w:val="CommentText"/>
      </w:pPr>
      <w:r>
        <w:rPr>
          <w:rStyle w:val="CommentReference"/>
        </w:rPr>
        <w:annotationRef/>
      </w:r>
      <w:r>
        <w:t>Added a few from deck</w:t>
      </w:r>
    </w:p>
  </w:comment>
  <w:comment w:id="66" w:author="Krause Schmidt, Phil" w:date="2026-04-25T20:32:00Z" w:initials="PK">
    <w:p w14:paraId="3F9420A4" w14:textId="77777777" w:rsidR="00715790" w:rsidRDefault="00715790" w:rsidP="00D93F37">
      <w:pPr>
        <w:pStyle w:val="CommentText"/>
        <w:numPr>
          <w:ilvl w:val="0"/>
          <w:numId w:val="31"/>
        </w:numPr>
      </w:pPr>
      <w:r>
        <w:rPr>
          <w:rStyle w:val="CommentReference"/>
        </w:rPr>
        <w:annotationRef/>
      </w:r>
      <w:r>
        <w:t>Prior text, recommend we use table and lead in / close out summary statements for red</w:t>
      </w:r>
      <w:r>
        <w:br/>
      </w:r>
      <w:r>
        <w:br/>
      </w:r>
      <w:r>
        <w:rPr>
          <w:b/>
          <w:bCs/>
        </w:rPr>
        <w:t>Covered California Health Insurance Exchange Contact Center</w:t>
      </w:r>
      <w:r>
        <w:br/>
        <w:t xml:space="preserve">Deloitte stood up Amazon Connect in about </w:t>
      </w:r>
      <w:r>
        <w:rPr>
          <w:b/>
          <w:bCs/>
        </w:rPr>
        <w:t>40 hours</w:t>
      </w:r>
      <w:r>
        <w:t xml:space="preserve"> during annual enrollment, when contact volume peaks near </w:t>
      </w:r>
      <w:r>
        <w:rPr>
          <w:b/>
          <w:bCs/>
        </w:rPr>
        <w:t>300,000 contacts per month</w:t>
      </w:r>
      <w:r>
        <w:t xml:space="preserve">. Deloitte provided project management, engineering, testing, training, and hypercare, led go-live and SSO migration with </w:t>
      </w:r>
      <w:r>
        <w:rPr>
          <w:b/>
          <w:bCs/>
        </w:rPr>
        <w:t>zero critical or high-impact issues</w:t>
      </w:r>
      <w:r>
        <w:t xml:space="preserve">, and continues to support enhancements such as courtesy callback, post-call survey, conversational IVR, custom agent desktop, and advanced reporting. </w:t>
      </w:r>
      <w:r>
        <w:rPr>
          <w:color w:val="C00000"/>
        </w:rPr>
        <w:t>Lead proof: digital exchange support, continuity under load, and practical contact-center modernization.</w:t>
      </w:r>
    </w:p>
    <w:p w14:paraId="30B5046D" w14:textId="77777777" w:rsidR="00715790" w:rsidRDefault="00715790" w:rsidP="00D93F37">
      <w:pPr>
        <w:pStyle w:val="CommentText"/>
        <w:numPr>
          <w:ilvl w:val="0"/>
          <w:numId w:val="31"/>
        </w:numPr>
      </w:pPr>
      <w:r>
        <w:rPr>
          <w:b/>
          <w:bCs/>
        </w:rPr>
        <w:t>Virginia Department of Health COVID-19 Information Center</w:t>
      </w:r>
      <w:r>
        <w:br/>
        <w:t xml:space="preserve">Deloitte rapidly stood up a contact center in </w:t>
      </w:r>
      <w:r>
        <w:rPr>
          <w:b/>
          <w:bCs/>
        </w:rPr>
        <w:t>10 days</w:t>
      </w:r>
      <w:r>
        <w:t xml:space="preserve">, configured telephony and ServiceNow, created knowledge articles, trained and sourced </w:t>
      </w:r>
      <w:r>
        <w:rPr>
          <w:b/>
          <w:bCs/>
        </w:rPr>
        <w:t>750+ agents</w:t>
      </w:r>
      <w:r>
        <w:t xml:space="preserve">, and handled more than </w:t>
      </w:r>
      <w:r>
        <w:rPr>
          <w:b/>
          <w:bCs/>
        </w:rPr>
        <w:t>1.3 million inbound and outbound calls</w:t>
      </w:r>
      <w:r>
        <w:t xml:space="preserve">. The program included multilingual support, chatbot capabilities, command center operations, QA, reporting, training, and workforce management. </w:t>
      </w:r>
      <w:r>
        <w:rPr>
          <w:color w:val="C00000"/>
        </w:rPr>
        <w:t>Proof for: support for rapid mobilization, multi-stakeholder public-sector support, and surge operations.</w:t>
      </w:r>
    </w:p>
    <w:p w14:paraId="2B77A310" w14:textId="77777777" w:rsidR="00715790" w:rsidRDefault="00715790" w:rsidP="00D93F37">
      <w:pPr>
        <w:pStyle w:val="CommentText"/>
        <w:numPr>
          <w:ilvl w:val="0"/>
          <w:numId w:val="31"/>
        </w:numPr>
      </w:pPr>
      <w:r>
        <w:rPr>
          <w:b/>
          <w:bCs/>
        </w:rPr>
        <w:t>New York State Department of Health COVID-19 Vaccine Management Call Center</w:t>
      </w:r>
      <w:r>
        <w:br/>
        <w:t xml:space="preserve">Deloitte took over management of existing vendor agents, deployed </w:t>
      </w:r>
      <w:r>
        <w:rPr>
          <w:b/>
          <w:bCs/>
        </w:rPr>
        <w:t>4,000+ surge support agents</w:t>
      </w:r>
      <w:r>
        <w:t xml:space="preserve">, handled </w:t>
      </w:r>
      <w:r>
        <w:rPr>
          <w:b/>
          <w:bCs/>
        </w:rPr>
        <w:t>5 million+ calls</w:t>
      </w:r>
      <w:r>
        <w:t xml:space="preserve">, including </w:t>
      </w:r>
      <w:r>
        <w:rPr>
          <w:b/>
          <w:bCs/>
        </w:rPr>
        <w:t>100,000+ calls/day at peak</w:t>
      </w:r>
      <w:r>
        <w:t xml:space="preserve">, and implemented QA, WFM, IVR redesign, reporting, micro-learning, and performance coaching. Outcomes included a </w:t>
      </w:r>
      <w:r>
        <w:rPr>
          <w:b/>
          <w:bCs/>
        </w:rPr>
        <w:t>53% reduction in hold time</w:t>
      </w:r>
      <w:r>
        <w:t xml:space="preserve">, </w:t>
      </w:r>
      <w:r>
        <w:rPr>
          <w:b/>
          <w:bCs/>
        </w:rPr>
        <w:t>75% reduction in Tier 2 escalations</w:t>
      </w:r>
      <w:r>
        <w:t xml:space="preserve">, and improved empathy and call-closing quality. </w:t>
      </w:r>
      <w:r>
        <w:rPr>
          <w:color w:val="C00000"/>
        </w:rPr>
        <w:t>Proof for: WFM, QA, training, and high-volume surge stabilization.</w:t>
      </w:r>
    </w:p>
    <w:p w14:paraId="62318B72" w14:textId="77777777" w:rsidR="00715790" w:rsidRDefault="00715790" w:rsidP="00D93F37">
      <w:pPr>
        <w:pStyle w:val="CommentText"/>
        <w:numPr>
          <w:ilvl w:val="0"/>
          <w:numId w:val="31"/>
        </w:numPr>
      </w:pPr>
      <w:r>
        <w:rPr>
          <w:b/>
          <w:bCs/>
        </w:rPr>
        <w:t>Pandemic Electronic Benefits Transfer (District of Columbia)</w:t>
      </w:r>
      <w:r>
        <w:br/>
        <w:t xml:space="preserve">Deloitte set up, staffed, trained, and launched a contact center in </w:t>
      </w:r>
      <w:r>
        <w:rPr>
          <w:b/>
          <w:bCs/>
        </w:rPr>
        <w:t>25 days</w:t>
      </w:r>
      <w:r>
        <w:t xml:space="preserve">, implemented a cloud-based solution in </w:t>
      </w:r>
      <w:r>
        <w:rPr>
          <w:b/>
          <w:bCs/>
        </w:rPr>
        <w:t>5 weeks</w:t>
      </w:r>
      <w:r>
        <w:t xml:space="preserve">, handled nearly </w:t>
      </w:r>
      <w:r>
        <w:rPr>
          <w:b/>
          <w:bCs/>
        </w:rPr>
        <w:t>24,000 calls</w:t>
      </w:r>
      <w:r>
        <w:t xml:space="preserve">, and supported an end-to-end managed service model with QA, command center oversight, and reporting. </w:t>
      </w:r>
      <w:r>
        <w:rPr>
          <w:color w:val="C00000"/>
        </w:rPr>
        <w:t>Proof for: government integration, contact-center launch discipline, and back-office linkage</w:t>
      </w:r>
      <w:r>
        <w:t>.</w:t>
      </w:r>
    </w:p>
  </w:comment>
  <w:comment w:id="67" w:author="Krause Schmidt, Phil" w:date="2026-04-25T20:37:00Z" w:initials="PK">
    <w:p w14:paraId="6BDB6368" w14:textId="77777777" w:rsidR="006908C8" w:rsidRDefault="006908C8" w:rsidP="006908C8">
      <w:pPr>
        <w:pStyle w:val="CommentText"/>
      </w:pPr>
      <w:r>
        <w:rPr>
          <w:rStyle w:val="CommentReference"/>
        </w:rPr>
        <w:annotationRef/>
      </w:r>
      <w:r>
        <w:t>May need approval for federal proof points</w:t>
      </w:r>
    </w:p>
  </w:comment>
  <w:comment w:id="69" w:author="Tibbetts, William" w:date="2026-04-27T07:38:00Z" w:initials="TW">
    <w:p w14:paraId="790C2EBE" w14:textId="78EEDEF2" w:rsidR="007004CD" w:rsidRDefault="007004CD">
      <w:pPr>
        <w:pStyle w:val="CommentText"/>
      </w:pPr>
      <w:r>
        <w:rPr>
          <w:rStyle w:val="CommentReference"/>
        </w:rPr>
        <w:annotationRef/>
      </w:r>
      <w:r w:rsidRPr="5F795B19">
        <w:t>I'd pick 1-2 of the strongest, most relevant and turn it into a callout box</w:t>
      </w:r>
    </w:p>
  </w:comment>
  <w:comment w:id="71" w:author="Waqar Chaudhry" w:date="2026-04-25T18:26:00Z" w:initials="WC">
    <w:p w14:paraId="63A5C210" w14:textId="77777777" w:rsidR="00C6190E" w:rsidRDefault="00C6190E" w:rsidP="00C6190E">
      <w:pPr>
        <w:pStyle w:val="CommentText"/>
      </w:pPr>
      <w:r>
        <w:rPr>
          <w:rStyle w:val="CommentReference"/>
        </w:rPr>
        <w:annotationRef/>
      </w:r>
      <w:r>
        <w:t>Need our graphic team to update this diagram to include EDA Core &amp; align with the Proposal theme</w:t>
      </w:r>
    </w:p>
  </w:comment>
  <w:comment w:id="72" w:author="Mwebaza, Justine" w:date="2026-04-26T21:32:00Z" w:initials="JM">
    <w:p w14:paraId="7471FBAC" w14:textId="190C562E" w:rsidR="00625471" w:rsidRDefault="00625471" w:rsidP="00625471">
      <w:pPr>
        <w:pStyle w:val="CommentText"/>
      </w:pPr>
      <w:r>
        <w:rPr>
          <w:rStyle w:val="CommentReference"/>
        </w:rPr>
        <w:annotationRef/>
      </w:r>
      <w:r>
        <w:fldChar w:fldCharType="begin"/>
      </w:r>
      <w:r>
        <w:instrText>HYPERLINK "mailto:abhabhatnagar@deloitte.com"</w:instrText>
      </w:r>
      <w:bookmarkStart w:id="73" w:name="_@_96CB9BECACF24DB28D6CADBAFBB3A989Z"/>
      <w:r>
        <w:fldChar w:fldCharType="separate"/>
      </w:r>
      <w:bookmarkEnd w:id="73"/>
      <w:r w:rsidRPr="00625471">
        <w:rPr>
          <w:rStyle w:val="Mention"/>
          <w:noProof/>
        </w:rPr>
        <w:t>@Bhatnagar, Abhas</w:t>
      </w:r>
      <w:r>
        <w:fldChar w:fldCharType="end"/>
      </w:r>
      <w:r>
        <w:t xml:space="preserve"> , add a callout box and add this placeholder text in it - Title = Proof Point Heading - delete this section when callout box is in place.</w:t>
      </w:r>
    </w:p>
  </w:comment>
  <w:comment w:id="79" w:author="Seibert, Samuel" w:date="2026-04-25T22:05:00Z" w:initials="SS">
    <w:p w14:paraId="2AC88344" w14:textId="6ABECF26" w:rsidR="00B53833" w:rsidRDefault="00B53833" w:rsidP="00B53833">
      <w:pPr>
        <w:pStyle w:val="CommentText"/>
      </w:pPr>
      <w:r>
        <w:rPr>
          <w:rStyle w:val="CommentReference"/>
        </w:rPr>
        <w:annotationRef/>
      </w:r>
      <w:r>
        <w:fldChar w:fldCharType="begin"/>
      </w:r>
      <w:r>
        <w:instrText>HYPERLINK "mailto:ngummo@deloitte.com"</w:instrText>
      </w:r>
      <w:bookmarkStart w:id="80" w:name="_@_663A227597454871B8713194E8F15669Z"/>
      <w:r>
        <w:fldChar w:fldCharType="separate"/>
      </w:r>
      <w:bookmarkEnd w:id="80"/>
      <w:r w:rsidRPr="00B53833">
        <w:rPr>
          <w:rStyle w:val="Mention"/>
          <w:noProof/>
        </w:rPr>
        <w:t>@Gummo, Nick</w:t>
      </w:r>
      <w:r>
        <w:fldChar w:fldCharType="end"/>
      </w:r>
      <w:r>
        <w:t xml:space="preserve"> </w:t>
      </w:r>
    </w:p>
  </w:comment>
  <w:comment w:id="82" w:author="Jain, Rajat" w:date="2026-04-23T22:32:00Z" w:initials="RJ">
    <w:p w14:paraId="3355737C" w14:textId="5ABEBD20" w:rsidR="002A7A97" w:rsidRDefault="002A7A97" w:rsidP="002A7A97">
      <w:pPr>
        <w:pStyle w:val="CommentText"/>
      </w:pPr>
      <w:r>
        <w:rPr>
          <w:rStyle w:val="CommentReference"/>
        </w:rPr>
        <w:annotationRef/>
      </w:r>
      <w:r>
        <w:rPr>
          <w:b/>
          <w:bCs/>
        </w:rPr>
        <w:t xml:space="preserve">Attachment 2 - </w:t>
      </w:r>
      <w:r>
        <w:rPr>
          <w:b/>
          <w:bCs/>
          <w:color w:val="000000"/>
        </w:rPr>
        <w:t>VOLUME I: Sub-Section 1C: Understanding and Mitigation of Risks</w:t>
      </w:r>
      <w:r>
        <w:rPr>
          <w:b/>
          <w:bCs/>
        </w:rPr>
        <w:t>, Pg 5</w:t>
      </w:r>
    </w:p>
    <w:p w14:paraId="703C2BEB" w14:textId="77777777" w:rsidR="002A7A97" w:rsidRDefault="002A7A97" w:rsidP="002A7A97">
      <w:pPr>
        <w:pStyle w:val="CommentText"/>
      </w:pPr>
    </w:p>
    <w:p w14:paraId="4F6DC856" w14:textId="77777777" w:rsidR="002A7A97" w:rsidRDefault="002A7A97" w:rsidP="002A7A97">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p w14:paraId="41AB6FB9" w14:textId="77777777" w:rsidR="002A7A97" w:rsidRDefault="002A7A97" w:rsidP="002A7A97">
      <w:pPr>
        <w:pStyle w:val="CommentText"/>
      </w:pPr>
    </w:p>
    <w:p w14:paraId="68E9D5EF" w14:textId="77777777" w:rsidR="002A7A97" w:rsidRDefault="002A7A97" w:rsidP="002A7A97">
      <w:pPr>
        <w:pStyle w:val="CommentText"/>
      </w:pPr>
      <w:r>
        <w:rPr>
          <w:b/>
          <w:bCs/>
          <w:color w:val="000000"/>
        </w:rPr>
        <w:t>Attachment 2 - VOLUME I:Technical Evaluation Factor 1, Pg 21</w:t>
      </w:r>
    </w:p>
    <w:p w14:paraId="6DC127D5" w14:textId="77777777" w:rsidR="002A7A97" w:rsidRDefault="002A7A97" w:rsidP="002A7A97">
      <w:pPr>
        <w:pStyle w:val="CommentText"/>
      </w:pPr>
    </w:p>
    <w:p w14:paraId="262219CE" w14:textId="77777777" w:rsidR="002A7A97" w:rsidRDefault="002A7A97" w:rsidP="002A7A97">
      <w:pPr>
        <w:pStyle w:val="CommentText"/>
      </w:pPr>
      <w:r>
        <w:rPr>
          <w:color w:val="000000"/>
        </w:rPr>
        <w:t xml:space="preserve">The evaluation will focus on the following elements:Understanding and Mitigation of Risks </w:t>
      </w:r>
    </w:p>
    <w:p w14:paraId="0544BE65" w14:textId="77777777" w:rsidR="002A7A97" w:rsidRDefault="002A7A97" w:rsidP="002A7A97">
      <w:pPr>
        <w:pStyle w:val="CommentText"/>
      </w:pPr>
    </w:p>
    <w:p w14:paraId="3B144B32" w14:textId="77777777" w:rsidR="002A7A97" w:rsidRDefault="002A7A97" w:rsidP="002A7A97">
      <w:pPr>
        <w:pStyle w:val="CommentText"/>
      </w:pPr>
    </w:p>
  </w:comment>
  <w:comment w:id="83" w:author="Fields, April" w:date="2026-04-23T12:59:00Z" w:initials="AF">
    <w:p w14:paraId="7CCE8EE8" w14:textId="77777777" w:rsidR="00ED6381" w:rsidRDefault="00ED6381" w:rsidP="00ED6381">
      <w:pPr>
        <w:pStyle w:val="CommentText"/>
      </w:pPr>
      <w:r>
        <w:rPr>
          <w:rStyle w:val="CommentReference"/>
        </w:rPr>
        <w:annotationRef/>
      </w:r>
      <w:r>
        <w:rPr>
          <w:b/>
          <w:bCs/>
          <w:color w:val="000000"/>
        </w:rPr>
        <w:t xml:space="preserve">Sub-Section 1C: Understanding and Mitigation of Risks </w:t>
      </w:r>
    </w:p>
    <w:p w14:paraId="22DF345D" w14:textId="77777777" w:rsidR="00ED6381" w:rsidRDefault="00ED6381" w:rsidP="00ED6381">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comment>
  <w:comment w:id="86" w:author="Jain, Rajat" w:date="2026-04-23T22:38:00Z" w:initials="RJ">
    <w:p w14:paraId="6177CCC9" w14:textId="77777777" w:rsidR="00044EEF" w:rsidRDefault="00044EEF" w:rsidP="00044EEF">
      <w:pPr>
        <w:pStyle w:val="CommentText"/>
      </w:pPr>
      <w:r>
        <w:rPr>
          <w:rStyle w:val="CommentReference"/>
        </w:rPr>
        <w:annotationRef/>
      </w:r>
      <w:r>
        <w:rPr>
          <w:b/>
          <w:bCs/>
        </w:rPr>
        <w:t xml:space="preserve">Attachment 2 - </w:t>
      </w:r>
      <w:r>
        <w:rPr>
          <w:b/>
          <w:bCs/>
          <w:color w:val="000000"/>
        </w:rPr>
        <w:t>VOLUME I, Sub-Section 2A: Management Approach, Pg5,6</w:t>
      </w:r>
    </w:p>
    <w:p w14:paraId="4BF819E1" w14:textId="77777777" w:rsidR="00044EEF" w:rsidRDefault="00044EEF" w:rsidP="00044EEF">
      <w:pPr>
        <w:pStyle w:val="CommentText"/>
      </w:pPr>
    </w:p>
    <w:p w14:paraId="0805A4EF" w14:textId="77777777" w:rsidR="00044EEF" w:rsidRDefault="00044EEF" w:rsidP="00044EEF">
      <w:pPr>
        <w:pStyle w:val="CommentText"/>
      </w:pPr>
      <w:r>
        <w:rPr>
          <w:color w:val="000000"/>
        </w:rPr>
        <w:t xml:space="preserve">The Offeror shall propose a comprehensive management approach with sufficient level of detail to demonstrate how all the work under this task will be performed, monitored, and controlled, which shall cover all the aspects of the project management knowledge. The narrative shall include Project Implementation and Oversight, Financial Planning and Management, Risk Planning and Mitigation, Issue Resolution, and Communications with all stakeholders, consistent with Task 1 requirements. The narrative of the Offeror’s management approach shall address appropriate areas of Task 1: Program Implementation and Oversight (PI&amp;O), Task 11: Transition-Out and Task 12: Transition-In, as described in the SOW. Management approach shall address the procedures to be employed in handling a number of different tasks that are proceeding simultaneously. It shall indicate if any of the tasks of the task order will be subcontracted and how any subcontractor work will be monitored. </w:t>
      </w:r>
    </w:p>
    <w:p w14:paraId="5B951048" w14:textId="77777777" w:rsidR="00044EEF" w:rsidRDefault="00044EEF" w:rsidP="00044EEF">
      <w:pPr>
        <w:pStyle w:val="CommentText"/>
      </w:pPr>
      <w:r>
        <w:rPr>
          <w:color w:val="000000"/>
        </w:rPr>
        <w:t xml:space="preserve">At a minimum, the Offeror shall provide the following: </w:t>
      </w:r>
    </w:p>
    <w:p w14:paraId="009E817D" w14:textId="77777777" w:rsidR="00044EEF" w:rsidRDefault="00044EEF" w:rsidP="00044EEF">
      <w:pPr>
        <w:pStyle w:val="CommentText"/>
      </w:pPr>
      <w:r>
        <w:rPr>
          <w:color w:val="000000"/>
        </w:rPr>
        <w:t xml:space="preserve">• Scope management: processes required to ensure that the project covers all the </w:t>
      </w:r>
    </w:p>
    <w:p w14:paraId="5BDA3807" w14:textId="77777777" w:rsidR="00044EEF" w:rsidRDefault="00044EEF" w:rsidP="00044EEF">
      <w:pPr>
        <w:pStyle w:val="CommentText"/>
      </w:pPr>
    </w:p>
    <w:p w14:paraId="5DA45768" w14:textId="77777777" w:rsidR="00044EEF" w:rsidRDefault="00044EEF" w:rsidP="00044EEF">
      <w:pPr>
        <w:pStyle w:val="CommentText"/>
      </w:pPr>
      <w:r>
        <w:rPr>
          <w:color w:val="000000"/>
        </w:rPr>
        <w:t xml:space="preserve">required work, tools, and techniques used to manage the project scope, including identifying any problems and/or changes within the structure of the work plan. • Time management: processes required to ensure a timely completion of the activities and deliverables, and corrective actions that might be required to bring expected future schedule performance in line with the project plan to ensure completion of project milestones on time. </w:t>
      </w:r>
    </w:p>
    <w:p w14:paraId="04BA278C" w14:textId="77777777" w:rsidR="00044EEF" w:rsidRDefault="00044EEF" w:rsidP="00044EEF">
      <w:pPr>
        <w:pStyle w:val="CommentText"/>
      </w:pPr>
      <w:r>
        <w:rPr>
          <w:color w:val="000000"/>
        </w:rPr>
        <w:t xml:space="preserve">• Cost management: processes required to ensure that the project is completed within the approved budget; includes budget monitoring, cost control, detecting and understanding variances (if any) and providing explanation and corrective action for those variances. </w:t>
      </w:r>
    </w:p>
    <w:p w14:paraId="748BD583" w14:textId="77777777" w:rsidR="00044EEF" w:rsidRDefault="00044EEF" w:rsidP="00044EEF">
      <w:pPr>
        <w:pStyle w:val="CommentText"/>
      </w:pPr>
      <w:r>
        <w:rPr>
          <w:color w:val="000000"/>
        </w:rPr>
        <w:t xml:space="preserve">• Communication management: protocol required to set up the lines of communication and ensure timely and appropriate generation, collection, dissemination, storage, and ultimate disposition of project information; includes the methodology for communicating status, issues, and risks to CMS, through the COR. </w:t>
      </w:r>
    </w:p>
    <w:p w14:paraId="338AF083" w14:textId="77777777" w:rsidR="00044EEF" w:rsidRDefault="00044EEF" w:rsidP="00044EEF">
      <w:pPr>
        <w:pStyle w:val="CommentText"/>
      </w:pPr>
      <w:r>
        <w:rPr>
          <w:color w:val="000000"/>
        </w:rPr>
        <w:t xml:space="preserve">• Information Security and Privacy management: processes to ensure that sensitive data such as Personally Identifiable Information (PII), Protected Health Information (PHI), financial data, and other sensitive information internal to CMS will be protected. </w:t>
      </w:r>
    </w:p>
    <w:p w14:paraId="7439970C" w14:textId="77777777" w:rsidR="00044EEF" w:rsidRDefault="00044EEF" w:rsidP="00044EEF">
      <w:pPr>
        <w:pStyle w:val="CommentText"/>
      </w:pPr>
      <w:r>
        <w:rPr>
          <w:color w:val="000000"/>
        </w:rPr>
        <w:t xml:space="preserve">• Indication if any of the tasks will be subcontracted and how any subcontractor work will be monitored and controlled. </w:t>
      </w:r>
    </w:p>
    <w:p w14:paraId="60648FCF" w14:textId="77777777" w:rsidR="00044EEF" w:rsidRDefault="00044EEF" w:rsidP="00044EEF">
      <w:pPr>
        <w:pStyle w:val="CommentText"/>
      </w:pPr>
      <w:r>
        <w:rPr>
          <w:color w:val="000000"/>
        </w:rPr>
        <w:t xml:space="preserve">• Key milestones for each task, and target dates by which these milestones will be reached as applicable. </w:t>
      </w:r>
    </w:p>
    <w:p w14:paraId="0CEDDA22" w14:textId="77777777" w:rsidR="00044EEF" w:rsidRDefault="00044EEF" w:rsidP="00044EEF">
      <w:pPr>
        <w:pStyle w:val="CommentText"/>
      </w:pPr>
      <w:r>
        <w:rPr>
          <w:color w:val="000000"/>
        </w:rPr>
        <w:t xml:space="preserve">• An organizational chart that clearly provides an understanding of the roles and responsibilities and placement of proposed personnel. In the event the Offeror utilizes subcontractors, the organizational chart shall identify which staff are subcontractors, and/or which tasks will be subcontracted. In addition, provide designation of labor categories with key personnel noted and the geographic location of each individual—city, state. </w:t>
      </w:r>
    </w:p>
    <w:p w14:paraId="1BD60D57" w14:textId="77777777" w:rsidR="00044EEF" w:rsidRDefault="00044EEF" w:rsidP="00044EEF">
      <w:pPr>
        <w:pStyle w:val="CommentText"/>
      </w:pPr>
      <w:r>
        <w:rPr>
          <w:color w:val="000000"/>
        </w:rPr>
        <w:t xml:space="preserve">• Transition-In Plan for transferring knowledge from the incumbent contractor to ensure a seamless transition and ensure that operations are not impaired. </w:t>
      </w:r>
    </w:p>
    <w:p w14:paraId="7DCA84EA" w14:textId="77777777" w:rsidR="00044EEF" w:rsidRDefault="00044EEF" w:rsidP="00044EEF">
      <w:pPr>
        <w:pStyle w:val="CommentText"/>
      </w:pPr>
      <w:r>
        <w:rPr>
          <w:color w:val="000000"/>
        </w:rPr>
        <w:t xml:space="preserve">• Transition-Out Plan for handing over work to an incoming contractor or to CMS, to ensure a seamless transition and ensure that operations are not impaired. </w:t>
      </w:r>
    </w:p>
    <w:p w14:paraId="5D59FBB1" w14:textId="77777777" w:rsidR="00044EEF" w:rsidRDefault="00044EEF" w:rsidP="00044EEF">
      <w:pPr>
        <w:pStyle w:val="CommentText"/>
      </w:pPr>
    </w:p>
    <w:p w14:paraId="6019AAB6" w14:textId="77777777" w:rsidR="00044EEF" w:rsidRDefault="00044EEF" w:rsidP="00044EEF">
      <w:pPr>
        <w:pStyle w:val="CommentText"/>
      </w:pPr>
      <w:r>
        <w:rPr>
          <w:b/>
          <w:bCs/>
          <w:color w:val="000000"/>
        </w:rPr>
        <w:t>VOLUME I: Technical Evaluation Factor 2 - Management Approach, Quality Assurance and Staffing Plan, Pg 21</w:t>
      </w:r>
    </w:p>
    <w:p w14:paraId="53B6FA28" w14:textId="77777777" w:rsidR="00044EEF" w:rsidRDefault="00044EEF" w:rsidP="00044EEF">
      <w:pPr>
        <w:pStyle w:val="CommentText"/>
      </w:pPr>
    </w:p>
    <w:p w14:paraId="2DA7BBE8" w14:textId="77777777" w:rsidR="00044EEF" w:rsidRDefault="00044EEF" w:rsidP="00044EE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78FF257B" w14:textId="77777777" w:rsidR="00044EEF" w:rsidRDefault="00044EEF" w:rsidP="00044EEF">
      <w:pPr>
        <w:pStyle w:val="CommentText"/>
      </w:pPr>
      <w:r>
        <w:rPr>
          <w:color w:val="000000"/>
        </w:rPr>
        <w:t xml:space="preserve">• Sub-Factor 2A: Management Approach - Ability to develop and successfully execute the framework for managing the work under the contract. </w:t>
      </w:r>
    </w:p>
  </w:comment>
  <w:comment w:id="87" w:author="Scott, Katie" w:date="2026-04-27T08:02:00Z" w:initials="KS">
    <w:p w14:paraId="73D42258" w14:textId="77777777" w:rsidR="00952715" w:rsidRDefault="00952715" w:rsidP="00952715">
      <w:pPr>
        <w:pStyle w:val="CommentText"/>
      </w:pPr>
      <w:r>
        <w:rPr>
          <w:rStyle w:val="CommentReference"/>
        </w:rPr>
        <w:annotationRef/>
      </w:r>
      <w:r>
        <w:t>Let’s add a very short intro (3 sentences or so) to this overall section to set it up, prior to jumping right into Task 1.</w:t>
      </w:r>
    </w:p>
  </w:comment>
  <w:comment w:id="89" w:author="Scott, Katie" w:date="2026-04-27T08:08:00Z" w:initials="KS">
    <w:p w14:paraId="6BDF5640" w14:textId="77777777" w:rsidR="009210AC" w:rsidRDefault="009210AC" w:rsidP="009210AC">
      <w:pPr>
        <w:pStyle w:val="CommentText"/>
      </w:pPr>
      <w:r>
        <w:rPr>
          <w:rStyle w:val="CommentReference"/>
        </w:rPr>
        <w:annotationRef/>
      </w:r>
      <w:r>
        <w:t>There is some really good content to draw from in Task 1, but we have to go back to the fundamentals to organize it and address all aspects of Task 1 in the SOW: 1) Kickoff Meeting and PIOP, 2) Reporting Requirements (with the subsections), 3) Task Order Summary Report, 4) Weekly Meetings, 5) Periodic In-Person Meetings with CMS</w:t>
      </w:r>
    </w:p>
  </w:comment>
  <w:comment w:id="90" w:author="Losito, Erica" w:date="2026-04-24T12:14:00Z" w:initials="EL">
    <w:p w14:paraId="332D4808" w14:textId="77777777" w:rsidR="004A3D30" w:rsidRDefault="004A3D30" w:rsidP="004A3D30">
      <w:pPr>
        <w:pStyle w:val="CommentText"/>
      </w:pPr>
      <w:r>
        <w:rPr>
          <w:rStyle w:val="CommentReference"/>
        </w:rPr>
        <w:annotationRef/>
      </w:r>
      <w:r>
        <w:t>Either need a call out box with past performance (where we’ve managed similarly complex CMS contracts) or include some examples in-line</w:t>
      </w:r>
    </w:p>
  </w:comment>
  <w:comment w:id="91" w:author="Losito, Erica" w:date="2026-04-24T12:14:00Z" w:initials="EL">
    <w:p w14:paraId="4371E9D9" w14:textId="77777777" w:rsidR="00C46180" w:rsidRDefault="00C46180" w:rsidP="00C46180">
      <w:pPr>
        <w:pStyle w:val="CommentText"/>
      </w:pPr>
      <w:r>
        <w:rPr>
          <w:rStyle w:val="CommentReference"/>
        </w:rPr>
        <w:annotationRef/>
      </w:r>
      <w:r>
        <w:t>And talk about where we’ve successfully brought our teaming partners along in the past</w:t>
      </w:r>
    </w:p>
  </w:comment>
  <w:comment w:id="92" w:author="Scott, Katie" w:date="2026-04-27T08:03:00Z" w:initials="KS">
    <w:p w14:paraId="5B851AAE" w14:textId="77777777" w:rsidR="00887F22" w:rsidRDefault="00887F22" w:rsidP="00887F22">
      <w:pPr>
        <w:pStyle w:val="CommentText"/>
      </w:pPr>
      <w:r>
        <w:rPr>
          <w:rStyle w:val="CommentReference"/>
        </w:rPr>
        <w:annotationRef/>
      </w:r>
      <w:r>
        <w:t>I think we can delete this full paragraph. I think it’s mostly filler language. Given the tight pages, we need to be succinct and really focus on the ‘how’ and why it benefits CMS.</w:t>
      </w:r>
    </w:p>
  </w:comment>
  <w:comment w:id="93" w:author="Bowman, Kelly" w:date="2026-04-27T08:09:00Z" w:initials="KB">
    <w:p w14:paraId="214DC1B4" w14:textId="77777777" w:rsidR="00241FD6" w:rsidRDefault="00241FD6" w:rsidP="00241FD6">
      <w:pPr>
        <w:pStyle w:val="CommentText"/>
      </w:pPr>
      <w:r>
        <w:rPr>
          <w:rStyle w:val="CommentReference"/>
        </w:rPr>
        <w:annotationRef/>
      </w:r>
      <w:r>
        <w:t>agree</w:t>
      </w:r>
    </w:p>
  </w:comment>
  <w:comment w:id="94" w:author="Bowman, Kelly" w:date="2026-04-27T08:10:00Z" w:initials="KB">
    <w:p w14:paraId="62516CE6" w14:textId="77777777" w:rsidR="008313B5" w:rsidRDefault="00241FD6" w:rsidP="008313B5">
      <w:pPr>
        <w:pStyle w:val="CommentText"/>
      </w:pPr>
      <w:r>
        <w:rPr>
          <w:rStyle w:val="CommentReference"/>
        </w:rPr>
        <w:annotationRef/>
      </w:r>
      <w:r w:rsidR="008313B5">
        <w:t>These next two paragraphs needs to be combined into a few sentences, let’s get into what our management approach is</w:t>
      </w:r>
    </w:p>
    <w:p w14:paraId="68CB914A" w14:textId="77777777" w:rsidR="008313B5" w:rsidRDefault="008313B5" w:rsidP="008313B5">
      <w:pPr>
        <w:pStyle w:val="CommentText"/>
      </w:pPr>
    </w:p>
    <w:p w14:paraId="1725078B" w14:textId="77777777" w:rsidR="008313B5" w:rsidRDefault="008313B5" w:rsidP="008313B5">
      <w:pPr>
        <w:pStyle w:val="CommentText"/>
      </w:pPr>
      <w:r>
        <w:t>Start w - X will lead the management of this program, applying PMBOK principles and using PIOP as the mgmt instrument. This section is not about understanding, but about approach, so get into that quickly</w:t>
      </w:r>
    </w:p>
  </w:comment>
  <w:comment w:id="95" w:author="Bowman, Kelly" w:date="2026-04-27T08:22:00Z" w:initials="KB">
    <w:p w14:paraId="3972C891" w14:textId="77777777" w:rsidR="008313B5" w:rsidRDefault="008313B5" w:rsidP="008313B5">
      <w:pPr>
        <w:pStyle w:val="CommentText"/>
      </w:pPr>
      <w:r>
        <w:rPr>
          <w:rStyle w:val="CommentReference"/>
        </w:rPr>
        <w:annotationRef/>
      </w:r>
      <w:r>
        <w:t>The table has a lot of wasted space. Each section (scope management, time management, etc.) should have it’s own row to make the two column approach have less white space</w:t>
      </w:r>
    </w:p>
  </w:comment>
  <w:comment w:id="96" w:author="Losito, Erica" w:date="2026-04-24T12:16:00Z" w:initials="EL">
    <w:p w14:paraId="320B7060" w14:textId="7A809FAD" w:rsidR="009A2A60" w:rsidRDefault="009E3168" w:rsidP="009A2A60">
      <w:pPr>
        <w:pStyle w:val="CommentText"/>
      </w:pPr>
      <w:r>
        <w:rPr>
          <w:rStyle w:val="CommentReference"/>
        </w:rPr>
        <w:annotationRef/>
      </w:r>
      <w:r w:rsidR="009A2A60">
        <w:t>This would be better served as a graphic. See examples below</w:t>
      </w:r>
    </w:p>
  </w:comment>
  <w:comment w:id="97" w:author="Losito, Erica" w:date="2026-04-24T12:10:00Z" w:initials="EL">
    <w:p w14:paraId="4DB6B04E" w14:textId="5CC33D35" w:rsidR="00DF1400" w:rsidRDefault="00DF1400" w:rsidP="00DF1400">
      <w:pPr>
        <w:pStyle w:val="CommentText"/>
      </w:pPr>
      <w:r>
        <w:rPr>
          <w:rStyle w:val="CommentReference"/>
        </w:rPr>
        <w:annotationRef/>
      </w:r>
      <w:r>
        <w:t>Can we reference it here but have it included in 2C?</w:t>
      </w:r>
    </w:p>
  </w:comment>
  <w:comment w:id="98" w:author="Losito, Erica" w:date="2026-04-24T13:20:00Z" w:initials="EL">
    <w:p w14:paraId="40696C92" w14:textId="77777777" w:rsidR="00306A9C" w:rsidRDefault="00306A9C" w:rsidP="00306A9C">
      <w:pPr>
        <w:pStyle w:val="CommentText"/>
      </w:pPr>
      <w:r>
        <w:rPr>
          <w:rStyle w:val="CommentReference"/>
        </w:rPr>
        <w:annotationRef/>
      </w:r>
      <w:r>
        <w:t>Or reference section 1C</w:t>
      </w:r>
    </w:p>
  </w:comment>
  <w:comment w:id="102" w:author="Losito, Erica" w:date="2026-04-24T13:07:00Z" w:initials="EL">
    <w:p w14:paraId="28CE2CE2" w14:textId="77777777" w:rsidR="001677A6" w:rsidRDefault="001677A6" w:rsidP="001677A6">
      <w:pPr>
        <w:pStyle w:val="CommentText"/>
      </w:pPr>
      <w:r>
        <w:rPr>
          <w:rStyle w:val="CommentReference"/>
        </w:rPr>
        <w:annotationRef/>
      </w:r>
      <w:r>
        <w:t>Are these examples we want to use?</w:t>
      </w:r>
    </w:p>
  </w:comment>
  <w:comment w:id="104" w:author="Jain, Rajat" w:date="2026-04-23T22:41:00Z" w:initials="RJ">
    <w:p w14:paraId="205E476F" w14:textId="0F9C7C33" w:rsidR="000F5F6F" w:rsidRDefault="000F5F6F" w:rsidP="000F5F6F">
      <w:pPr>
        <w:pStyle w:val="CommentText"/>
      </w:pPr>
      <w:r>
        <w:rPr>
          <w:rStyle w:val="CommentReference"/>
        </w:rPr>
        <w:annotationRef/>
      </w:r>
      <w:r>
        <w:rPr>
          <w:b/>
          <w:bCs/>
        </w:rPr>
        <w:t xml:space="preserve">Attachment 2 - </w:t>
      </w:r>
      <w:r>
        <w:rPr>
          <w:b/>
          <w:bCs/>
          <w:color w:val="000000"/>
        </w:rPr>
        <w:t>VOLUME I, Sub-Section 2B: Quality Assurance Approach , Pg 6</w:t>
      </w:r>
    </w:p>
    <w:p w14:paraId="5BE72645" w14:textId="77777777" w:rsidR="000F5F6F" w:rsidRDefault="000F5F6F" w:rsidP="000F5F6F">
      <w:pPr>
        <w:pStyle w:val="CommentText"/>
      </w:pPr>
    </w:p>
    <w:p w14:paraId="4DB400B4" w14:textId="77777777" w:rsidR="000F5F6F" w:rsidRDefault="000F5F6F" w:rsidP="000F5F6F">
      <w:pPr>
        <w:pStyle w:val="CommentText"/>
      </w:pPr>
      <w:r>
        <w:rPr>
          <w:color w:val="000000"/>
        </w:rPr>
        <w:t xml:space="preserve">The Offeror shall propose a Quality Assurance methodology to be used to ensure that quality services and products that meet the Government’s requirements will be provided during the task order performance. The Quality Assurance approach shall address, but is not limited to addressing, the following: </w:t>
      </w:r>
    </w:p>
    <w:p w14:paraId="0D8BD8DA" w14:textId="77777777" w:rsidR="000F5F6F" w:rsidRDefault="000F5F6F" w:rsidP="000F5F6F">
      <w:pPr>
        <w:pStyle w:val="CommentText"/>
      </w:pPr>
      <w:r>
        <w:rPr>
          <w:color w:val="000000"/>
        </w:rPr>
        <w:t xml:space="preserve">• Performance Management and Quality Control Methodologies and Approach </w:t>
      </w:r>
    </w:p>
    <w:p w14:paraId="490AE668" w14:textId="77777777" w:rsidR="000F5F6F" w:rsidRDefault="000F5F6F" w:rsidP="000F5F6F">
      <w:pPr>
        <w:pStyle w:val="CommentText"/>
      </w:pPr>
      <w:r>
        <w:rPr>
          <w:color w:val="000000"/>
        </w:rPr>
        <w:t xml:space="preserve">• Performance Controls and Monitoring Techniques </w:t>
      </w:r>
    </w:p>
    <w:p w14:paraId="4235FAFF" w14:textId="77777777" w:rsidR="000F5F6F" w:rsidRDefault="000F5F6F" w:rsidP="000F5F6F">
      <w:pPr>
        <w:pStyle w:val="CommentText"/>
      </w:pPr>
      <w:r>
        <w:rPr>
          <w:color w:val="000000"/>
        </w:rPr>
        <w:t xml:space="preserve">• Roles and Responsibilities of individuals accountable for Quality Control </w:t>
      </w:r>
    </w:p>
    <w:p w14:paraId="2BEAF2F6" w14:textId="77777777" w:rsidR="000F5F6F" w:rsidRDefault="000F5F6F" w:rsidP="000F5F6F">
      <w:pPr>
        <w:pStyle w:val="CommentText"/>
      </w:pPr>
      <w:r>
        <w:rPr>
          <w:color w:val="000000"/>
        </w:rPr>
        <w:t xml:space="preserve">• Acceptable Quality Levels </w:t>
      </w:r>
    </w:p>
    <w:p w14:paraId="6F77978A" w14:textId="77777777" w:rsidR="000F5F6F" w:rsidRDefault="000F5F6F" w:rsidP="000F5F6F">
      <w:pPr>
        <w:pStyle w:val="CommentText"/>
      </w:pPr>
      <w:r>
        <w:rPr>
          <w:color w:val="000000"/>
        </w:rPr>
        <w:t xml:space="preserve">• Performance Analysis of the Contractor’s work </w:t>
      </w:r>
    </w:p>
    <w:p w14:paraId="59FD709C" w14:textId="77777777" w:rsidR="000F5F6F" w:rsidRDefault="000F5F6F" w:rsidP="000F5F6F">
      <w:pPr>
        <w:pStyle w:val="CommentText"/>
      </w:pPr>
      <w:r>
        <w:rPr>
          <w:color w:val="000000"/>
        </w:rPr>
        <w:t xml:space="preserve">• Performance Reporting </w:t>
      </w:r>
    </w:p>
    <w:p w14:paraId="6AD5E4AA" w14:textId="77777777" w:rsidR="000F5F6F" w:rsidRDefault="000F5F6F" w:rsidP="000F5F6F">
      <w:pPr>
        <w:pStyle w:val="CommentText"/>
      </w:pPr>
      <w:r>
        <w:rPr>
          <w:color w:val="000000"/>
        </w:rPr>
        <w:t xml:space="preserve">• Performance Correction Mechanisms </w:t>
      </w:r>
    </w:p>
    <w:p w14:paraId="2AB23F5A" w14:textId="77777777" w:rsidR="000F5F6F" w:rsidRDefault="000F5F6F" w:rsidP="000F5F6F">
      <w:pPr>
        <w:pStyle w:val="CommentText"/>
      </w:pPr>
      <w:r>
        <w:rPr>
          <w:color w:val="000000"/>
        </w:rPr>
        <w:t xml:space="preserve">• Performance Metrics and Key Performance Indicators (KPIs) </w:t>
      </w:r>
    </w:p>
    <w:p w14:paraId="13352143" w14:textId="77777777" w:rsidR="000F5F6F" w:rsidRDefault="000F5F6F" w:rsidP="000F5F6F">
      <w:pPr>
        <w:pStyle w:val="CommentText"/>
      </w:pPr>
      <w:r>
        <w:rPr>
          <w:color w:val="000000"/>
        </w:rPr>
        <w:t xml:space="preserve">• Ensuring that the Service Level Agreements (SLAs) in the SOW are consistently maintained </w:t>
      </w:r>
    </w:p>
    <w:p w14:paraId="7849B857" w14:textId="77777777" w:rsidR="000F5F6F" w:rsidRDefault="000F5F6F" w:rsidP="000F5F6F">
      <w:pPr>
        <w:pStyle w:val="CommentText"/>
      </w:pPr>
      <w:r>
        <w:rPr>
          <w:color w:val="000000"/>
        </w:rPr>
        <w:t xml:space="preserve">• Ensuring QASP alignment to SLAs, AQLs, KPIs and define correction with escalation mechanisms. </w:t>
      </w:r>
    </w:p>
    <w:p w14:paraId="3F31D9DE" w14:textId="77777777" w:rsidR="000F5F6F" w:rsidRDefault="000F5F6F" w:rsidP="000F5F6F">
      <w:pPr>
        <w:pStyle w:val="CommentText"/>
      </w:pPr>
    </w:p>
    <w:p w14:paraId="767FE1A7" w14:textId="77777777" w:rsidR="000F5F6F" w:rsidRDefault="000F5F6F" w:rsidP="000F5F6F">
      <w:pPr>
        <w:pStyle w:val="CommentText"/>
      </w:pPr>
    </w:p>
    <w:p w14:paraId="2300B2DD" w14:textId="77777777" w:rsidR="000F5F6F" w:rsidRDefault="000F5F6F" w:rsidP="000F5F6F">
      <w:pPr>
        <w:pStyle w:val="CommentText"/>
      </w:pPr>
      <w:r>
        <w:rPr>
          <w:b/>
          <w:bCs/>
          <w:color w:val="000000"/>
        </w:rPr>
        <w:t>VOLUME I: Technical Evaluation Factor 2 - Management Approach, Quality Assurance and Staffing Plan, Pg 21</w:t>
      </w:r>
    </w:p>
    <w:p w14:paraId="6CDA910A" w14:textId="77777777" w:rsidR="000F5F6F" w:rsidRDefault="000F5F6F" w:rsidP="000F5F6F">
      <w:pPr>
        <w:pStyle w:val="CommentText"/>
      </w:pPr>
    </w:p>
    <w:p w14:paraId="17FB14C9" w14:textId="77777777" w:rsidR="000F5F6F" w:rsidRDefault="000F5F6F" w:rsidP="000F5F6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3A1C5EB7" w14:textId="77777777" w:rsidR="000F5F6F" w:rsidRDefault="000F5F6F" w:rsidP="000F5F6F">
      <w:pPr>
        <w:pStyle w:val="CommentText"/>
      </w:pPr>
      <w:r>
        <w:rPr>
          <w:color w:val="000000"/>
        </w:rPr>
        <w:t xml:space="preserve">Sub-Factor 2B: Quality Assurance Approach - Ability to monitor the quality of deliverables and operational support. </w:t>
      </w:r>
    </w:p>
  </w:comment>
  <w:comment w:id="105" w:author="Janesko, Sehreen" w:date="2026-04-25T13:36:00Z" w:initials="JS">
    <w:p w14:paraId="0B1F24E3" w14:textId="15CEE339" w:rsidR="009F6A3B" w:rsidRDefault="009F6A3B">
      <w:pPr>
        <w:pStyle w:val="CommentText"/>
      </w:pPr>
      <w:r>
        <w:rPr>
          <w:rStyle w:val="CommentReference"/>
        </w:rPr>
        <w:annotationRef/>
      </w:r>
      <w:r>
        <w:fldChar w:fldCharType="begin"/>
      </w:r>
      <w:r>
        <w:instrText xml:space="preserve"> HYPERLINK "mailto:moraut@deloitte.com"</w:instrText>
      </w:r>
      <w:bookmarkStart w:id="107" w:name="_@_0281B583A8464F55A0D8C8B2C3357A89Z"/>
      <w:r>
        <w:fldChar w:fldCharType="separate"/>
      </w:r>
      <w:bookmarkEnd w:id="107"/>
      <w:r w:rsidRPr="4B6AC878">
        <w:rPr>
          <w:noProof/>
        </w:rPr>
        <w:t>@Raut, Monica</w:t>
      </w:r>
      <w:r>
        <w:fldChar w:fldCharType="end"/>
      </w:r>
      <w:r w:rsidRPr="3A0F45B0">
        <w:t xml:space="preserve">  For now we have content split up by the subsection, should we aggregate the content here for easier flow?</w:t>
      </w:r>
    </w:p>
  </w:comment>
  <w:comment w:id="106" w:author="Janesko, Sehreen" w:date="2026-04-25T13:36:00Z" w:initials="JS">
    <w:p w14:paraId="24464175" w14:textId="5A73EEE8" w:rsidR="009F6A3B" w:rsidRDefault="009F6A3B">
      <w:pPr>
        <w:pStyle w:val="CommentText"/>
      </w:pPr>
      <w:r>
        <w:rPr>
          <w:rStyle w:val="CommentReference"/>
        </w:rPr>
        <w:annotationRef/>
      </w:r>
      <w:r w:rsidRPr="264D67B9">
        <w:t xml:space="preserve">Do we need to include a proposed QASP draft? or a formal QA plan? </w:t>
      </w:r>
    </w:p>
  </w:comment>
  <w:comment w:id="108" w:author="Scott, Katie" w:date="2026-04-27T08:24:00Z" w:initials="KS">
    <w:p w14:paraId="4F5C7654" w14:textId="77777777" w:rsidR="00DF0388" w:rsidRDefault="00DF0388" w:rsidP="00DF0388">
      <w:pPr>
        <w:pStyle w:val="CommentText"/>
      </w:pPr>
      <w:r>
        <w:rPr>
          <w:rStyle w:val="CommentReference"/>
        </w:rPr>
        <w:annotationRef/>
      </w:r>
      <w:r>
        <w:t>This section follows the requirements nicely, but there is no nuance or project examples/specifics - it reads like it could be cut and paste into any bid. We need to add nuance and example for this bid to make it tailored and resonate.</w:t>
      </w:r>
    </w:p>
  </w:comment>
  <w:comment w:id="110" w:author="Jain, Rajat" w:date="2026-04-23T22:45:00Z" w:initials="RJ">
    <w:p w14:paraId="438F27A6" w14:textId="77777777" w:rsidR="006828B1" w:rsidRDefault="006828B1" w:rsidP="006828B1">
      <w:pPr>
        <w:pStyle w:val="CommentText"/>
      </w:pPr>
      <w:r>
        <w:rPr>
          <w:rStyle w:val="CommentReference"/>
        </w:rPr>
        <w:annotationRef/>
      </w:r>
      <w:r>
        <w:rPr>
          <w:b/>
          <w:bCs/>
        </w:rPr>
        <w:t xml:space="preserve">Attachment 2 - </w:t>
      </w:r>
      <w:r>
        <w:rPr>
          <w:b/>
          <w:bCs/>
          <w:color w:val="000000"/>
        </w:rPr>
        <w:t>VOLUME I, Sub-Section 2C: Staffing Plan , Pg 7</w:t>
      </w:r>
    </w:p>
    <w:p w14:paraId="65F0F52D" w14:textId="77777777" w:rsidR="006828B1" w:rsidRDefault="006828B1" w:rsidP="006828B1">
      <w:pPr>
        <w:pStyle w:val="CommentText"/>
      </w:pPr>
    </w:p>
    <w:p w14:paraId="67FAB26F" w14:textId="77777777" w:rsidR="006828B1" w:rsidRDefault="006828B1" w:rsidP="006828B1">
      <w:pPr>
        <w:pStyle w:val="CommentText"/>
      </w:pPr>
      <w:r>
        <w:rPr>
          <w:color w:val="000000"/>
        </w:rPr>
        <w:t xml:space="preserve">Offerors shall demonstrate availability of appropriate staffing resources at all levels that have the applicable knowledge, experience, and ability to complete in parallel the wide range of tasks of this SOW including casework, development, maintenance, operations, stakeholder outreach, and technical assistance. The Offeror shall provide, but is not limited to providing, the following information: </w:t>
      </w:r>
    </w:p>
    <w:p w14:paraId="179C4C88" w14:textId="77777777" w:rsidR="006828B1" w:rsidRDefault="006828B1" w:rsidP="006828B1">
      <w:pPr>
        <w:pStyle w:val="CommentText"/>
      </w:pPr>
      <w:r>
        <w:rPr>
          <w:color w:val="000000"/>
        </w:rPr>
        <w:t xml:space="preserve">• A description of a workforce capable of delivering the SOW tasks and requirements, shown in terms of labor mix and subject matter expertise. Staffing shall be sensitive to, and specifically address, the range of requirements by program area. Staff shall have the requisite knowledge, skills, and experience specific to the tasks to which the staff have been assigned. </w:t>
      </w:r>
    </w:p>
    <w:p w14:paraId="6230A8B7" w14:textId="77777777" w:rsidR="006828B1" w:rsidRDefault="006828B1" w:rsidP="006828B1">
      <w:pPr>
        <w:pStyle w:val="CommentText"/>
      </w:pPr>
      <w:r>
        <w:rPr>
          <w:color w:val="000000"/>
        </w:rPr>
        <w:t xml:space="preserve">• A project resources management and staffing approach, including the processes to make the most effective use of the people involved with the project with the focus on recruitment and retention of qualified personnel with the right skillset and competencies. The staffing approach should describe the roles, responsibilities, and allocations of each staff resource assigned to the effort; the approach to transitioning staff between each life cycle phase; and the approach to estimating levels of resources required. </w:t>
      </w:r>
    </w:p>
    <w:p w14:paraId="7FC54DDE" w14:textId="77777777" w:rsidR="006828B1" w:rsidRDefault="006828B1" w:rsidP="006828B1">
      <w:pPr>
        <w:pStyle w:val="CommentText"/>
      </w:pPr>
      <w:r>
        <w:rPr>
          <w:color w:val="000000"/>
        </w:rPr>
        <w:t xml:space="preserve">• A description of all appropriate resources available, designating if they are currently on staff, prime or subcontractor, and how they will be utilized in the performance of the requirements and tasks stated in the SOW, including a matrix depicting labor hours by labor category and task (or subtask). </w:t>
      </w:r>
    </w:p>
    <w:p w14:paraId="4F49323C" w14:textId="77777777" w:rsidR="006828B1" w:rsidRDefault="006828B1" w:rsidP="006828B1">
      <w:pPr>
        <w:pStyle w:val="CommentText"/>
      </w:pPr>
      <w:r>
        <w:rPr>
          <w:color w:val="000000"/>
        </w:rPr>
        <w:t xml:space="preserve">• A description of how the Offeror proposes addressing surge support during peak operational periods (e.g., 1095-A support during Jan-May timeframes) while ensuring compliance with technical guidelines, security considerations, and ensuring staff have the appropriate subject matter expertise for the work as needed. </w:t>
      </w:r>
    </w:p>
    <w:p w14:paraId="461919EA" w14:textId="77777777" w:rsidR="006828B1" w:rsidRDefault="006828B1" w:rsidP="006828B1">
      <w:pPr>
        <w:pStyle w:val="CommentText"/>
      </w:pPr>
    </w:p>
    <w:p w14:paraId="4C03F1FC" w14:textId="77777777" w:rsidR="006828B1" w:rsidRDefault="006828B1" w:rsidP="006828B1">
      <w:pPr>
        <w:pStyle w:val="CommentText"/>
      </w:pPr>
    </w:p>
    <w:p w14:paraId="4E67316E" w14:textId="77777777" w:rsidR="006828B1" w:rsidRDefault="006828B1" w:rsidP="006828B1">
      <w:pPr>
        <w:pStyle w:val="CommentText"/>
      </w:pPr>
      <w:r>
        <w:rPr>
          <w:b/>
          <w:bCs/>
          <w:color w:val="000000"/>
        </w:rPr>
        <w:t>VOLUME I: Technical Evaluation Factor 2 - Management Approach, Quality Assurance and Staffing Plan, Pg 21</w:t>
      </w:r>
    </w:p>
    <w:p w14:paraId="67E01D7A" w14:textId="77777777" w:rsidR="006828B1" w:rsidRDefault="006828B1" w:rsidP="006828B1">
      <w:pPr>
        <w:pStyle w:val="CommentText"/>
      </w:pPr>
    </w:p>
    <w:p w14:paraId="1BD7CD54" w14:textId="77777777" w:rsidR="006828B1" w:rsidRDefault="006828B1" w:rsidP="006828B1">
      <w:pPr>
        <w:pStyle w:val="CommentText"/>
      </w:pPr>
      <w:r>
        <w:rPr>
          <w:color w:val="000000"/>
        </w:rPr>
        <w:t xml:space="preserve">The Government </w:t>
      </w:r>
      <w:r>
        <w:rPr>
          <w:b/>
          <w:bCs/>
          <w:color w:val="000000"/>
        </w:rPr>
        <w:t>will</w:t>
      </w:r>
      <w:r>
        <w:rPr>
          <w:color w:val="000000"/>
        </w:rPr>
        <w:t xml:space="preserve"> evaluate the soundness of the Offeror’s approach to managing contract work, as described in the SOW’s Task 1: Program Management, Task 11: Transition-Out and Task 12: Transition-In, and to ensure successful contract performance with specific focus on: </w:t>
      </w:r>
    </w:p>
    <w:p w14:paraId="03010398" w14:textId="77777777" w:rsidR="006828B1" w:rsidRDefault="006828B1" w:rsidP="006828B1">
      <w:pPr>
        <w:pStyle w:val="CommentText"/>
      </w:pPr>
      <w:r>
        <w:rPr>
          <w:color w:val="000000"/>
        </w:rPr>
        <w:t xml:space="preserve">Sub-Factor 2C: Staffing Plan - The labor mix, IT pool, division of work between the prime and sub-contractor, and the ability to ensure that senior, junior, and subject matter expert staff </w:t>
      </w:r>
      <w:r>
        <w:rPr>
          <w:b/>
          <w:bCs/>
          <w:color w:val="000000"/>
        </w:rPr>
        <w:t>will</w:t>
      </w:r>
      <w:r>
        <w:rPr>
          <w:color w:val="000000"/>
        </w:rPr>
        <w:t xml:space="preserve"> be readily available to fulfill operational tasks/sub tasks and address ad hoc requests. </w:t>
      </w:r>
    </w:p>
  </w:comment>
  <w:comment w:id="111" w:author="Scott, Katie" w:date="2026-04-27T08:26:00Z" w:initials="KS">
    <w:p w14:paraId="1483A522" w14:textId="77777777" w:rsidR="00C33993" w:rsidRDefault="00C33993" w:rsidP="00C33993">
      <w:pPr>
        <w:pStyle w:val="CommentText"/>
      </w:pPr>
      <w:r>
        <w:rPr>
          <w:rStyle w:val="CommentReference"/>
        </w:rPr>
        <w:annotationRef/>
      </w:r>
      <w:r>
        <w:t>Let’s take a step back to bullet out our key win themes/success factors for staffing. At the moment this is just restating the SOW.</w:t>
      </w:r>
    </w:p>
  </w:comment>
  <w:comment w:id="112" w:author="Tibbetts, William" w:date="2026-04-27T08:04:00Z" w:initials="TW">
    <w:p w14:paraId="5F26FC02" w14:textId="31703C3C" w:rsidR="005174ED" w:rsidRDefault="005174ED">
      <w:pPr>
        <w:pStyle w:val="CommentText"/>
      </w:pPr>
      <w:r>
        <w:rPr>
          <w:rStyle w:val="CommentReference"/>
        </w:rPr>
        <w:annotationRef/>
      </w:r>
      <w:r w:rsidRPr="00DBDC0D">
        <w:t>at some point we need to talk about our teammates and why they are on the team. This is a big benefit to CCIIO that we are completely missing</w:t>
      </w:r>
    </w:p>
  </w:comment>
  <w:comment w:id="113" w:author="Tibbetts, William" w:date="2026-04-27T07:57:00Z" w:initials="TW">
    <w:p w14:paraId="24B15D94" w14:textId="0F230D57" w:rsidR="00D2133E" w:rsidRDefault="00D2133E">
      <w:pPr>
        <w:pStyle w:val="CommentText"/>
      </w:pPr>
      <w:r>
        <w:rPr>
          <w:rStyle w:val="CommentReference"/>
        </w:rPr>
        <w:annotationRef/>
      </w:r>
      <w:r w:rsidRPr="4C3F7D5E">
        <w:t>Need to include Maximus as well. I also don't think we need to include their workshare percentage, but maybe what roles they will fill</w:t>
      </w:r>
    </w:p>
  </w:comment>
  <w:comment w:id="114" w:author="Scott, Katie" w:date="2026-04-27T08:27:00Z" w:initials="KS">
    <w:p w14:paraId="349381F7" w14:textId="77777777" w:rsidR="00956174" w:rsidRDefault="00956174" w:rsidP="00956174">
      <w:pPr>
        <w:pStyle w:val="CommentText"/>
      </w:pPr>
      <w:r>
        <w:rPr>
          <w:rStyle w:val="CommentReference"/>
        </w:rPr>
        <w:annotationRef/>
      </w:r>
      <w:r>
        <w:t>Let’s please not include any of this language that tells CMS what they told us.</w:t>
      </w:r>
    </w:p>
  </w:comment>
  <w:comment w:id="115" w:author="Tibbetts, William" w:date="2026-04-27T07:58:00Z" w:initials="TW">
    <w:p w14:paraId="4BE50C68" w14:textId="730772A6" w:rsidR="00033831" w:rsidRDefault="00033831">
      <w:pPr>
        <w:pStyle w:val="CommentText"/>
      </w:pPr>
      <w:r>
        <w:rPr>
          <w:rStyle w:val="CommentReference"/>
        </w:rPr>
        <w:annotationRef/>
      </w:r>
      <w:r w:rsidRPr="3DAB1D4A">
        <w:t>This reads as the RFP instructions, not our understanding</w:t>
      </w:r>
    </w:p>
  </w:comment>
  <w:comment w:id="116" w:author="Tibbetts, William" w:date="2026-04-27T07:59:00Z" w:initials="TW">
    <w:p w14:paraId="5D73DD2B" w14:textId="4D066A63" w:rsidR="000858B8" w:rsidRDefault="000858B8">
      <w:pPr>
        <w:pStyle w:val="CommentText"/>
      </w:pPr>
      <w:r>
        <w:rPr>
          <w:rStyle w:val="CommentReference"/>
        </w:rPr>
        <w:annotationRef/>
      </w:r>
      <w:r w:rsidRPr="170AA544">
        <w:t>These read like instructions from CMS, not our understanding/approach</w:t>
      </w:r>
    </w:p>
  </w:comment>
  <w:comment w:id="117" w:author="Tibbetts, William" w:date="2026-04-27T07:51:00Z" w:initials="TW">
    <w:p w14:paraId="2CFED3C9" w14:textId="05064970" w:rsidR="00A87F44" w:rsidRDefault="00A87F44">
      <w:pPr>
        <w:pStyle w:val="CommentText"/>
      </w:pPr>
      <w:r>
        <w:rPr>
          <w:rStyle w:val="CommentReference"/>
        </w:rPr>
        <w:annotationRef/>
      </w:r>
      <w:r w:rsidRPr="4EABC390">
        <w:t xml:space="preserve">We need to more explicitly write to this from the SOO: The Contractor shall plan to recruit, onboard, and train approximately 100-120 temporary case analysts and 4 temporary team leadership roles to handle the increase in Form 1095-A consumer disputes received during the tax season (January-May) and off board temporary cases analysts and team leads after the tax season. </w:t>
      </w:r>
    </w:p>
  </w:comment>
  <w:comment w:id="118" w:author="Tibbetts, William" w:date="2026-04-27T07:50:00Z" w:initials="TW">
    <w:p w14:paraId="1DF2C451" w14:textId="1EBC3868" w:rsidR="003F6A51" w:rsidRDefault="003F6A51">
      <w:pPr>
        <w:pStyle w:val="CommentText"/>
      </w:pPr>
      <w:r>
        <w:rPr>
          <w:rStyle w:val="CommentReference"/>
        </w:rPr>
        <w:annotationRef/>
      </w:r>
      <w:r w:rsidRPr="3FCA648A">
        <w:t>Could we use predictive analytics to help determine surge capacity needed?</w:t>
      </w:r>
    </w:p>
  </w:comment>
  <w:comment w:id="119" w:author="Tibbetts, William" w:date="2026-04-27T08:01:00Z" w:initials="TW">
    <w:p w14:paraId="3A4104C2" w14:textId="0C31EC74" w:rsidR="00B337A3" w:rsidRDefault="00B337A3">
      <w:pPr>
        <w:pStyle w:val="CommentText"/>
      </w:pPr>
      <w:r>
        <w:rPr>
          <w:rStyle w:val="CommentReference"/>
        </w:rPr>
        <w:annotationRef/>
      </w:r>
      <w:r w:rsidRPr="774EC8DC">
        <w:t>This also reads like instructions, not our understanding and approach</w:t>
      </w:r>
    </w:p>
  </w:comment>
  <w:comment w:id="122" w:author="Jain, Rajat" w:date="2026-04-23T22:50:00Z" w:initials="RJ">
    <w:p w14:paraId="265E269A" w14:textId="77777777" w:rsidR="00BA6A25" w:rsidRDefault="00BA6A25" w:rsidP="00BA6A25">
      <w:pPr>
        <w:pStyle w:val="CommentText"/>
      </w:pPr>
      <w:r>
        <w:rPr>
          <w:rStyle w:val="CommentReference"/>
        </w:rPr>
        <w:annotationRef/>
      </w:r>
      <w:r>
        <w:rPr>
          <w:b/>
          <w:bCs/>
        </w:rPr>
        <w:t xml:space="preserve">Attachment 2 - </w:t>
      </w:r>
      <w:r>
        <w:rPr>
          <w:b/>
          <w:bCs/>
          <w:color w:val="000000"/>
        </w:rPr>
        <w:t>VOLUME I, Sub-Section 3A: Key Personnel Qualifications, Pg 8</w:t>
      </w:r>
    </w:p>
    <w:p w14:paraId="04FBB066" w14:textId="77777777" w:rsidR="00BA6A25" w:rsidRDefault="00BA6A25" w:rsidP="00BA6A25">
      <w:pPr>
        <w:pStyle w:val="CommentText"/>
      </w:pPr>
    </w:p>
    <w:p w14:paraId="46AAF359" w14:textId="77777777" w:rsidR="00BA6A25" w:rsidRDefault="00BA6A25" w:rsidP="00BA6A25">
      <w:pPr>
        <w:pStyle w:val="CommentText"/>
      </w:pPr>
      <w:r>
        <w:rPr>
          <w:color w:val="000000"/>
        </w:rPr>
        <w:t xml:space="preserve">Offerors shall demonstrate experience and knowledge of the prime contractor’s staff and that of any subcontractors proposed as key or integral to the Offeror’s plan for leading the project team, including their education, experience on similar projects and expertise and any other professional credentials, highlighting the relevance of the staff person’s skills and capabilities relative to the SOW requirement and their role on the project. </w:t>
      </w:r>
    </w:p>
    <w:p w14:paraId="27468350" w14:textId="77777777" w:rsidR="00BA6A25" w:rsidRDefault="00BA6A25" w:rsidP="00BA6A25">
      <w:pPr>
        <w:pStyle w:val="CommentText"/>
      </w:pPr>
      <w:r>
        <w:rPr>
          <w:color w:val="000000"/>
        </w:rPr>
        <w:t xml:space="preserve">At a minimum, the Offeror shall provide the following for key personnel: </w:t>
      </w:r>
    </w:p>
    <w:p w14:paraId="57284FB4" w14:textId="77777777" w:rsidR="00BA6A25" w:rsidRDefault="00BA6A25" w:rsidP="00BA6A25">
      <w:pPr>
        <w:pStyle w:val="CommentText"/>
      </w:pPr>
      <w:r>
        <w:rPr>
          <w:color w:val="000000"/>
        </w:rPr>
        <w:t xml:space="preserve">• Describe functions and duties with respect to the task order. </w:t>
      </w:r>
    </w:p>
    <w:p w14:paraId="40869CB5" w14:textId="77777777" w:rsidR="00BA6A25" w:rsidRDefault="00BA6A25" w:rsidP="00BA6A25">
      <w:pPr>
        <w:pStyle w:val="CommentText"/>
      </w:pPr>
      <w:r>
        <w:rPr>
          <w:color w:val="000000"/>
        </w:rPr>
        <w:t xml:space="preserve">• Specify percent of time in person-years to be allocated to this project and its tasks. </w:t>
      </w:r>
    </w:p>
    <w:p w14:paraId="0736B050" w14:textId="77777777" w:rsidR="00BA6A25" w:rsidRDefault="00BA6A25" w:rsidP="00BA6A25">
      <w:pPr>
        <w:pStyle w:val="CommentText"/>
      </w:pPr>
      <w:r>
        <w:rPr>
          <w:color w:val="000000"/>
        </w:rPr>
        <w:t xml:space="preserve">• Detailed description of related CMS project experience, especially with data systems related to eligibility determination. </w:t>
      </w:r>
    </w:p>
    <w:p w14:paraId="58169765" w14:textId="77777777" w:rsidR="00BA6A25" w:rsidRDefault="00BA6A25" w:rsidP="00BA6A25">
      <w:pPr>
        <w:pStyle w:val="CommentText"/>
      </w:pPr>
      <w:r>
        <w:rPr>
          <w:color w:val="000000"/>
        </w:rPr>
        <w:t xml:space="preserve">• Letter of commitment for any key personnel not presently employed by the Offeror or its subcontractor(s). The letter of commitment shall include the date of availability and how long the individual’s commitment is binding, and must be signed by the individual and a corporate authorized official. Letters of commitment will not count against the page limit. </w:t>
      </w:r>
    </w:p>
    <w:p w14:paraId="75BAEF94" w14:textId="77777777" w:rsidR="00BA6A25" w:rsidRDefault="00BA6A25" w:rsidP="00BA6A25">
      <w:pPr>
        <w:pStyle w:val="CommentText"/>
      </w:pPr>
      <w:r>
        <w:rPr>
          <w:color w:val="000000"/>
        </w:rPr>
        <w:t xml:space="preserve">• Plan for replacement of key personnel in the event a key personnel departs the project to ensure similar qualifications and a smooth transition. </w:t>
      </w:r>
    </w:p>
    <w:p w14:paraId="1F860491" w14:textId="77777777" w:rsidR="00BA6A25" w:rsidRDefault="00BA6A25" w:rsidP="00BA6A25">
      <w:pPr>
        <w:pStyle w:val="CommentText"/>
      </w:pPr>
      <w:r>
        <w:rPr>
          <w:color w:val="000000"/>
        </w:rPr>
        <w:t xml:space="preserve">• Information on the key personnel and/or other significant leads that will be used on the project and their expertise as it pertains to achieving the goals and objectives as described in the SOW. This information should include all relevant certifications, training, and experience. For key personnel, provide (in an appendix) a current resume, indicating relevant specific experience and education. Resumes shall be a maximum of two pages each and will not count against the page limit. </w:t>
      </w:r>
    </w:p>
    <w:p w14:paraId="7369F5A1" w14:textId="77777777" w:rsidR="00BA6A25" w:rsidRDefault="00BA6A25" w:rsidP="00BA6A25">
      <w:pPr>
        <w:pStyle w:val="CommentText"/>
      </w:pPr>
    </w:p>
    <w:p w14:paraId="43012237" w14:textId="77777777" w:rsidR="00BA6A25" w:rsidRDefault="00BA6A25" w:rsidP="00BA6A25">
      <w:pPr>
        <w:pStyle w:val="CommentText"/>
      </w:pPr>
      <w:r>
        <w:rPr>
          <w:b/>
          <w:bCs/>
          <w:color w:val="000000"/>
        </w:rPr>
        <w:t>VOLUME I: Technical Evaluation Factor 3 – Key Personnel Qualification and Corporate Experience, Pg 21</w:t>
      </w:r>
    </w:p>
    <w:p w14:paraId="1D8A7438" w14:textId="77777777" w:rsidR="00BA6A25" w:rsidRDefault="00BA6A25" w:rsidP="00BA6A25">
      <w:pPr>
        <w:pStyle w:val="CommentText"/>
      </w:pPr>
    </w:p>
    <w:p w14:paraId="639952D2" w14:textId="77777777" w:rsidR="00BA6A25" w:rsidRDefault="00BA6A25" w:rsidP="00BA6A25">
      <w:pPr>
        <w:pStyle w:val="CommentText"/>
      </w:pPr>
      <w:r>
        <w:rPr>
          <w:color w:val="000000"/>
        </w:rPr>
        <w:t xml:space="preserve">The Government will evaluate relevant background and experience of key personnel, and any subject matter expert(s). The evaluation will focus on the following elements: </w:t>
      </w:r>
    </w:p>
    <w:p w14:paraId="0C0B3143" w14:textId="77777777" w:rsidR="00BA6A25" w:rsidRDefault="00BA6A25" w:rsidP="00BA6A25">
      <w:pPr>
        <w:pStyle w:val="CommentText"/>
      </w:pPr>
      <w:r>
        <w:rPr>
          <w:color w:val="000000"/>
        </w:rPr>
        <w:t>• Sub-Factor 3A: Key Personnel Qualifications - Relevant educational background, professional experience, federal data or federal healthcare experience, stakeholder-</w:t>
      </w:r>
    </w:p>
    <w:p w14:paraId="4D76182A" w14:textId="77777777" w:rsidR="00BA6A25" w:rsidRDefault="00BA6A25" w:rsidP="00BA6A25">
      <w:pPr>
        <w:pStyle w:val="CommentText"/>
      </w:pPr>
      <w:r>
        <w:rPr>
          <w:color w:val="000000"/>
        </w:rPr>
        <w:t xml:space="preserve">outreach experience, technical assistance experience, and special qualifications of key personnel. </w:t>
      </w:r>
    </w:p>
  </w:comment>
  <w:comment w:id="123" w:author="Estep, Cassidy" w:date="2026-04-26T17:10:00Z" w:initials="EC">
    <w:p w14:paraId="3FA42A10" w14:textId="77777777" w:rsidR="001633F2" w:rsidRDefault="001633F2" w:rsidP="001633F2">
      <w:r>
        <w:rPr>
          <w:rStyle w:val="CommentReference"/>
        </w:rPr>
        <w:annotationRef/>
      </w:r>
      <w:r>
        <w:rPr>
          <w:sz w:val="20"/>
          <w:szCs w:val="20"/>
        </w:rPr>
        <w:t>Note: Section added.</w:t>
      </w:r>
    </w:p>
  </w:comment>
  <w:comment w:id="124" w:author="Losito, Erica" w:date="2026-04-24T13:19:00Z" w:initials="EL">
    <w:p w14:paraId="51914692" w14:textId="77777777" w:rsidR="006557D6" w:rsidRDefault="006557D6" w:rsidP="00BB715E">
      <w:pPr>
        <w:pStyle w:val="CommentText"/>
      </w:pPr>
      <w:r>
        <w:rPr>
          <w:rStyle w:val="CommentReference"/>
        </w:rPr>
        <w:annotationRef/>
      </w:r>
      <w:r>
        <w:t>Typically a table by LCAT/OY/Task</w:t>
      </w:r>
    </w:p>
  </w:comment>
  <w:comment w:id="125" w:author="Estep, Cassidy" w:date="2026-04-26T17:03:00Z" w:initials="EC">
    <w:p w14:paraId="4D4D3311" w14:textId="77777777" w:rsidR="006557D6" w:rsidRDefault="006557D6" w:rsidP="00BE5582">
      <w:r>
        <w:rPr>
          <w:rStyle w:val="CommentReference"/>
        </w:rPr>
        <w:annotationRef/>
      </w:r>
      <w:r>
        <w:rPr>
          <w:sz w:val="20"/>
          <w:szCs w:val="20"/>
        </w:rPr>
        <w:t>Should this exclusively be for key personnel? Can we confirm they aren't planning to put a similar table in the Staffing Plan (2C) section above?</w:t>
      </w:r>
    </w:p>
  </w:comment>
  <w:comment w:id="127" w:author="Jain, Rajat" w:date="2026-04-23T22:55:00Z" w:initials="RJ">
    <w:p w14:paraId="3CB48EAE" w14:textId="73EC28B2" w:rsidR="0010647B" w:rsidRDefault="0010647B" w:rsidP="0010647B">
      <w:pPr>
        <w:pStyle w:val="CommentText"/>
      </w:pPr>
      <w:r>
        <w:rPr>
          <w:rStyle w:val="CommentReference"/>
        </w:rPr>
        <w:annotationRef/>
      </w:r>
      <w:r>
        <w:rPr>
          <w:b/>
          <w:bCs/>
        </w:rPr>
        <w:t xml:space="preserve">Attachment 2 - </w:t>
      </w:r>
      <w:r>
        <w:rPr>
          <w:b/>
          <w:bCs/>
          <w:color w:val="000000"/>
        </w:rPr>
        <w:t>VOLUME I, Sub-Section 3B: Corporate Experience , Pg 10</w:t>
      </w:r>
    </w:p>
    <w:p w14:paraId="75D2721D" w14:textId="77777777" w:rsidR="0010647B" w:rsidRDefault="0010647B" w:rsidP="0010647B">
      <w:pPr>
        <w:pStyle w:val="CommentText"/>
      </w:pPr>
    </w:p>
    <w:p w14:paraId="2570B8A0" w14:textId="77777777" w:rsidR="0010647B" w:rsidRDefault="0010647B" w:rsidP="0010647B">
      <w:pPr>
        <w:pStyle w:val="CommentText"/>
      </w:pPr>
      <w:r>
        <w:rPr>
          <w:color w:val="000000"/>
        </w:rPr>
        <w:t xml:space="preserve">Offerors </w:t>
      </w:r>
      <w:r>
        <w:rPr>
          <w:b/>
          <w:bCs/>
          <w:color w:val="000000"/>
        </w:rPr>
        <w:t xml:space="preserve">shall </w:t>
      </w:r>
      <w:r>
        <w:rPr>
          <w:color w:val="000000"/>
        </w:rPr>
        <w:t xml:space="preserve">demonstrate their organizational/corporate experience as it relates to the requirements of comparable scope, scale and complexity of this acquisition. Offerors </w:t>
      </w:r>
      <w:r>
        <w:rPr>
          <w:b/>
          <w:bCs/>
          <w:color w:val="000000"/>
        </w:rPr>
        <w:t>shall</w:t>
      </w:r>
      <w:r>
        <w:rPr>
          <w:color w:val="000000"/>
        </w:rPr>
        <w:t xml:space="preserve"> describe prior experience with projects of similar scope, scale and complexity, specify beginning and completion dates, detail any “staffing up” and offboarding process that was used for the project, and describe the outcomes. If subcontractors are to be used for any portion of the work, the Offeror </w:t>
      </w:r>
      <w:r>
        <w:rPr>
          <w:b/>
          <w:bCs/>
          <w:color w:val="000000"/>
        </w:rPr>
        <w:t>shall</w:t>
      </w:r>
      <w:r>
        <w:rPr>
          <w:color w:val="000000"/>
        </w:rPr>
        <w:t xml:space="preserve"> describe any corporate history of working with the proposed subcontractor and the subcontractor’s specific experience with projects of similar scope, scale and complexity. </w:t>
      </w:r>
    </w:p>
    <w:p w14:paraId="70678FCA" w14:textId="77777777" w:rsidR="0010647B" w:rsidRDefault="0010647B" w:rsidP="0010647B">
      <w:pPr>
        <w:pStyle w:val="CommentText"/>
      </w:pPr>
    </w:p>
    <w:p w14:paraId="50042507" w14:textId="77777777" w:rsidR="0010647B" w:rsidRDefault="0010647B" w:rsidP="0010647B">
      <w:pPr>
        <w:pStyle w:val="CommentText"/>
      </w:pPr>
      <w:r>
        <w:rPr>
          <w:b/>
          <w:bCs/>
          <w:color w:val="000000"/>
        </w:rPr>
        <w:t xml:space="preserve">VOLUME I: Technical Evaluation Factor 3 – Key Personnel Qualification and Corporate Experience </w:t>
      </w:r>
    </w:p>
    <w:p w14:paraId="4A0D6611" w14:textId="77777777" w:rsidR="0010647B" w:rsidRDefault="0010647B" w:rsidP="0010647B">
      <w:pPr>
        <w:pStyle w:val="CommentText"/>
      </w:pPr>
    </w:p>
    <w:p w14:paraId="7F1182EC" w14:textId="77777777" w:rsidR="0010647B" w:rsidRDefault="0010647B" w:rsidP="0010647B">
      <w:pPr>
        <w:pStyle w:val="CommentText"/>
      </w:pPr>
      <w:r>
        <w:rPr>
          <w:color w:val="000000"/>
        </w:rPr>
        <w:t xml:space="preserve">The Government </w:t>
      </w:r>
      <w:r>
        <w:rPr>
          <w:b/>
          <w:bCs/>
          <w:color w:val="000000"/>
        </w:rPr>
        <w:t xml:space="preserve">will </w:t>
      </w:r>
      <w:r>
        <w:rPr>
          <w:color w:val="000000"/>
        </w:rPr>
        <w:t xml:space="preserve">evaluate relevant background and experience of key personnel, and any subject matter expert(s). The evaluation </w:t>
      </w:r>
      <w:r>
        <w:rPr>
          <w:b/>
          <w:bCs/>
          <w:color w:val="000000"/>
        </w:rPr>
        <w:t>will</w:t>
      </w:r>
      <w:r>
        <w:rPr>
          <w:color w:val="000000"/>
        </w:rPr>
        <w:t xml:space="preserve"> focus on the following elements: </w:t>
      </w:r>
    </w:p>
    <w:p w14:paraId="45B9FEC4" w14:textId="77777777" w:rsidR="0010647B" w:rsidRDefault="0010647B" w:rsidP="0010647B">
      <w:pPr>
        <w:pStyle w:val="CommentText"/>
      </w:pPr>
      <w:r>
        <w:rPr>
          <w:color w:val="000000"/>
        </w:rPr>
        <w:t xml:space="preserve">Sub-Factor 3B: Corporate Experience - Corporate experiences and success with engagements of similar scope, scale and complexity. </w:t>
      </w:r>
    </w:p>
  </w:comment>
  <w:comment w:id="128" w:author="Allen, Elizabeth-Ashley" w:date="2026-04-26T18:16:00Z" w:initials="AEA">
    <w:p w14:paraId="7544DDAA" w14:textId="77777777" w:rsidR="00C52560" w:rsidRDefault="00C52560" w:rsidP="00C52560">
      <w:r>
        <w:rPr>
          <w:rStyle w:val="CommentReference"/>
        </w:rPr>
        <w:annotationRef/>
      </w:r>
      <w:r>
        <w:rPr>
          <w:sz w:val="20"/>
          <w:szCs w:val="20"/>
        </w:rPr>
        <w:t>SMEs confirm these are appropriate examples to use.</w:t>
      </w:r>
    </w:p>
  </w:comment>
  <w:comment w:id="129" w:author="Allen, Elizabeth-Ashley" w:date="2026-04-26T18:23:00Z" w:initials="AEA">
    <w:p w14:paraId="6740C0DA" w14:textId="77777777" w:rsidR="00030E60" w:rsidRDefault="00030E60" w:rsidP="00590D1D">
      <w:r>
        <w:rPr>
          <w:rStyle w:val="CommentReference"/>
        </w:rPr>
        <w:annotationRef/>
      </w:r>
      <w:r>
        <w:rPr>
          <w:sz w:val="20"/>
          <w:szCs w:val="20"/>
        </w:rPr>
        <w:t xml:space="preserve">This is verbatim from existing qual used in recent proposal. </w:t>
      </w:r>
    </w:p>
  </w:comment>
  <w:comment w:id="130" w:author="Allen, Elizabeth-Ashley" w:date="2026-04-26T18:15:00Z" w:initials="AEA">
    <w:p w14:paraId="2F603C75" w14:textId="77777777" w:rsidR="001F05BC" w:rsidRDefault="001F05BC" w:rsidP="001F05BC">
      <w:r>
        <w:rPr>
          <w:rStyle w:val="CommentReference"/>
        </w:rPr>
        <w:annotationRef/>
      </w:r>
      <w:r>
        <w:rPr>
          <w:sz w:val="20"/>
          <w:szCs w:val="20"/>
        </w:rPr>
        <w:t xml:space="preserve">Need to validate, sourced from pre-RFP materials. </w:t>
      </w:r>
    </w:p>
  </w:comment>
  <w:comment w:id="132" w:author="Jain, Rajat" w:date="2026-04-23T23:00:00Z" w:initials="RJ">
    <w:p w14:paraId="3CAC8356" w14:textId="77777777" w:rsidR="00C06351" w:rsidRDefault="00C06351" w:rsidP="00C06351">
      <w:pPr>
        <w:pStyle w:val="CommentText"/>
      </w:pPr>
      <w:r>
        <w:rPr>
          <w:rStyle w:val="CommentReference"/>
        </w:rPr>
        <w:annotationRef/>
      </w:r>
      <w:r>
        <w:rPr>
          <w:b/>
          <w:bCs/>
        </w:rPr>
        <w:t xml:space="preserve">Attachment 2 - </w:t>
      </w:r>
      <w:r>
        <w:rPr>
          <w:b/>
          <w:bCs/>
          <w:color w:val="000000"/>
        </w:rPr>
        <w:t>VOLUME I, Section 4: Utilization of Small Business, Pg 10</w:t>
      </w:r>
    </w:p>
    <w:p w14:paraId="41375FC5" w14:textId="77777777" w:rsidR="00C06351" w:rsidRDefault="00C06351" w:rsidP="00C06351">
      <w:pPr>
        <w:pStyle w:val="CommentText"/>
      </w:pPr>
    </w:p>
    <w:p w14:paraId="0461E721" w14:textId="77777777" w:rsidR="00C06351" w:rsidRDefault="00C06351" w:rsidP="00C06351">
      <w:pPr>
        <w:pStyle w:val="CommentText"/>
      </w:pPr>
      <w:r>
        <w:rPr>
          <w:color w:val="000000"/>
        </w:rPr>
        <w:t>Contractors shall document how they plan to maximize subcontracting opportunities to small businesses on this task order, illustrating how their approach contributes to achieving the RFQ goal of 15% of total task order dollars being subcontracted to small business. Please provide the name(s) of the proposed small businesses, addresses, points of contact and phone numbers. The information above shall be provided in the provided format(please refer)</w:t>
      </w:r>
    </w:p>
    <w:p w14:paraId="3AEC994E" w14:textId="77777777" w:rsidR="00C06351" w:rsidRDefault="00C06351" w:rsidP="00C06351">
      <w:pPr>
        <w:pStyle w:val="CommentText"/>
      </w:pPr>
      <w:r>
        <w:rPr>
          <w:color w:val="000000"/>
        </w:rPr>
        <w:t>Offerors shall describe their commitment to use Small Businesses. Commitment should be as specific as possible. Please provide copies of documents demonstrating this commitment (e.g., draft subcontracting agreements, letters of commitment, teaming arrangements, etc.). Documents provided shall describe the work that will be performed by the small business subcontractor. (</w:t>
      </w:r>
      <w:r>
        <w:rPr>
          <w:i/>
          <w:iCs/>
          <w:color w:val="000000"/>
        </w:rPr>
        <w:t>Documents may be provided as an attachment and will not count towards the page limitation</w:t>
      </w:r>
      <w:r>
        <w:rPr>
          <w:color w:val="000000"/>
        </w:rPr>
        <w:t xml:space="preserve">). </w:t>
      </w:r>
    </w:p>
    <w:p w14:paraId="21C227A5" w14:textId="77777777" w:rsidR="00C06351" w:rsidRDefault="00C06351" w:rsidP="00C06351">
      <w:pPr>
        <w:pStyle w:val="CommentText"/>
      </w:pPr>
      <w:r>
        <w:rPr>
          <w:color w:val="000000"/>
        </w:rPr>
        <w:t xml:space="preserve">If a small business is submitting as a prime contractor, they should address the portion of the work they are completing versus the amount of work they plan to subcontract to another contractor. </w:t>
      </w:r>
    </w:p>
    <w:p w14:paraId="3077A468" w14:textId="77777777" w:rsidR="00C06351" w:rsidRDefault="00C06351" w:rsidP="00C06351">
      <w:pPr>
        <w:pStyle w:val="CommentText"/>
      </w:pPr>
    </w:p>
    <w:p w14:paraId="78EAFDD9" w14:textId="77777777" w:rsidR="00C06351" w:rsidRDefault="00C06351" w:rsidP="00C06351">
      <w:pPr>
        <w:pStyle w:val="CommentText"/>
      </w:pPr>
      <w:r>
        <w:rPr>
          <w:b/>
          <w:bCs/>
          <w:color w:val="000000"/>
        </w:rPr>
        <w:t>VOLUME I: Technical Evaluation Factor 4 - Utilization of Small Business (Evaluated, but not rated) , Pg 22</w:t>
      </w:r>
    </w:p>
    <w:p w14:paraId="6A196664" w14:textId="77777777" w:rsidR="00C06351" w:rsidRDefault="00C06351" w:rsidP="00C06351">
      <w:pPr>
        <w:pStyle w:val="CommentText"/>
      </w:pPr>
    </w:p>
    <w:p w14:paraId="592DE5C1" w14:textId="77777777" w:rsidR="00C06351" w:rsidRDefault="00C06351" w:rsidP="00C06351">
      <w:pPr>
        <w:pStyle w:val="CommentText"/>
      </w:pPr>
      <w:r>
        <w:rPr>
          <w:color w:val="000000"/>
        </w:rPr>
        <w:t xml:space="preserve">Contractors will be evaluated on how they plan to maximize subcontracting opportunities to small businesses on this task order as it relates to the RFQ goal that 15% of the total task order value be subcontracted to small business. </w:t>
      </w:r>
    </w:p>
  </w:comment>
  <w:comment w:id="134" w:author="Bhatnagar, Abhas" w:date="2026-04-24T00:32:00Z" w:initials="AB">
    <w:p w14:paraId="1F729A19" w14:textId="77777777" w:rsidR="00D4736E" w:rsidRDefault="00D4736E" w:rsidP="00D4736E">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0A8E6948" w14:textId="77777777" w:rsidR="00D4736E" w:rsidRDefault="00D4736E" w:rsidP="00D4736E">
      <w:pPr>
        <w:pStyle w:val="CommentText"/>
      </w:pPr>
      <w:r>
        <w:rPr>
          <w:color w:val="000000"/>
        </w:rPr>
        <w:br/>
        <w:t xml:space="preserve">For key personnel, provide (in an appendix) a current resume, indicating relevant specific experience and education. Resumes </w:t>
      </w:r>
      <w:r>
        <w:rPr>
          <w:b/>
          <w:bCs/>
          <w:color w:val="000000"/>
        </w:rPr>
        <w:t>shall</w:t>
      </w:r>
      <w:r>
        <w:rPr>
          <w:color w:val="000000"/>
        </w:rPr>
        <w:t xml:space="preserve"> be a maximum of two pages each and will not count against the page limit. </w:t>
      </w:r>
    </w:p>
    <w:p w14:paraId="1469AB7A" w14:textId="77777777" w:rsidR="00D4736E" w:rsidRDefault="00D4736E" w:rsidP="00D4736E">
      <w:pPr>
        <w:pStyle w:val="CommentText"/>
      </w:pPr>
      <w:r>
        <w:rPr>
          <w:color w:val="000000"/>
        </w:rPr>
        <w:t xml:space="preserve">Offerors </w:t>
      </w:r>
      <w:r>
        <w:rPr>
          <w:b/>
          <w:bCs/>
          <w:color w:val="000000"/>
        </w:rPr>
        <w:t>shall</w:t>
      </w:r>
      <w:r>
        <w:rPr>
          <w:color w:val="000000"/>
        </w:rPr>
        <w:t xml:space="preserve"> designate the positions listed below as key personnel. Offerors </w:t>
      </w:r>
      <w:r>
        <w:rPr>
          <w:b/>
          <w:bCs/>
          <w:color w:val="000000"/>
        </w:rPr>
        <w:t>may</w:t>
      </w:r>
      <w:r>
        <w:rPr>
          <w:color w:val="000000"/>
        </w:rPr>
        <w:t xml:space="preserve"> propose additional key personnel, if necessary, with the rationale that addresses the basis for this determination. </w:t>
      </w:r>
    </w:p>
    <w:p w14:paraId="34E42344" w14:textId="77777777" w:rsidR="00D4736E" w:rsidRDefault="00D4736E" w:rsidP="00D4736E">
      <w:pPr>
        <w:pStyle w:val="CommentText"/>
      </w:pPr>
    </w:p>
    <w:p w14:paraId="2F29A72B" w14:textId="77777777" w:rsidR="00D4736E" w:rsidRDefault="00D4736E" w:rsidP="00D4736E">
      <w:pPr>
        <w:pStyle w:val="CommentText"/>
      </w:pPr>
      <w:r>
        <w:rPr>
          <w:b/>
          <w:bCs/>
          <w:color w:val="000000"/>
        </w:rPr>
        <w:t>Attachment 2, Technical Evaluation Factor 3 – Key Personnel Qualification, Pg 21</w:t>
      </w:r>
    </w:p>
    <w:p w14:paraId="6BFEF0B0" w14:textId="77777777" w:rsidR="00D4736E" w:rsidRDefault="00D4736E" w:rsidP="00D4736E">
      <w:pPr>
        <w:pStyle w:val="CommentText"/>
      </w:pPr>
    </w:p>
    <w:p w14:paraId="2E648880" w14:textId="77777777" w:rsidR="00D4736E" w:rsidRDefault="00D4736E" w:rsidP="00D4736E">
      <w:pPr>
        <w:pStyle w:val="CommentText"/>
      </w:pPr>
      <w:r>
        <w:rPr>
          <w:color w:val="000000"/>
        </w:rPr>
        <w:t xml:space="preserve">The Government </w:t>
      </w:r>
      <w:r>
        <w:rPr>
          <w:b/>
          <w:bCs/>
          <w:color w:val="000000"/>
        </w:rPr>
        <w:t>will</w:t>
      </w:r>
      <w:r>
        <w:rPr>
          <w:color w:val="000000"/>
        </w:rPr>
        <w:t xml:space="preserve"> evaluate relevant background and experience of key personnel, and any subject matter expert(s). The evaluation </w:t>
      </w:r>
      <w:r>
        <w:rPr>
          <w:b/>
          <w:bCs/>
          <w:color w:val="000000"/>
        </w:rPr>
        <w:t>will</w:t>
      </w:r>
      <w:r>
        <w:rPr>
          <w:color w:val="000000"/>
        </w:rPr>
        <w:t xml:space="preserve"> focus on the following elements: </w:t>
      </w:r>
    </w:p>
    <w:p w14:paraId="08A53F2F" w14:textId="77777777" w:rsidR="00D4736E" w:rsidRDefault="00D4736E" w:rsidP="00D4736E">
      <w:pPr>
        <w:pStyle w:val="CommentText"/>
      </w:pPr>
      <w:r>
        <w:rPr>
          <w:color w:val="000000"/>
        </w:rPr>
        <w:t xml:space="preserve">• </w:t>
      </w:r>
      <w:r>
        <w:rPr>
          <w:b/>
          <w:bCs/>
          <w:color w:val="000000"/>
        </w:rPr>
        <w:t>Sub-Factor 3A: Key Personnel Qualifications -</w:t>
      </w:r>
      <w:r>
        <w:rPr>
          <w:color w:val="000000"/>
        </w:rPr>
        <w:t xml:space="preserve"> Relevant educational background, professional experience, federal data or federal healthcare experience, stakeholder-outreach experience, technical assistance experience, and special qualifications of key personnel. </w:t>
      </w:r>
    </w:p>
  </w:comment>
  <w:comment w:id="136" w:author="Bhatnagar, Abhas" w:date="2026-04-24T00:28:00Z" w:initials="AB">
    <w:p w14:paraId="56F56235" w14:textId="5004FC29" w:rsidR="009A097D" w:rsidRDefault="009A097D" w:rsidP="009A097D">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1EC5629F" w14:textId="77777777" w:rsidR="009A097D" w:rsidRDefault="009A097D" w:rsidP="009A097D">
      <w:pPr>
        <w:pStyle w:val="CommentText"/>
      </w:pPr>
      <w:r>
        <w:rPr>
          <w:b/>
          <w:bCs/>
          <w:color w:val="000000"/>
        </w:rPr>
        <w:t xml:space="preserve">Project Director </w:t>
      </w:r>
    </w:p>
    <w:p w14:paraId="15653FA9" w14:textId="77777777" w:rsidR="009A097D" w:rsidRDefault="009A097D" w:rsidP="009A097D">
      <w:pPr>
        <w:pStyle w:val="CommentText"/>
      </w:pPr>
      <w:r>
        <w:rPr>
          <w:color w:val="000000"/>
        </w:rPr>
        <w:t xml:space="preserve">o A minimum of 8 years’ experience working with systems similar to the CMS systems and programs directly relevant to the SOW requirement and managing tasks and projects similar to those described in the SOW. </w:t>
      </w:r>
    </w:p>
    <w:p w14:paraId="6847FE53" w14:textId="77777777" w:rsidR="009A097D" w:rsidRDefault="009A097D" w:rsidP="009A097D">
      <w:pPr>
        <w:pStyle w:val="CommentText"/>
      </w:pPr>
      <w:r>
        <w:rPr>
          <w:color w:val="000000"/>
        </w:rPr>
        <w:t xml:space="preserve">o A minimum of 5 years of experience with the following: </w:t>
      </w:r>
      <w:r>
        <w:rPr>
          <w:color w:val="000000"/>
        </w:rPr>
        <w:t xml:space="preserve"> Managing and understanding the enrollment reconciliation process </w:t>
      </w:r>
    </w:p>
    <w:p w14:paraId="2CF49E61" w14:textId="77777777" w:rsidR="009A097D" w:rsidRDefault="009A097D" w:rsidP="009A097D">
      <w:pPr>
        <w:pStyle w:val="CommentText"/>
      </w:pPr>
      <w:r>
        <w:rPr>
          <w:color w:val="000000"/>
        </w:rPr>
        <w:t xml:space="preserve"> Managing sensitive contracts with potential for high national visibility </w:t>
      </w:r>
    </w:p>
    <w:p w14:paraId="3F6CBC1D" w14:textId="77777777" w:rsidR="009A097D" w:rsidRDefault="009A097D" w:rsidP="009A097D">
      <w:pPr>
        <w:pStyle w:val="CommentText"/>
      </w:pPr>
      <w:r>
        <w:rPr>
          <w:color w:val="000000"/>
        </w:rPr>
        <w:t xml:space="preserve"> Managing contracts with Federal healthcare data </w:t>
      </w:r>
    </w:p>
    <w:p w14:paraId="74BD884D" w14:textId="77777777" w:rsidR="009A097D" w:rsidRDefault="009A097D" w:rsidP="009A097D">
      <w:pPr>
        <w:pStyle w:val="CommentText"/>
      </w:pPr>
      <w:r>
        <w:rPr>
          <w:color w:val="000000"/>
        </w:rPr>
        <w:t xml:space="preserve"> Managing call center and help desk operations or similar </w:t>
      </w:r>
    </w:p>
  </w:comment>
  <w:comment w:id="138" w:author="Bhatnagar, Abhas" w:date="2026-04-24T00:27:00Z" w:initials="AB">
    <w:p w14:paraId="0C9FBBE3" w14:textId="5708A27E" w:rsidR="004F0C03" w:rsidRDefault="004F0C03" w:rsidP="004F0C03">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p>
    <w:p w14:paraId="66F7A1C5" w14:textId="77777777" w:rsidR="004F0C03" w:rsidRDefault="004F0C03" w:rsidP="004F0C03">
      <w:pPr>
        <w:pStyle w:val="CommentText"/>
      </w:pPr>
      <w:r>
        <w:rPr>
          <w:b/>
          <w:bCs/>
          <w:color w:val="000000"/>
        </w:rPr>
        <w:br/>
        <w:t xml:space="preserve">Project Managers: </w:t>
      </w:r>
    </w:p>
    <w:p w14:paraId="4505E625" w14:textId="77777777" w:rsidR="004F0C03" w:rsidRDefault="004F0C03" w:rsidP="004F0C03">
      <w:pPr>
        <w:pStyle w:val="CommentText"/>
      </w:pPr>
      <w:r>
        <w:rPr>
          <w:color w:val="000000"/>
        </w:rPr>
        <w:t xml:space="preserve">§ Serve as the Offeror’s representative responsible for managing the full scope of the SOW </w:t>
      </w:r>
    </w:p>
    <w:p w14:paraId="0E5B02A5" w14:textId="77777777" w:rsidR="004F0C03" w:rsidRDefault="004F0C03" w:rsidP="004F0C03">
      <w:pPr>
        <w:pStyle w:val="CommentText"/>
      </w:pPr>
      <w:r>
        <w:rPr>
          <w:color w:val="000000"/>
        </w:rPr>
        <w:t xml:space="preserve">§ Are responsible for leading the organization and obtaining the staff and resources necessary to conduct the work </w:t>
      </w:r>
    </w:p>
    <w:p w14:paraId="54812851" w14:textId="77777777" w:rsidR="004F0C03" w:rsidRDefault="004F0C03" w:rsidP="004F0C03">
      <w:pPr>
        <w:pStyle w:val="CommentText"/>
      </w:pPr>
      <w:r>
        <w:rPr>
          <w:color w:val="000000"/>
        </w:rPr>
        <w:t xml:space="preserve">§ Are responsible for all staff employed and all work performed under the contract </w:t>
      </w:r>
    </w:p>
    <w:p w14:paraId="79F483FD" w14:textId="77777777" w:rsidR="004F0C03" w:rsidRDefault="004F0C03" w:rsidP="004F0C03">
      <w:pPr>
        <w:pStyle w:val="CommentText"/>
      </w:pPr>
      <w:r>
        <w:rPr>
          <w:color w:val="000000"/>
        </w:rPr>
        <w:t xml:space="preserve">§ Shall be held accountable for the outcomes of the work performed and the resolution of obstacles to achieving the outcomes necessary for success under the contract </w:t>
      </w:r>
    </w:p>
    <w:p w14:paraId="34787593" w14:textId="77777777" w:rsidR="004F0C03" w:rsidRDefault="004F0C03" w:rsidP="004F0C03">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0C435B34" w14:textId="77777777" w:rsidR="004F0C03" w:rsidRDefault="004F0C03" w:rsidP="004F0C03">
      <w:pPr>
        <w:pStyle w:val="CommentText"/>
      </w:pPr>
      <w:r>
        <w:rPr>
          <w:color w:val="000000"/>
        </w:rPr>
        <w:t xml:space="preserve">§ Ensure that any concerns raised by CMS are timely and appropriately addressed. </w:t>
      </w:r>
    </w:p>
    <w:p w14:paraId="0F0E825B" w14:textId="77777777" w:rsidR="004F0C03" w:rsidRDefault="004F0C03" w:rsidP="004F0C03">
      <w:pPr>
        <w:pStyle w:val="CommentText"/>
      </w:pPr>
    </w:p>
    <w:p w14:paraId="3AAB93D5" w14:textId="77777777" w:rsidR="004F0C03" w:rsidRDefault="004F0C03" w:rsidP="004F0C03">
      <w:pPr>
        <w:pStyle w:val="CommentText"/>
      </w:pPr>
      <w:r>
        <w:rPr>
          <w:b/>
          <w:bCs/>
        </w:rPr>
        <w:t xml:space="preserve">Attachment 2, </w:t>
      </w:r>
      <w:r>
        <w:rPr>
          <w:b/>
          <w:bCs/>
          <w:color w:val="000000"/>
        </w:rPr>
        <w:t xml:space="preserve">Sub-Section 3A: Key Personnel Qualifications </w:t>
      </w:r>
      <w:r>
        <w:rPr>
          <w:b/>
          <w:bCs/>
        </w:rPr>
        <w:t>Pg 9</w:t>
      </w:r>
    </w:p>
    <w:p w14:paraId="635323C0" w14:textId="77777777" w:rsidR="004F0C03" w:rsidRDefault="004F0C03" w:rsidP="004F0C03">
      <w:pPr>
        <w:pStyle w:val="CommentText"/>
      </w:pPr>
    </w:p>
    <w:p w14:paraId="078F60A2" w14:textId="77777777" w:rsidR="004F0C03" w:rsidRDefault="004F0C03" w:rsidP="004F0C03">
      <w:pPr>
        <w:pStyle w:val="CommentText"/>
      </w:pPr>
      <w:r>
        <w:rPr>
          <w:b/>
          <w:bCs/>
          <w:color w:val="000000"/>
        </w:rPr>
        <w:t xml:space="preserve">Project Manager (ER&amp;R) </w:t>
      </w:r>
    </w:p>
    <w:p w14:paraId="227ADF33" w14:textId="77777777" w:rsidR="004F0C03" w:rsidRDefault="004F0C03" w:rsidP="004F0C03">
      <w:pPr>
        <w:pStyle w:val="CommentText"/>
      </w:pPr>
    </w:p>
    <w:p w14:paraId="5ED171C8" w14:textId="77777777" w:rsidR="004F0C03" w:rsidRDefault="004F0C03" w:rsidP="004F0C03">
      <w:pPr>
        <w:pStyle w:val="CommentText"/>
      </w:pPr>
      <w:r>
        <w:rPr>
          <w:color w:val="000000"/>
        </w:rPr>
        <w:t xml:space="preserve">o A minimum of 5 years’ experience managing major complex project and supporting a Government agency and/or commercial health programs similar to those described in the SOW </w:t>
      </w:r>
    </w:p>
    <w:p w14:paraId="2406DFB9" w14:textId="77777777" w:rsidR="004F0C03" w:rsidRDefault="004F0C03" w:rsidP="004F0C03">
      <w:pPr>
        <w:pStyle w:val="CommentText"/>
      </w:pPr>
      <w:r>
        <w:rPr>
          <w:color w:val="000000"/>
        </w:rPr>
        <w:t xml:space="preserve">o 5 years of experience working with systems similar to the CMS Marketplace systems </w:t>
      </w:r>
    </w:p>
    <w:p w14:paraId="2D06AC1A" w14:textId="77777777" w:rsidR="004F0C03" w:rsidRDefault="004F0C03" w:rsidP="004F0C03">
      <w:pPr>
        <w:pStyle w:val="CommentText"/>
      </w:pPr>
      <w:r>
        <w:rPr>
          <w:color w:val="000000"/>
        </w:rPr>
        <w:t xml:space="preserve">o Active Project Management Professional (PMP) Certification </w:t>
      </w:r>
    </w:p>
  </w:comment>
  <w:comment w:id="140" w:author="Bhatnagar, Abhas" w:date="2026-04-24T00:25:00Z" w:initials="AB">
    <w:p w14:paraId="6E5C3891" w14:textId="37CF0843" w:rsidR="006510DF" w:rsidRDefault="006510DF" w:rsidP="006510DF">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r>
        <w:rPr>
          <w:color w:val="000000"/>
        </w:rPr>
        <w:br/>
      </w:r>
    </w:p>
    <w:p w14:paraId="62F30C22" w14:textId="77777777" w:rsidR="006510DF" w:rsidRDefault="006510DF" w:rsidP="006510DF">
      <w:pPr>
        <w:pStyle w:val="CommentText"/>
      </w:pPr>
      <w:r>
        <w:rPr>
          <w:b/>
          <w:bCs/>
          <w:color w:val="000000"/>
        </w:rPr>
        <w:t xml:space="preserve">Project Managers: </w:t>
      </w:r>
    </w:p>
    <w:p w14:paraId="21255F20" w14:textId="77777777" w:rsidR="006510DF" w:rsidRDefault="006510DF" w:rsidP="006510DF">
      <w:pPr>
        <w:pStyle w:val="CommentText"/>
      </w:pPr>
      <w:r>
        <w:rPr>
          <w:color w:val="000000"/>
        </w:rPr>
        <w:t xml:space="preserve"> Serve as the Offeror’s representative responsible for managing the full scope of the SOW </w:t>
      </w:r>
    </w:p>
    <w:p w14:paraId="31BF223F"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0C9199A4" w14:textId="77777777" w:rsidR="006510DF" w:rsidRDefault="006510DF" w:rsidP="006510DF">
      <w:pPr>
        <w:pStyle w:val="CommentText"/>
      </w:pPr>
      <w:r>
        <w:rPr>
          <w:color w:val="000000"/>
        </w:rPr>
        <w:t xml:space="preserve"> Are responsible for all staff employed and all work performed under the contract </w:t>
      </w:r>
    </w:p>
    <w:p w14:paraId="48BFD862"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02DCFD19"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72E66539"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p>
    <w:p w14:paraId="0BC61DF2" w14:textId="77777777" w:rsidR="006510DF" w:rsidRDefault="006510DF" w:rsidP="006510DF">
      <w:pPr>
        <w:pStyle w:val="CommentText"/>
      </w:pPr>
    </w:p>
    <w:p w14:paraId="4A77760D" w14:textId="77777777" w:rsidR="006510DF" w:rsidRDefault="006510DF" w:rsidP="006510DF">
      <w:pPr>
        <w:pStyle w:val="CommentText"/>
      </w:pPr>
      <w:r>
        <w:rPr>
          <w:b/>
          <w:bCs/>
          <w:color w:val="000000"/>
        </w:rPr>
        <w:t>Project Manager (Form 1095-A &amp; CCHC)</w:t>
      </w:r>
      <w:r>
        <w:rPr>
          <w:color w:val="000000"/>
        </w:rPr>
        <w:t xml:space="preserve"> </w:t>
      </w:r>
    </w:p>
    <w:p w14:paraId="63F89FD8" w14:textId="77777777" w:rsidR="006510DF" w:rsidRDefault="006510DF" w:rsidP="006510DF">
      <w:pPr>
        <w:pStyle w:val="CommentText"/>
      </w:pPr>
      <w:r>
        <w:rPr>
          <w:color w:val="000000"/>
        </w:rPr>
        <w:t xml:space="preserve">o A minimum of 5 years’ experience managing major complex projects and supporting a Government agency and/or commercial health programs similar to those described in the SOW </w:t>
      </w:r>
    </w:p>
    <w:p w14:paraId="54191A7A" w14:textId="77777777" w:rsidR="006510DF" w:rsidRDefault="006510DF" w:rsidP="006510DF">
      <w:pPr>
        <w:pStyle w:val="CommentText"/>
      </w:pPr>
      <w:r>
        <w:rPr>
          <w:color w:val="000000"/>
        </w:rPr>
        <w:t xml:space="preserve">o A minimum of 5 years of experience working with systems similar to the CMS Marketplace systems </w:t>
      </w:r>
    </w:p>
    <w:p w14:paraId="6219A192" w14:textId="77777777" w:rsidR="006510DF" w:rsidRDefault="006510DF" w:rsidP="006510DF">
      <w:pPr>
        <w:pStyle w:val="CommentText"/>
      </w:pPr>
      <w:r>
        <w:rPr>
          <w:color w:val="000000"/>
        </w:rPr>
        <w:t xml:space="preserve">o A minimum of 5 years of experience supporting management of casework </w:t>
      </w:r>
    </w:p>
    <w:p w14:paraId="0C58436C" w14:textId="77777777" w:rsidR="006510DF" w:rsidRDefault="006510DF" w:rsidP="006510DF">
      <w:pPr>
        <w:pStyle w:val="CommentText"/>
      </w:pPr>
      <w:r>
        <w:rPr>
          <w:color w:val="000000"/>
        </w:rPr>
        <w:t xml:space="preserve">o A minimum of 3 years of experience with call center and helpdesk operations management </w:t>
      </w:r>
    </w:p>
    <w:p w14:paraId="1E6932A9" w14:textId="77777777" w:rsidR="006510DF" w:rsidRDefault="006510DF" w:rsidP="006510DF">
      <w:pPr>
        <w:pStyle w:val="CommentText"/>
      </w:pPr>
      <w:r>
        <w:rPr>
          <w:color w:val="000000"/>
        </w:rPr>
        <w:t xml:space="preserve">o Active PMP Certification </w:t>
      </w:r>
    </w:p>
  </w:comment>
  <w:comment w:id="142" w:author="Bhatnagar, Abhas" w:date="2026-04-24T00:23:00Z" w:initials="AB">
    <w:p w14:paraId="76F3B5C2" w14:textId="77777777" w:rsidR="006510DF" w:rsidRDefault="00CA7521" w:rsidP="006510DF">
      <w:pPr>
        <w:pStyle w:val="CommentText"/>
      </w:pPr>
      <w:r>
        <w:rPr>
          <w:rStyle w:val="CommentReference"/>
        </w:rPr>
        <w:annotationRef/>
      </w:r>
      <w:r w:rsidR="006510DF">
        <w:rPr>
          <w:b/>
          <w:bCs/>
        </w:rPr>
        <w:t xml:space="preserve">Attachment 2, </w:t>
      </w:r>
      <w:r w:rsidR="006510DF">
        <w:rPr>
          <w:b/>
          <w:bCs/>
          <w:color w:val="000000"/>
        </w:rPr>
        <w:t xml:space="preserve">Sub-Section 3A: Key Personnel Qualifications </w:t>
      </w:r>
      <w:r w:rsidR="006510DF">
        <w:rPr>
          <w:b/>
          <w:bCs/>
        </w:rPr>
        <w:t>Pg 9</w:t>
      </w:r>
      <w:r w:rsidR="006510DF">
        <w:rPr>
          <w:b/>
          <w:bCs/>
        </w:rPr>
        <w:br/>
      </w:r>
      <w:r w:rsidR="006510DF">
        <w:rPr>
          <w:b/>
          <w:bCs/>
          <w:color w:val="000000"/>
        </w:rPr>
        <w:br/>
        <w:t xml:space="preserve">Project Managers: </w:t>
      </w:r>
    </w:p>
    <w:p w14:paraId="7E90C06B" w14:textId="77777777" w:rsidR="006510DF" w:rsidRDefault="006510DF" w:rsidP="006510DF">
      <w:pPr>
        <w:pStyle w:val="CommentText"/>
      </w:pPr>
      <w:r>
        <w:rPr>
          <w:color w:val="000000"/>
        </w:rPr>
        <w:t xml:space="preserve">§ Serve as the Offeror’s representative responsible for managing the full scope of the SOW </w:t>
      </w:r>
    </w:p>
    <w:p w14:paraId="1232CD46"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41F9A868" w14:textId="77777777" w:rsidR="006510DF" w:rsidRDefault="006510DF" w:rsidP="006510DF">
      <w:pPr>
        <w:pStyle w:val="CommentText"/>
      </w:pPr>
      <w:r>
        <w:rPr>
          <w:color w:val="000000"/>
        </w:rPr>
        <w:t xml:space="preserve">§ Are responsible for all staff employed and all work performed under the contract </w:t>
      </w:r>
    </w:p>
    <w:p w14:paraId="21BE7D8B"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23E2F638"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550C8913"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r>
        <w:br/>
      </w:r>
    </w:p>
    <w:p w14:paraId="5CF389B9" w14:textId="77777777" w:rsidR="006510DF" w:rsidRDefault="006510DF" w:rsidP="006510DF">
      <w:pPr>
        <w:pStyle w:val="CommentText"/>
      </w:pPr>
      <w:r>
        <w:rPr>
          <w:b/>
          <w:bCs/>
          <w:color w:val="000000"/>
        </w:rPr>
        <w:t>Project Manager (IT Data and Technical Support)</w:t>
      </w:r>
      <w:r>
        <w:rPr>
          <w:color w:val="000000"/>
        </w:rPr>
        <w:t xml:space="preserve"> </w:t>
      </w:r>
    </w:p>
    <w:p w14:paraId="05F766A9" w14:textId="77777777" w:rsidR="006510DF" w:rsidRDefault="006510DF" w:rsidP="006510DF">
      <w:pPr>
        <w:pStyle w:val="CommentText"/>
      </w:pPr>
      <w:r>
        <w:rPr>
          <w:color w:val="000000"/>
        </w:rPr>
        <w:t xml:space="preserve">o A minimum of 8 years of experience in Electronic Data Interchange protocols. CMS compliance requirements and designing, developing, and integrating IT systems similar to those necessary to meet the SOW requirements </w:t>
      </w:r>
    </w:p>
    <w:p w14:paraId="7F2A1CCF" w14:textId="77777777" w:rsidR="006510DF" w:rsidRDefault="006510DF" w:rsidP="006510DF">
      <w:pPr>
        <w:pStyle w:val="CommentText"/>
      </w:pPr>
      <w:r>
        <w:rPr>
          <w:color w:val="000000"/>
        </w:rPr>
        <w:t xml:space="preserve">o A minimum of 5 years of experience managing complex IT projects, security protocols, and system updates among various stakeholder teams. </w:t>
      </w:r>
    </w:p>
    <w:p w14:paraId="7EFD7A92" w14:textId="77777777" w:rsidR="006510DF" w:rsidRDefault="006510DF" w:rsidP="006510DF">
      <w:pPr>
        <w:pStyle w:val="CommentText"/>
      </w:pPr>
      <w:r>
        <w:rPr>
          <w:color w:val="000000"/>
        </w:rPr>
        <w:t xml:space="preserve">o A minimum of 5 years of experience in standards development of American National Standards Institute (ANSI)-accredited transaction standards </w:t>
      </w:r>
    </w:p>
  </w:comment>
  <w:comment w:id="144" w:author="Bhatnagar, Abhas" w:date="2026-04-24T00:22:00Z" w:initials="AB">
    <w:p w14:paraId="2EC0A4C1" w14:textId="55D06B5F" w:rsidR="00427099" w:rsidRDefault="00427099" w:rsidP="0042709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p>
    <w:p w14:paraId="2F7D396F" w14:textId="77777777" w:rsidR="00427099" w:rsidRDefault="00427099" w:rsidP="00427099">
      <w:pPr>
        <w:pStyle w:val="CommentText"/>
      </w:pPr>
    </w:p>
    <w:p w14:paraId="72112F70" w14:textId="77777777" w:rsidR="00427099" w:rsidRDefault="00427099" w:rsidP="00427099">
      <w:pPr>
        <w:pStyle w:val="CommentText"/>
      </w:pPr>
      <w:r>
        <w:rPr>
          <w:b/>
          <w:bCs/>
          <w:color w:val="000000"/>
        </w:rPr>
        <w:t>Technical Director</w:t>
      </w:r>
      <w:r>
        <w:rPr>
          <w:color w:val="000000"/>
        </w:rPr>
        <w:br/>
        <w:t xml:space="preserve">o A minimum of 8 years of experience in software solutions, data analysis and analysis of electronic data interchange protocols </w:t>
      </w:r>
    </w:p>
    <w:p w14:paraId="2598E12E" w14:textId="77777777" w:rsidR="00427099" w:rsidRDefault="00427099" w:rsidP="00427099">
      <w:pPr>
        <w:pStyle w:val="CommentText"/>
      </w:pPr>
      <w:r>
        <w:rPr>
          <w:color w:val="000000"/>
        </w:rPr>
        <w:t xml:space="preserve">o A minimum of 5 years of experience working with systems similar to the CMS Marketplace systems </w:t>
      </w:r>
    </w:p>
  </w:comment>
  <w:comment w:id="146" w:author="Bhatnagar, Abhas" w:date="2026-04-24T00:21:00Z" w:initials="AB">
    <w:p w14:paraId="28908CAA" w14:textId="2EA2A571" w:rsidR="00B574A9" w:rsidRDefault="00B574A9" w:rsidP="00B574A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r>
        <w:br/>
      </w:r>
      <w:r>
        <w:br/>
      </w:r>
      <w:r>
        <w:rPr>
          <w:b/>
          <w:bCs/>
          <w:color w:val="000000"/>
        </w:rPr>
        <w:t xml:space="preserve">Security and Privacy Officer </w:t>
      </w:r>
      <w:r>
        <w:rPr>
          <w:color w:val="000000"/>
        </w:rPr>
        <w:br/>
        <w:t xml:space="preserve">o A minimum of 5 years of experience in Information Security and Privacy supporting CMS systems and programs </w:t>
      </w:r>
    </w:p>
    <w:p w14:paraId="4C711DFD" w14:textId="77777777" w:rsidR="00B574A9" w:rsidRDefault="00B574A9" w:rsidP="00B574A9">
      <w:pPr>
        <w:pStyle w:val="CommentText"/>
      </w:pPr>
      <w:r>
        <w:rPr>
          <w:color w:val="000000"/>
        </w:rPr>
        <w:t xml:space="preserve">o Undergraduate or graduate degree in Cybersecurity, Security Risk Analysis, or similar </w:t>
      </w:r>
    </w:p>
    <w:p w14:paraId="0FC759FE" w14:textId="77777777" w:rsidR="00B574A9" w:rsidRDefault="00B574A9" w:rsidP="00B574A9">
      <w:pPr>
        <w:pStyle w:val="CommentText"/>
      </w:pPr>
      <w:r>
        <w:rPr>
          <w:color w:val="000000"/>
        </w:rPr>
        <w:t xml:space="preserve">o Active Certified Information Systems Security Professional (CISSP) Certification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25A828" w15:done="0"/>
  <w15:commentEx w15:paraId="7583337B" w15:done="0"/>
  <w15:commentEx w15:paraId="467C6C46" w15:done="0"/>
  <w15:commentEx w15:paraId="112FAD1D" w15:done="0"/>
  <w15:commentEx w15:paraId="7C91B162" w15:done="0"/>
  <w15:commentEx w15:paraId="47B5D933" w15:done="0"/>
  <w15:commentEx w15:paraId="0F40F631" w15:done="0"/>
  <w15:commentEx w15:paraId="57CB2C08" w15:done="0"/>
  <w15:commentEx w15:paraId="28824E59" w15:done="0"/>
  <w15:commentEx w15:paraId="5BB95CCE" w15:done="0"/>
  <w15:commentEx w15:paraId="2A1D3191" w15:done="0"/>
  <w15:commentEx w15:paraId="5093E7DC" w15:done="0"/>
  <w15:commentEx w15:paraId="4C62FDC9" w15:done="0"/>
  <w15:commentEx w15:paraId="18D1D841" w15:paraIdParent="4C62FDC9" w15:done="0"/>
  <w15:commentEx w15:paraId="69B73DFA" w15:done="0"/>
  <w15:commentEx w15:paraId="5BD4BE12" w15:done="0"/>
  <w15:commentEx w15:paraId="514BCAEC" w15:done="0"/>
  <w15:commentEx w15:paraId="0A07C44F" w15:done="1"/>
  <w15:commentEx w15:paraId="26AD2F54" w15:done="1"/>
  <w15:commentEx w15:paraId="5333E8A0" w15:done="1"/>
  <w15:commentEx w15:paraId="09702961" w15:done="1"/>
  <w15:commentEx w15:paraId="2B97751F" w15:done="1"/>
  <w15:commentEx w15:paraId="4AC5698B" w15:done="1"/>
  <w15:commentEx w15:paraId="68D8BE2B" w15:done="1"/>
  <w15:commentEx w15:paraId="5E8BF986" w15:done="0"/>
  <w15:commentEx w15:paraId="2599AF8A" w15:paraIdParent="5E8BF986" w15:done="0"/>
  <w15:commentEx w15:paraId="2AEC1D4C" w15:done="0"/>
  <w15:commentEx w15:paraId="2E077F52" w15:done="0"/>
  <w15:commentEx w15:paraId="46D811AC" w15:done="0"/>
  <w15:commentEx w15:paraId="0E687C86" w15:done="0"/>
  <w15:commentEx w15:paraId="261972F3" w15:paraIdParent="0E687C86" w15:done="0"/>
  <w15:commentEx w15:paraId="5F9C9625" w15:done="0"/>
  <w15:commentEx w15:paraId="0EBAA838" w15:paraIdParent="5F9C9625" w15:done="0"/>
  <w15:commentEx w15:paraId="7DABF88F" w15:done="0"/>
  <w15:commentEx w15:paraId="3B1EA8FE" w15:paraIdParent="7DABF88F" w15:done="0"/>
  <w15:commentEx w15:paraId="0EA79AFD" w15:paraIdParent="7DABF88F" w15:done="0"/>
  <w15:commentEx w15:paraId="62318B72" w15:paraIdParent="7DABF88F" w15:done="0"/>
  <w15:commentEx w15:paraId="6BDB6368" w15:paraIdParent="7DABF88F" w15:done="0"/>
  <w15:commentEx w15:paraId="790C2EBE" w15:done="0"/>
  <w15:commentEx w15:paraId="63A5C210" w15:done="0"/>
  <w15:commentEx w15:paraId="7471FBAC" w15:done="0"/>
  <w15:commentEx w15:paraId="2AC88344" w15:done="1"/>
  <w15:commentEx w15:paraId="3B144B32" w15:done="0"/>
  <w15:commentEx w15:paraId="22DF345D" w15:done="0"/>
  <w15:commentEx w15:paraId="78FF257B" w15:done="0"/>
  <w15:commentEx w15:paraId="73D42258" w15:done="0"/>
  <w15:commentEx w15:paraId="6BDF5640" w15:done="0"/>
  <w15:commentEx w15:paraId="332D4808" w15:done="0"/>
  <w15:commentEx w15:paraId="4371E9D9" w15:paraIdParent="332D4808" w15:done="0"/>
  <w15:commentEx w15:paraId="5B851AAE" w15:done="0"/>
  <w15:commentEx w15:paraId="214DC1B4" w15:paraIdParent="5B851AAE" w15:done="0"/>
  <w15:commentEx w15:paraId="1725078B" w15:done="0"/>
  <w15:commentEx w15:paraId="3972C891" w15:done="0"/>
  <w15:commentEx w15:paraId="320B7060" w15:done="0"/>
  <w15:commentEx w15:paraId="4DB6B04E" w15:done="0"/>
  <w15:commentEx w15:paraId="40696C92" w15:done="0"/>
  <w15:commentEx w15:paraId="28CE2CE2" w15:done="0"/>
  <w15:commentEx w15:paraId="3A1C5EB7" w15:done="0"/>
  <w15:commentEx w15:paraId="0B1F24E3" w15:done="0"/>
  <w15:commentEx w15:paraId="24464175" w15:paraIdParent="0B1F24E3" w15:done="0"/>
  <w15:commentEx w15:paraId="4F5C7654" w15:done="0"/>
  <w15:commentEx w15:paraId="03010398" w15:done="0"/>
  <w15:commentEx w15:paraId="1483A522" w15:done="0"/>
  <w15:commentEx w15:paraId="5F26FC02" w15:done="0"/>
  <w15:commentEx w15:paraId="24B15D94" w15:done="0"/>
  <w15:commentEx w15:paraId="349381F7" w15:done="0"/>
  <w15:commentEx w15:paraId="4BE50C68" w15:done="0"/>
  <w15:commentEx w15:paraId="5D73DD2B" w15:done="0"/>
  <w15:commentEx w15:paraId="2CFED3C9" w15:done="0"/>
  <w15:commentEx w15:paraId="1DF2C451" w15:done="0"/>
  <w15:commentEx w15:paraId="3A4104C2" w15:done="0"/>
  <w15:commentEx w15:paraId="4D76182A" w15:done="0"/>
  <w15:commentEx w15:paraId="3FA42A10" w15:done="0"/>
  <w15:commentEx w15:paraId="51914692" w15:done="0"/>
  <w15:commentEx w15:paraId="4D4D3311" w15:paraIdParent="51914692" w15:done="0"/>
  <w15:commentEx w15:paraId="45B9FEC4" w15:done="0"/>
  <w15:commentEx w15:paraId="7544DDAA" w15:done="0"/>
  <w15:commentEx w15:paraId="6740C0DA" w15:done="0"/>
  <w15:commentEx w15:paraId="2F603C75" w15:done="0"/>
  <w15:commentEx w15:paraId="592DE5C1" w15:done="0"/>
  <w15:commentEx w15:paraId="08A53F2F" w15:done="0"/>
  <w15:commentEx w15:paraId="74BD884D" w15:done="0"/>
  <w15:commentEx w15:paraId="2D06AC1A" w15:done="0"/>
  <w15:commentEx w15:paraId="1E6932A9" w15:done="0"/>
  <w15:commentEx w15:paraId="7EFD7A92" w15:done="0"/>
  <w15:commentEx w15:paraId="2598E12E" w15:done="0"/>
  <w15:commentEx w15:paraId="0FC759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9D394C" w16cex:dateUtc="2026-04-27T10:59:00Z"/>
  <w16cex:commentExtensible w16cex:durableId="1D96CB44" w16cex:dateUtc="2026-04-27T12:08:00Z"/>
  <w16cex:commentExtensible w16cex:durableId="4A8A1A63" w16cex:dateUtc="2026-04-23T16:40:00Z"/>
  <w16cex:commentExtensible w16cex:durableId="0968EF81" w16cex:dateUtc="2026-04-27T12:03:00Z"/>
  <w16cex:commentExtensible w16cex:durableId="37968BD5" w16cex:dateUtc="2026-04-27T11:58:00Z"/>
  <w16cex:commentExtensible w16cex:durableId="484867DE" w16cex:dateUtc="2026-04-23T16:54:00Z"/>
  <w16cex:commentExtensible w16cex:durableId="22359CB5" w16cex:dateUtc="2026-04-27T11:03:00Z"/>
  <w16cex:commentExtensible w16cex:durableId="17E8EED2" w16cex:dateUtc="2026-04-27T10:39:00Z"/>
  <w16cex:commentExtensible w16cex:durableId="12F7824F" w16cex:dateUtc="2026-04-27T10:42:00Z"/>
  <w16cex:commentExtensible w16cex:durableId="0211B297" w16cex:dateUtc="2026-04-27T10:45:00Z"/>
  <w16cex:commentExtensible w16cex:durableId="59B872B2" w16cex:dateUtc="2026-04-27T12:17:00Z"/>
  <w16cex:commentExtensible w16cex:durableId="718C5F80" w16cex:dateUtc="2026-04-23T16:58:00Z"/>
  <w16cex:commentExtensible w16cex:durableId="101C6788" w16cex:dateUtc="2026-04-27T11:07:00Z"/>
  <w16cex:commentExtensible w16cex:durableId="16A0818C" w16cex:dateUtc="2026-04-27T12:00:00Z"/>
  <w16cex:commentExtensible w16cex:durableId="687FC6A7" w16cex:dateUtc="2026-04-27T12:24:00Z"/>
  <w16cex:commentExtensible w16cex:durableId="3156D342" w16cex:dateUtc="2026-04-27T12:12:00Z"/>
  <w16cex:commentExtensible w16cex:durableId="456C3093" w16cex:dateUtc="2026-04-27T11:08:00Z"/>
  <w16cex:commentExtensible w16cex:durableId="6E1CD169" w16cex:dateUtc="2026-04-26T19:32:00Z">
    <w16cex:extLst>
      <w16:ext w16:uri="{CE6994B0-6A32-4C9F-8C6B-6E91EDA988CE}">
        <cr:reactions xmlns:cr="http://schemas.microsoft.com/office/comments/2020/reactions">
          <cr:reaction reactionType="1">
            <cr:reactionInfo dateUtc="2026-04-26T20:28:37Z">
              <cr:user userId="S::bnoorani@deloitte.com::beb4e5f7-4739-494c-8057-3e3c9980109f" userProvider="AD" userName="Noorani, Bilal"/>
            </cr:reactionInfo>
          </cr:reaction>
        </cr:reactions>
      </w16:ext>
    </w16cex:extLst>
  </w16cex:commentExtensible>
  <w16cex:commentExtensible w16cex:durableId="66CBB94B" w16cex:dateUtc="2026-04-26T21:51:00Z"/>
  <w16cex:commentExtensible w16cex:durableId="594F0FD4" w16cex:dateUtc="2026-04-26T19:21:00Z"/>
  <w16cex:commentExtensible w16cex:durableId="76A22E89" w16cex:dateUtc="2026-04-26T21:06:00Z"/>
  <w16cex:commentExtensible w16cex:durableId="3122FBE6" w16cex:dateUtc="2026-04-26T19:31:00Z"/>
  <w16cex:commentExtensible w16cex:durableId="44FC3E34" w16cex:dateUtc="2026-04-26T19:26:00Z"/>
  <w16cex:commentExtensible w16cex:durableId="2DA44AD1" w16cex:dateUtc="2026-04-26T23:51:00Z"/>
  <w16cex:commentExtensible w16cex:durableId="7096D15F" w16cex:dateUtc="2026-04-27T03:00:00Z"/>
  <w16cex:commentExtensible w16cex:durableId="2596DBA3" w16cex:dateUtc="2026-04-27T03:11:00Z"/>
  <w16cex:commentExtensible w16cex:durableId="0D76455C" w16cex:dateUtc="2026-04-27T03:13:00Z"/>
  <w16cex:commentExtensible w16cex:durableId="2400F758" w16cex:dateUtc="2026-04-25T23:35:00Z"/>
  <w16cex:commentExtensible w16cex:durableId="64776B0B" w16cex:dateUtc="2026-04-25T22:53:00Z"/>
  <w16cex:commentExtensible w16cex:durableId="63EDF627" w16cex:dateUtc="2026-04-26T00:53:00Z"/>
  <w16cex:commentExtensible w16cex:durableId="7A493AA1" w16cex:dateUtc="2026-04-25T22:56:00Z">
    <w16cex:extLst>
      <w16:ext w16:uri="{CE6994B0-6A32-4C9F-8C6B-6E91EDA988CE}">
        <cr:reactions xmlns:cr="http://schemas.microsoft.com/office/comments/2020/reactions">
          <cr:reaction reactionType="1">
            <cr:reactionInfo dateUtc="2026-04-26T00:54:24Z">
              <cr:user userId="S::pkrauseschmidt@deloitte.com::294c8113-155f-48a4-b102-0ad46e5653f0" userProvider="AD" userName="Krause Schmidt, Phil"/>
            </cr:reactionInfo>
          </cr:reaction>
        </cr:reactions>
      </w16:ext>
    </w16cex:extLst>
  </w16cex:commentExtensible>
  <w16cex:commentExtensible w16cex:durableId="7BF93834" w16cex:dateUtc="2026-04-26T00:56:00Z"/>
  <w16cex:commentExtensible w16cex:durableId="31D567B4" w16cex:dateUtc="2026-04-25T22:59:00Z"/>
  <w16cex:commentExtensible w16cex:durableId="12FFC70F" w16cex:dateUtc="2026-04-26T00:57:00Z"/>
  <w16cex:commentExtensible w16cex:durableId="236E9E85" w16cex:dateUtc="2026-04-26T01:30:00Z"/>
  <w16cex:commentExtensible w16cex:durableId="76D5348B" w16cex:dateUtc="2026-04-26T01:32:00Z"/>
  <w16cex:commentExtensible w16cex:durableId="2A670CEB" w16cex:dateUtc="2026-04-26T01:37:00Z"/>
  <w16cex:commentExtensible w16cex:durableId="1E086C89" w16cex:dateUtc="2026-04-27T11:38:00Z"/>
  <w16cex:commentExtensible w16cex:durableId="3F5A199B" w16cex:dateUtc="2026-04-25T22:26:00Z"/>
  <w16cex:commentExtensible w16cex:durableId="457431EB" w16cex:dateUtc="2026-04-27T01:32:00Z"/>
  <w16cex:commentExtensible w16cex:durableId="70A2AF63" w16cex:dateUtc="2026-04-26T02:05:00Z"/>
  <w16cex:commentExtensible w16cex:durableId="18CA5030" w16cex:dateUtc="2026-04-23T17:02:00Z"/>
  <w16cex:commentExtensible w16cex:durableId="7E0F873F" w16cex:dateUtc="2026-04-23T16:59:00Z"/>
  <w16cex:commentExtensible w16cex:durableId="2DE5AF2E" w16cex:dateUtc="2026-04-23T17:08:00Z"/>
  <w16cex:commentExtensible w16cex:durableId="1A7B7BE8" w16cex:dateUtc="2026-04-27T12:02:00Z"/>
  <w16cex:commentExtensible w16cex:durableId="318BB213" w16cex:dateUtc="2026-04-27T12:08:00Z"/>
  <w16cex:commentExtensible w16cex:durableId="7E59ED4A" w16cex:dateUtc="2026-04-24T16:14:00Z"/>
  <w16cex:commentExtensible w16cex:durableId="7E7A00CC" w16cex:dateUtc="2026-04-24T16:14:00Z"/>
  <w16cex:commentExtensible w16cex:durableId="109CB68E" w16cex:dateUtc="2026-04-27T12:03:00Z"/>
  <w16cex:commentExtensible w16cex:durableId="33A8E978" w16cex:dateUtc="2026-04-27T12:09:00Z"/>
  <w16cex:commentExtensible w16cex:durableId="03591BF9" w16cex:dateUtc="2026-04-27T12:10:00Z"/>
  <w16cex:commentExtensible w16cex:durableId="753736F4" w16cex:dateUtc="2026-04-27T12:22:00Z"/>
  <w16cex:commentExtensible w16cex:durableId="767D3F5D" w16cex:dateUtc="2026-04-24T16:16:00Z"/>
  <w16cex:commentExtensible w16cex:durableId="35ACACE8" w16cex:dateUtc="2026-04-24T16:10:00Z"/>
  <w16cex:commentExtensible w16cex:durableId="4968BC29" w16cex:dateUtc="2026-04-24T17:20:00Z"/>
  <w16cex:commentExtensible w16cex:durableId="33CA703C" w16cex:dateUtc="2026-04-24T17:07:00Z"/>
  <w16cex:commentExtensible w16cex:durableId="54711440" w16cex:dateUtc="2026-04-23T17:11:00Z"/>
  <w16cex:commentExtensible w16cex:durableId="5BB7DB80" w16cex:dateUtc="2026-04-25T18:36:00Z"/>
  <w16cex:commentExtensible w16cex:durableId="3860E28E" w16cex:dateUtc="2026-04-25T18:36:00Z"/>
  <w16cex:commentExtensible w16cex:durableId="428A21BA" w16cex:dateUtc="2026-04-27T12:24:00Z"/>
  <w16cex:commentExtensible w16cex:durableId="2B240F74" w16cex:dateUtc="2026-04-23T17:15:00Z"/>
  <w16cex:commentExtensible w16cex:durableId="7CD83381" w16cex:dateUtc="2026-04-27T12:26:00Z"/>
  <w16cex:commentExtensible w16cex:durableId="58CFF3F6" w16cex:dateUtc="2026-04-27T12:04:00Z"/>
  <w16cex:commentExtensible w16cex:durableId="079215E6" w16cex:dateUtc="2026-04-27T11:57:00Z"/>
  <w16cex:commentExtensible w16cex:durableId="14E1EA0F" w16cex:dateUtc="2026-04-27T12:27:00Z"/>
  <w16cex:commentExtensible w16cex:durableId="47003CF6" w16cex:dateUtc="2026-04-27T11:58:00Z"/>
  <w16cex:commentExtensible w16cex:durableId="63A8B9F6" w16cex:dateUtc="2026-04-27T11:59:00Z"/>
  <w16cex:commentExtensible w16cex:durableId="1675C7D2" w16cex:dateUtc="2026-04-27T11:51:00Z"/>
  <w16cex:commentExtensible w16cex:durableId="24EFBA6B" w16cex:dateUtc="2026-04-27T11:50:00Z"/>
  <w16cex:commentExtensible w16cex:durableId="38EF4E99" w16cex:dateUtc="2026-04-27T12:01:00Z"/>
  <w16cex:commentExtensible w16cex:durableId="548510B4" w16cex:dateUtc="2026-04-23T17:20:00Z"/>
  <w16cex:commentExtensible w16cex:durableId="7173DDA5" w16cex:dateUtc="2026-04-26T21:10:00Z"/>
  <w16cex:commentExtensible w16cex:durableId="435DB69C" w16cex:dateUtc="2026-04-24T17:19:00Z"/>
  <w16cex:commentExtensible w16cex:durableId="204A9E30" w16cex:dateUtc="2026-04-26T21:03:00Z"/>
  <w16cex:commentExtensible w16cex:durableId="380BC958" w16cex:dateUtc="2026-04-23T17:25:00Z"/>
  <w16cex:commentExtensible w16cex:durableId="352F0804" w16cex:dateUtc="2026-04-26T22:16:00Z"/>
  <w16cex:commentExtensible w16cex:durableId="39AE8EC6" w16cex:dateUtc="2026-04-26T22:23:00Z"/>
  <w16cex:commentExtensible w16cex:durableId="2EFA5288" w16cex:dateUtc="2026-04-26T22:15:00Z"/>
  <w16cex:commentExtensible w16cex:durableId="3109C998" w16cex:dateUtc="2026-04-23T17:30:00Z"/>
  <w16cex:commentExtensible w16cex:durableId="434EBC0B" w16cex:dateUtc="2026-04-23T19:02:00Z"/>
  <w16cex:commentExtensible w16cex:durableId="5D09EDE9" w16cex:dateUtc="2026-04-23T18:58:00Z"/>
  <w16cex:commentExtensible w16cex:durableId="52C1F414" w16cex:dateUtc="2026-04-23T18:57:00Z"/>
  <w16cex:commentExtensible w16cex:durableId="0AE1F317" w16cex:dateUtc="2026-04-23T18:55:00Z"/>
  <w16cex:commentExtensible w16cex:durableId="0BFE9361" w16cex:dateUtc="2026-04-23T18:53:00Z"/>
  <w16cex:commentExtensible w16cex:durableId="66761DE6" w16cex:dateUtc="2026-04-23T18:52:00Z"/>
  <w16cex:commentExtensible w16cex:durableId="30C5561B" w16cex:dateUtc="2026-04-23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25A828" w16cid:durableId="749D394C"/>
  <w16cid:commentId w16cid:paraId="7583337B" w16cid:durableId="1D96CB44"/>
  <w16cid:commentId w16cid:paraId="467C6C46" w16cid:durableId="4A8A1A63"/>
  <w16cid:commentId w16cid:paraId="112FAD1D" w16cid:durableId="0968EF81"/>
  <w16cid:commentId w16cid:paraId="7C91B162" w16cid:durableId="37968BD5"/>
  <w16cid:commentId w16cid:paraId="47B5D933" w16cid:durableId="484867DE"/>
  <w16cid:commentId w16cid:paraId="0F40F631" w16cid:durableId="22359CB5"/>
  <w16cid:commentId w16cid:paraId="57CB2C08" w16cid:durableId="17E8EED2"/>
  <w16cid:commentId w16cid:paraId="28824E59" w16cid:durableId="12F7824F"/>
  <w16cid:commentId w16cid:paraId="5BB95CCE" w16cid:durableId="0211B297"/>
  <w16cid:commentId w16cid:paraId="2A1D3191" w16cid:durableId="59B872B2"/>
  <w16cid:commentId w16cid:paraId="5093E7DC" w16cid:durableId="718C5F80"/>
  <w16cid:commentId w16cid:paraId="4C62FDC9" w16cid:durableId="101C6788"/>
  <w16cid:commentId w16cid:paraId="18D1D841" w16cid:durableId="16A0818C"/>
  <w16cid:commentId w16cid:paraId="69B73DFA" w16cid:durableId="687FC6A7"/>
  <w16cid:commentId w16cid:paraId="5BD4BE12" w16cid:durableId="3156D342"/>
  <w16cid:commentId w16cid:paraId="514BCAEC" w16cid:durableId="456C3093"/>
  <w16cid:commentId w16cid:paraId="0A07C44F" w16cid:durableId="6E1CD169"/>
  <w16cid:commentId w16cid:paraId="26AD2F54" w16cid:durableId="66CBB94B"/>
  <w16cid:commentId w16cid:paraId="09702961" w16cid:durableId="594F0FD4"/>
  <w16cid:commentId w16cid:paraId="2B97751F" w16cid:durableId="76A22E89"/>
  <w16cid:commentId w16cid:paraId="4AC5698B" w16cid:durableId="3122FBE6"/>
  <w16cid:commentId w16cid:paraId="68D8BE2B" w16cid:durableId="44FC3E34"/>
  <w16cid:commentId w16cid:paraId="5E8BF986" w16cid:durableId="2DA44AD1"/>
  <w16cid:commentId w16cid:paraId="2599AF8A" w16cid:durableId="7096D15F"/>
  <w16cid:commentId w16cid:paraId="2AEC1D4C" w16cid:durableId="2596DBA3"/>
  <w16cid:commentId w16cid:paraId="2E077F52" w16cid:durableId="0D76455C"/>
  <w16cid:commentId w16cid:paraId="46D811AC" w16cid:durableId="2400F758"/>
  <w16cid:commentId w16cid:paraId="0E687C86" w16cid:durableId="64776B0B"/>
  <w16cid:commentId w16cid:paraId="261972F3" w16cid:durableId="63EDF627"/>
  <w16cid:commentId w16cid:paraId="5F9C9625" w16cid:durableId="7A493AA1"/>
  <w16cid:commentId w16cid:paraId="0EBAA838" w16cid:durableId="7BF93834"/>
  <w16cid:commentId w16cid:paraId="7DABF88F" w16cid:durableId="31D567B4"/>
  <w16cid:commentId w16cid:paraId="3B1EA8FE" w16cid:durableId="12FFC70F"/>
  <w16cid:commentId w16cid:paraId="0EA79AFD" w16cid:durableId="236E9E85"/>
  <w16cid:commentId w16cid:paraId="62318B72" w16cid:durableId="76D5348B"/>
  <w16cid:commentId w16cid:paraId="6BDB6368" w16cid:durableId="2A670CEB"/>
  <w16cid:commentId w16cid:paraId="790C2EBE" w16cid:durableId="1E086C89"/>
  <w16cid:commentId w16cid:paraId="63A5C210" w16cid:durableId="3F5A199B"/>
  <w16cid:commentId w16cid:paraId="7471FBAC" w16cid:durableId="457431EB"/>
  <w16cid:commentId w16cid:paraId="2AC88344" w16cid:durableId="70A2AF63"/>
  <w16cid:commentId w16cid:paraId="3B144B32" w16cid:durableId="18CA5030"/>
  <w16cid:commentId w16cid:paraId="22DF345D" w16cid:durableId="7E0F873F"/>
  <w16cid:commentId w16cid:paraId="78FF257B" w16cid:durableId="2DE5AF2E"/>
  <w16cid:commentId w16cid:paraId="73D42258" w16cid:durableId="1A7B7BE8"/>
  <w16cid:commentId w16cid:paraId="6BDF5640" w16cid:durableId="318BB213"/>
  <w16cid:commentId w16cid:paraId="332D4808" w16cid:durableId="7E59ED4A"/>
  <w16cid:commentId w16cid:paraId="4371E9D9" w16cid:durableId="7E7A00CC"/>
  <w16cid:commentId w16cid:paraId="5B851AAE" w16cid:durableId="109CB68E"/>
  <w16cid:commentId w16cid:paraId="214DC1B4" w16cid:durableId="33A8E978"/>
  <w16cid:commentId w16cid:paraId="1725078B" w16cid:durableId="03591BF9"/>
  <w16cid:commentId w16cid:paraId="3972C891" w16cid:durableId="753736F4"/>
  <w16cid:commentId w16cid:paraId="320B7060" w16cid:durableId="767D3F5D"/>
  <w16cid:commentId w16cid:paraId="4DB6B04E" w16cid:durableId="35ACACE8"/>
  <w16cid:commentId w16cid:paraId="40696C92" w16cid:durableId="4968BC29"/>
  <w16cid:commentId w16cid:paraId="28CE2CE2" w16cid:durableId="33CA703C"/>
  <w16cid:commentId w16cid:paraId="3A1C5EB7" w16cid:durableId="54711440"/>
  <w16cid:commentId w16cid:paraId="0B1F24E3" w16cid:durableId="5BB7DB80"/>
  <w16cid:commentId w16cid:paraId="24464175" w16cid:durableId="3860E28E"/>
  <w16cid:commentId w16cid:paraId="4F5C7654" w16cid:durableId="428A21BA"/>
  <w16cid:commentId w16cid:paraId="03010398" w16cid:durableId="2B240F74"/>
  <w16cid:commentId w16cid:paraId="1483A522" w16cid:durableId="7CD83381"/>
  <w16cid:commentId w16cid:paraId="5F26FC02" w16cid:durableId="58CFF3F6"/>
  <w16cid:commentId w16cid:paraId="24B15D94" w16cid:durableId="079215E6"/>
  <w16cid:commentId w16cid:paraId="349381F7" w16cid:durableId="14E1EA0F"/>
  <w16cid:commentId w16cid:paraId="4BE50C68" w16cid:durableId="47003CF6"/>
  <w16cid:commentId w16cid:paraId="5D73DD2B" w16cid:durableId="63A8B9F6"/>
  <w16cid:commentId w16cid:paraId="2CFED3C9" w16cid:durableId="1675C7D2"/>
  <w16cid:commentId w16cid:paraId="1DF2C451" w16cid:durableId="24EFBA6B"/>
  <w16cid:commentId w16cid:paraId="3A4104C2" w16cid:durableId="38EF4E99"/>
  <w16cid:commentId w16cid:paraId="4D76182A" w16cid:durableId="548510B4"/>
  <w16cid:commentId w16cid:paraId="3FA42A10" w16cid:durableId="7173DDA5"/>
  <w16cid:commentId w16cid:paraId="51914692" w16cid:durableId="435DB69C"/>
  <w16cid:commentId w16cid:paraId="4D4D3311" w16cid:durableId="204A9E30"/>
  <w16cid:commentId w16cid:paraId="45B9FEC4" w16cid:durableId="380BC958"/>
  <w16cid:commentId w16cid:paraId="7544DDAA" w16cid:durableId="352F0804"/>
  <w16cid:commentId w16cid:paraId="6740C0DA" w16cid:durableId="39AE8EC6"/>
  <w16cid:commentId w16cid:paraId="2F603C75" w16cid:durableId="2EFA5288"/>
  <w16cid:commentId w16cid:paraId="592DE5C1" w16cid:durableId="3109C998"/>
  <w16cid:commentId w16cid:paraId="08A53F2F" w16cid:durableId="434EBC0B"/>
  <w16cid:commentId w16cid:paraId="74BD884D" w16cid:durableId="5D09EDE9"/>
  <w16cid:commentId w16cid:paraId="2D06AC1A" w16cid:durableId="52C1F414"/>
  <w16cid:commentId w16cid:paraId="1E6932A9" w16cid:durableId="0AE1F317"/>
  <w16cid:commentId w16cid:paraId="7EFD7A92" w16cid:durableId="0BFE9361"/>
  <w16cid:commentId w16cid:paraId="2598E12E" w16cid:durableId="66761DE6"/>
  <w16cid:commentId w16cid:paraId="0FC759FE" w16cid:durableId="30C556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45DD7" w14:textId="77777777" w:rsidR="003C6C2E" w:rsidRDefault="003C6C2E" w:rsidP="00C62BC7">
      <w:pPr>
        <w:spacing w:after="0"/>
      </w:pPr>
      <w:r>
        <w:separator/>
      </w:r>
    </w:p>
    <w:p w14:paraId="3BC0EAAE" w14:textId="77777777" w:rsidR="003C6C2E" w:rsidRDefault="003C6C2E"/>
    <w:p w14:paraId="72F7EC80" w14:textId="77777777" w:rsidR="003C6C2E" w:rsidRDefault="003C6C2E"/>
    <w:p w14:paraId="2C38DBCB" w14:textId="77777777" w:rsidR="003C6C2E" w:rsidRDefault="003C6C2E"/>
    <w:p w14:paraId="1C54C6CD" w14:textId="77777777" w:rsidR="003C6C2E" w:rsidRDefault="003C6C2E"/>
  </w:endnote>
  <w:endnote w:type="continuationSeparator" w:id="0">
    <w:p w14:paraId="7CB018C3" w14:textId="77777777" w:rsidR="003C6C2E" w:rsidRDefault="003C6C2E" w:rsidP="00C62BC7">
      <w:pPr>
        <w:spacing w:after="0"/>
      </w:pPr>
      <w:r>
        <w:continuationSeparator/>
      </w:r>
    </w:p>
    <w:p w14:paraId="0AB2ED4D" w14:textId="77777777" w:rsidR="003C6C2E" w:rsidRDefault="003C6C2E"/>
    <w:p w14:paraId="0D464B36" w14:textId="77777777" w:rsidR="003C6C2E" w:rsidRDefault="003C6C2E"/>
    <w:p w14:paraId="5CC01ED9" w14:textId="77777777" w:rsidR="003C6C2E" w:rsidRDefault="003C6C2E"/>
    <w:p w14:paraId="516C4891" w14:textId="77777777" w:rsidR="003C6C2E" w:rsidRDefault="003C6C2E"/>
  </w:endnote>
  <w:endnote w:type="continuationNotice" w:id="1">
    <w:p w14:paraId="312AF63D" w14:textId="77777777" w:rsidR="003C6C2E" w:rsidRDefault="003C6C2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FF64"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D0C3E"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EA6C9"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43CF" w14:textId="0B75F216" w:rsidR="00DF465D" w:rsidRDefault="664D4D32" w:rsidP="00B3746C">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5C2716DE" w14:textId="77777777" w:rsidR="00F85F11" w:rsidRPr="00B3746C" w:rsidRDefault="0073033A" w:rsidP="00B3746C">
    <w:pPr>
      <w:pStyle w:val="Footer2"/>
      <w:rPr>
        <w:rFonts w:cs="Arial"/>
      </w:rPr>
    </w:pPr>
    <w:r>
      <w:rPr>
        <w:rFonts w:cs="Arial"/>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D1504" w14:textId="6EA242C3"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roman  \* MERGEFORMAT </w:instrText>
    </w:r>
    <w:r w:rsidR="00DF465D" w:rsidRPr="00650037">
      <w:rPr>
        <w:rFonts w:cs="Arial"/>
      </w:rPr>
      <w:fldChar w:fldCharType="separate"/>
    </w:r>
    <w:r w:rsidR="00AD3F08">
      <w:rPr>
        <w:rFonts w:cs="Arial"/>
        <w:noProof/>
      </w:rPr>
      <w:t>i</w:t>
    </w:r>
    <w:r w:rsidR="00DF465D" w:rsidRPr="00650037">
      <w:rPr>
        <w:rFonts w:cs="Arial"/>
        <w:noProof/>
      </w:rPr>
      <w:fldChar w:fldCharType="end"/>
    </w:r>
  </w:p>
  <w:p w14:paraId="4ABC3928" w14:textId="6D0D1A28" w:rsidR="00F85F11" w:rsidRDefault="73F98589" w:rsidP="00B3746C">
    <w:pPr>
      <w:pStyle w:val="Footer2"/>
      <w:rPr>
        <w:rFonts w:cs="Arial"/>
      </w:rPr>
    </w:pPr>
    <w:r w:rsidRPr="73F98589">
      <w:rPr>
        <w:rFonts w:cs="Arial"/>
      </w:rPr>
      <w:t>Use or disclosure of the data contained on this page is subject to the restrictions on the title page of this request.</w:t>
    </w:r>
    <w:r w:rsidR="00B3746C">
      <w:br/>
    </w:r>
    <w:r w:rsidRPr="73F98589">
      <w:rPr>
        <w:rFonts w:cs="Arial"/>
      </w:rPr>
      <w:t xml:space="preserve">© 2026 Deloitte Development LLC. All rights reserved. </w:t>
    </w:r>
  </w:p>
  <w:p w14:paraId="31E9934A" w14:textId="77777777" w:rsidR="00DF465D" w:rsidRPr="00650037" w:rsidRDefault="0073033A" w:rsidP="00B3746C">
    <w:pPr>
      <w:pStyle w:val="Footer2"/>
      <w:rPr>
        <w:rFonts w:cs="Arial"/>
      </w:rPr>
    </w:pPr>
    <w:r>
      <w:rPr>
        <w:rFonts w:cs="Arial"/>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52B9"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150F7420" w14:textId="77777777" w:rsidR="00DF465D" w:rsidRDefault="00DF465D" w:rsidP="008E2AB2">
    <w:pPr>
      <w:pStyle w:val="Footer2"/>
    </w:pPr>
    <w:r w:rsidRPr="004A00E1">
      <w:t>Use or disclosure of the data contained on this page is subject to the restrictions on the title page of this proposal.</w:t>
    </w:r>
  </w:p>
  <w:p w14:paraId="0CE6BF47" w14:textId="77777777" w:rsidR="00091ED6" w:rsidRDefault="00091ED6"/>
  <w:p w14:paraId="0B44BD7F"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E8759" w14:textId="6581D227"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MERGEFORMAT </w:instrText>
    </w:r>
    <w:r w:rsidR="00DF465D" w:rsidRPr="00650037">
      <w:rPr>
        <w:rFonts w:cs="Arial"/>
      </w:rPr>
      <w:fldChar w:fldCharType="separate"/>
    </w:r>
    <w:r w:rsidR="00AD3F08">
      <w:rPr>
        <w:rFonts w:cs="Arial"/>
        <w:noProof/>
      </w:rPr>
      <w:t>1</w:t>
    </w:r>
    <w:r w:rsidR="00DF465D" w:rsidRPr="00650037">
      <w:rPr>
        <w:rFonts w:cs="Arial"/>
        <w:noProof/>
      </w:rPr>
      <w:fldChar w:fldCharType="end"/>
    </w:r>
    <w:r w:rsidR="009804E4">
      <w:rPr>
        <w:rFonts w:cs="Arial"/>
        <w:noProof/>
      </w:rPr>
      <w:t xml:space="preserve"> of </w:t>
    </w:r>
    <w:r w:rsidR="009804E4">
      <w:rPr>
        <w:rFonts w:cs="Arial"/>
        <w:noProof/>
      </w:rPr>
      <w:fldChar w:fldCharType="begin"/>
    </w:r>
    <w:r w:rsidR="009804E4">
      <w:rPr>
        <w:rFonts w:cs="Arial"/>
        <w:noProof/>
      </w:rPr>
      <w:instrText xml:space="preserve"> SECTIONPAGES  </w:instrText>
    </w:r>
    <w:r w:rsidR="009804E4">
      <w:rPr>
        <w:rFonts w:cs="Arial"/>
        <w:noProof/>
      </w:rPr>
      <w:fldChar w:fldCharType="separate"/>
    </w:r>
    <w:r w:rsidR="008C1628">
      <w:rPr>
        <w:rFonts w:cs="Arial"/>
        <w:noProof/>
      </w:rPr>
      <w:t>74</w:t>
    </w:r>
    <w:r w:rsidR="009804E4">
      <w:rPr>
        <w:rFonts w:cs="Arial"/>
        <w:noProof/>
      </w:rPr>
      <w:fldChar w:fldCharType="end"/>
    </w:r>
  </w:p>
  <w:p w14:paraId="10BB3FAC" w14:textId="3EA85BD9" w:rsidR="002A3231" w:rsidRDefault="664D4D32" w:rsidP="002A3231">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7A8650E5" w14:textId="77777777" w:rsidR="00DD42C7" w:rsidRPr="002A3231" w:rsidRDefault="0073033A" w:rsidP="002A3231">
    <w:pPr>
      <w:pStyle w:val="Footer2"/>
      <w:rPr>
        <w:rFonts w:cs="Arial"/>
      </w:rPr>
    </w:pPr>
    <w:r>
      <w:rPr>
        <w:rFonts w:cs="Arial"/>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376E" w14:textId="38798C1E" w:rsidR="006B1D96" w:rsidRPr="00650037" w:rsidRDefault="006B1D96"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A9173D">
      <w:rPr>
        <w:rFonts w:cs="Arial"/>
      </w:rPr>
      <w:tab/>
    </w:r>
    <w:r w:rsidR="00A9173D">
      <w:rPr>
        <w:rFonts w:cs="Arial"/>
      </w:rPr>
      <w:tab/>
    </w:r>
    <w:r w:rsidR="00A9173D">
      <w:rPr>
        <w:rFonts w:cs="Arial"/>
      </w:rPr>
      <w:tab/>
    </w:r>
    <w:r w:rsidR="00A9173D">
      <w:rPr>
        <w:rFonts w:cs="Arial"/>
      </w:rPr>
      <w:tab/>
      <w:t xml:space="preserve">    </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10</w:t>
    </w:r>
    <w:r>
      <w:rPr>
        <w:rFonts w:cs="Arial"/>
        <w:noProof/>
      </w:rPr>
      <w:fldChar w:fldCharType="end"/>
    </w:r>
  </w:p>
  <w:p w14:paraId="46024C74" w14:textId="77777777" w:rsidR="006B1D96" w:rsidRDefault="006B1D96"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613BE1A5" w14:textId="77777777" w:rsidR="00B70AE9" w:rsidRPr="002A3231" w:rsidRDefault="006B1D96" w:rsidP="002A3231">
    <w:pPr>
      <w:pStyle w:val="Footer2"/>
      <w:rPr>
        <w:rFonts w:cs="Arial"/>
      </w:rPr>
    </w:pPr>
    <w:r>
      <w:rPr>
        <w:rFonts w:cs="Arial"/>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83B32" w14:textId="2C2C6792" w:rsidR="002515C5" w:rsidRPr="00650037" w:rsidRDefault="002515C5"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w:t>
    </w:r>
    <w:r>
      <w:rPr>
        <w:rFonts w:cs="Arial"/>
        <w:noProof/>
      </w:rPr>
      <w:fldChar w:fldCharType="end"/>
    </w:r>
  </w:p>
  <w:p w14:paraId="4CC3B133" w14:textId="77777777" w:rsidR="002515C5" w:rsidRDefault="002515C5"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0A71C8AC" w14:textId="77777777" w:rsidR="002515C5" w:rsidRPr="002A3231" w:rsidRDefault="002515C5" w:rsidP="002A3231">
    <w:pPr>
      <w:pStyle w:val="Footer2"/>
      <w:rPr>
        <w:rFonts w:cs="Arial"/>
      </w:rPr>
    </w:pPr>
    <w:r>
      <w:rPr>
        <w:rFonts w:cs="Arial"/>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00D3" w14:textId="04C60DC4" w:rsidR="00E76701" w:rsidRPr="00650037" w:rsidRDefault="00E76701"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E80859">
      <w:rPr>
        <w:rFonts w:cs="Arial"/>
      </w:rPr>
      <w:t>A-</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sidR="00E80859">
      <w:rPr>
        <w:rFonts w:cs="Arial"/>
        <w:noProof/>
      </w:rPr>
      <w:t>A-</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2</w:t>
    </w:r>
    <w:r>
      <w:rPr>
        <w:rFonts w:cs="Arial"/>
        <w:noProof/>
      </w:rPr>
      <w:fldChar w:fldCharType="end"/>
    </w:r>
  </w:p>
  <w:p w14:paraId="0B767247" w14:textId="77777777" w:rsidR="00E76701" w:rsidRDefault="00E76701"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5A0AB62E" w14:textId="77777777" w:rsidR="00E76701" w:rsidRPr="002A3231" w:rsidRDefault="00E76701" w:rsidP="002A3231">
    <w:pPr>
      <w:pStyle w:val="Footer2"/>
      <w:rPr>
        <w:rFonts w:cs="Arial"/>
      </w:rPr>
    </w:pPr>
    <w:r>
      <w:rPr>
        <w:rFonts w:cs="Arial"/>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E2D17" w14:textId="77777777" w:rsidR="003C6C2E" w:rsidRDefault="003C6C2E" w:rsidP="007D7758">
      <w:pPr>
        <w:spacing w:after="0"/>
      </w:pPr>
      <w:r>
        <w:separator/>
      </w:r>
    </w:p>
    <w:p w14:paraId="5E64CA0F" w14:textId="77777777" w:rsidR="003C6C2E" w:rsidRDefault="003C6C2E"/>
  </w:footnote>
  <w:footnote w:type="continuationSeparator" w:id="0">
    <w:p w14:paraId="6A748D35" w14:textId="77777777" w:rsidR="003C6C2E" w:rsidRDefault="003C6C2E" w:rsidP="00C62BC7">
      <w:pPr>
        <w:spacing w:after="0"/>
      </w:pPr>
      <w:r>
        <w:continuationSeparator/>
      </w:r>
    </w:p>
    <w:p w14:paraId="145A133B" w14:textId="77777777" w:rsidR="003C6C2E" w:rsidRDefault="003C6C2E"/>
    <w:p w14:paraId="5EA08444" w14:textId="77777777" w:rsidR="003C6C2E" w:rsidRDefault="003C6C2E"/>
    <w:p w14:paraId="4EFF09A2" w14:textId="77777777" w:rsidR="003C6C2E" w:rsidRDefault="003C6C2E"/>
    <w:p w14:paraId="29215908" w14:textId="77777777" w:rsidR="003C6C2E" w:rsidRDefault="003C6C2E"/>
  </w:footnote>
  <w:footnote w:type="continuationNotice" w:id="1">
    <w:p w14:paraId="50B42A53" w14:textId="77777777" w:rsidR="003C6C2E" w:rsidRDefault="003C6C2E">
      <w:pPr>
        <w:spacing w:after="0"/>
      </w:pPr>
    </w:p>
  </w:footnote>
  <w:footnote w:id="2">
    <w:p w14:paraId="4EC03DF1" w14:textId="3D82C98D" w:rsidR="00744B4B" w:rsidRDefault="00744B4B" w:rsidP="00034713">
      <w:pPr>
        <w:pStyle w:val="FootnoteText"/>
      </w:pPr>
      <w:r>
        <w:rPr>
          <w:rStyle w:val="FootnoteReference"/>
        </w:rPr>
        <w:footnoteRef/>
      </w:r>
      <w:r>
        <w:t xml:space="preserve"> </w:t>
      </w:r>
      <w:r w:rsidR="00034713">
        <w:t xml:space="preserve">As used in this document, “Deloitte” means </w:t>
      </w:r>
      <w:r w:rsidR="00034713" w:rsidRPr="00034713">
        <w:t>Deloitte Consulting LLP</w:t>
      </w:r>
      <w:r w:rsidR="00034713">
        <w:t>, a subsidiary of Deloitte LLP. Please see www.deloitte.com/us/about for a detailed description of our legal structure. Certain services may not be available to attest clients under the rules and regulations of public accounting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66B3"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06C"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6CEC2" w14:textId="3E2F8DD2"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1916B" w14:textId="1123C4D1"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17F79B43" w14:textId="77777777" w:rsidTr="000528F1">
      <w:tc>
        <w:tcPr>
          <w:tcW w:w="1674" w:type="dxa"/>
        </w:tcPr>
        <w:p w14:paraId="748D4A35"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25CA32F" w14:textId="549842EC" w:rsidR="00E41AF0" w:rsidRDefault="00CB47AD" w:rsidP="00744B4B">
          <w:pPr>
            <w:pStyle w:val="Header"/>
            <w:rPr>
              <w:noProof/>
            </w:rPr>
          </w:pPr>
          <w:fldSimple w:instr="STYLEREF  &quot;Cover title&quot;  \* MERGEFORMAT">
            <w:r w:rsidR="008C1628">
              <w:rPr>
                <w:noProof/>
              </w:rPr>
              <w:t>Centers for Medicare &amp; Medicaid Services (CMS)</w:t>
            </w:r>
          </w:fldSimple>
        </w:p>
        <w:p w14:paraId="6B64C571" w14:textId="39FC1933" w:rsidR="00744B4B" w:rsidRPr="008F5003" w:rsidRDefault="00CB47AD" w:rsidP="00744B4B">
          <w:pPr>
            <w:pStyle w:val="Header"/>
            <w:rPr>
              <w:noProof/>
            </w:rPr>
          </w:pPr>
          <w:fldSimple w:instr="STYLEREF  &quot;Cover subhead&quot;  \* MERGEFORMAT">
            <w:r w:rsidR="008C1628">
              <w:rPr>
                <w:noProof/>
              </w:rPr>
              <w:t>CCIIO Enrollment Resolution &amp; Reconciliation (ER&amp;R), Form 1095-A Data Reporting</w:t>
            </w:r>
          </w:fldSimple>
        </w:p>
        <w:p w14:paraId="13F7795D" w14:textId="4701A1B4" w:rsidR="00744B4B" w:rsidRPr="001462ED" w:rsidRDefault="00CB47AD" w:rsidP="001462ED">
          <w:pPr>
            <w:pStyle w:val="Header"/>
            <w:rPr>
              <w:bCs/>
              <w:noProof/>
            </w:rPr>
          </w:pPr>
          <w:fldSimple w:instr="STYLEREF  &quot;Cover volume number&quot;  \* MERGEFORMAT">
            <w:r w:rsidR="008C1628" w:rsidRPr="008C1628">
              <w:rPr>
                <w:bCs/>
                <w:noProof/>
              </w:rPr>
              <w:t>Volume I – Technical Proposal</w:t>
            </w:r>
          </w:fldSimple>
        </w:p>
      </w:tc>
    </w:tr>
  </w:tbl>
  <w:p w14:paraId="110C0ED8" w14:textId="0DABE024"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5CD3"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4408F679" w14:textId="77777777" w:rsidR="00091ED6" w:rsidRDefault="00091ED6"/>
  <w:p w14:paraId="26E46869"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8FB4"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4733ABA1" w14:textId="77777777" w:rsidR="00091ED6" w:rsidRDefault="00091ED6"/>
  <w:p w14:paraId="244C250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bbetts, William">
    <w15:presenceInfo w15:providerId="AD" w15:userId="S::wtibbetts@deloitte.com::9309f783-3a10-44b8-baa8-47751a178f86"/>
  </w15:person>
  <w15:person w15:author="Bhatnagar, Abhas">
    <w15:presenceInfo w15:providerId="AD" w15:userId="S::abhabhatnagar@deloitte.com::8888e2e7-22e9-4864-b60c-dbc687c310fd"/>
  </w15:person>
  <w15:person w15:author="Bowman, Kelly">
    <w15:presenceInfo w15:providerId="AD" w15:userId="S::kelbowman@deloitte.com::0e87ba2e-dc3b-459e-a0b0-c0f3727d7455"/>
  </w15:person>
  <w15:person w15:author="Jain, Rajat">
    <w15:presenceInfo w15:providerId="AD" w15:userId="S::rjain70@deloitte.com::82ded551-11ea-4784-b22f-389b03ffdeea"/>
  </w15:person>
  <w15:person w15:author="Jennings, Ben">
    <w15:presenceInfo w15:providerId="AD" w15:userId="S::bejennings@deloitte.com::bc5f3679-a4ff-4bd3-a73e-ff89740e8be1"/>
  </w15:person>
  <w15:person w15:author="Noorani, Bilal">
    <w15:presenceInfo w15:providerId="AD" w15:userId="S::bnoorani@deloitte.com::beb4e5f7-4739-494c-8057-3e3c9980109f"/>
  </w15:person>
  <w15:person w15:author="Borhan, Zerina">
    <w15:presenceInfo w15:providerId="AD" w15:userId="S::zborhan@deloitte.com::2ed06c12-9563-46bf-8b72-61145556d1f4"/>
  </w15:person>
  <w15:person w15:author="Marsh, Hana">
    <w15:presenceInfo w15:providerId="AD" w15:userId="S::hamarsh@deloitte.com::4ea70039-196b-4156-969a-a452407b6ad8"/>
  </w15:person>
  <w15:person w15:author="Krause Schmidt, Phil">
    <w15:presenceInfo w15:providerId="AD" w15:userId="S::pkrauseschmidt@deloitte.com::294c8113-155f-48a4-b102-0ad46e5653f0"/>
  </w15:person>
  <w15:person w15:author="Waqar Chaudhry">
    <w15:presenceInfo w15:providerId="None" w15:userId="Waqar Chaudhry"/>
  </w15:person>
  <w15:person w15:author="Mwebaza, Justine">
    <w15:presenceInfo w15:providerId="AD" w15:userId="S::jmwebaza@deloitte.com::cd0be3d1-633a-417d-b3f9-94fa14f4b86a"/>
  </w15:person>
  <w15:person w15:author="Seibert, Samuel">
    <w15:presenceInfo w15:providerId="AD" w15:userId="S::sseibert@deloitte.com::3a1e2893-0e6b-486a-9b9f-fb8dc1b78bc5"/>
  </w15:person>
  <w15:person w15:author="Fields, April">
    <w15:presenceInfo w15:providerId="AD" w15:userId="S::afields@deloitte.com::a11d78ca-b17f-45f6-880c-fdf4e18fc6f0"/>
  </w15:person>
  <w15:person w15:author="Scott, Katie">
    <w15:presenceInfo w15:providerId="AD" w15:userId="S::katiescott@deloitte.com::f6b0c21f-4009-42e5-8a52-b58492229742"/>
  </w15:person>
  <w15:person w15:author="Losito, Erica">
    <w15:presenceInfo w15:providerId="None" w15:userId="Losito, Erica"/>
  </w15:person>
  <w15:person w15:author="Janesko, Sehreen">
    <w15:presenceInfo w15:providerId="AD" w15:userId="S::sehkhan@deloitte.com::d84f9978-9f3d-4745-9319-7b6759f93337"/>
  </w15:person>
  <w15:person w15:author="Estep, Cassidy">
    <w15:presenceInfo w15:providerId="AD" w15:userId="S::caestep@deloitte.com::6bd1a7ba-1962-4593-8716-f02bc23cc2c0"/>
  </w15:person>
  <w15:person w15:author="Allen, Elizabeth-Ashley">
    <w15:presenceInfo w15:providerId="AD" w15:userId="S::elallen@deloitte.com::e07430e7-4c62-444d-a199-dfd177eae4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05BA7C"/>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Courier New" w:hAnsi="Courier Ne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Times New Roman" w:eastAsiaTheme="majorEastAsia" w:hAnsi="Times New Roman" w:cstheme="majorBidi"/>
      <w:b/>
      <w:bCs/>
      <w:color w:val="005587"/>
      <w:sz w:val="28"/>
      <w:szCs w:val="28"/>
    </w:rPr>
  </w:style>
  <w:style w:type="character" w:customStyle="1" w:styleId="Heading2Char">
    <w:name w:val="Heading 2 Char"/>
    <w:basedOn w:val="DefaultParagraphFont"/>
    <w:link w:val="Heading2"/>
    <w:rsid w:val="00775B30"/>
    <w:rPr>
      <w:rFonts w:ascii="Times New Roman" w:eastAsiaTheme="majorEastAsia" w:hAnsi="Times New Roman" w:cstheme="majorBidi"/>
      <w:b/>
      <w:color w:val="00B0F0"/>
      <w:sz w:val="26"/>
      <w:szCs w:val="26"/>
    </w:rPr>
  </w:style>
  <w:style w:type="character" w:customStyle="1" w:styleId="Heading3Char">
    <w:name w:val="Heading 3 Char"/>
    <w:basedOn w:val="DefaultParagraphFont"/>
    <w:link w:val="Heading3"/>
    <w:rsid w:val="00775B30"/>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Times New Roman" w:eastAsiaTheme="majorEastAsia" w:hAnsi="Times New Roman"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Times New Roman" w:eastAsiaTheme="majorEastAsia" w:hAnsi="Times New Roman"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Times New Roman" w:eastAsiaTheme="majorEastAsia" w:hAnsi="Times New Roman"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Times New Roman" w:hAnsi="Times New Roman"/>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Times New Roman" w:hAnsi="Times New Roman"/>
      <w:sz w:val="16"/>
    </w:rPr>
  </w:style>
  <w:style w:type="table" w:customStyle="1" w:styleId="DeloitteTable1">
    <w:name w:val="Deloitte Table1"/>
    <w:basedOn w:val="TableNormal"/>
    <w:uiPriority w:val="99"/>
    <w:rsid w:val="00760B19"/>
    <w:pPr>
      <w:spacing w:after="0" w:line="240" w:lineRule="auto"/>
    </w:pPr>
    <w:rPr>
      <w:rFonts w:ascii="Times New Roman" w:hAnsi="Times New Roman"/>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Times New Roman"/>
      <w:szCs w:val="16"/>
    </w:rPr>
  </w:style>
  <w:style w:type="paragraph" w:customStyle="1" w:styleId="Cover2Disclosure">
    <w:name w:val="Cover 2_Disclosure"/>
    <w:basedOn w:val="CoverTitle"/>
    <w:semiHidden/>
    <w:rsid w:val="00FF4B13"/>
    <w:pPr>
      <w:spacing w:before="180" w:after="0" w:line="180" w:lineRule="exact"/>
    </w:pPr>
    <w:rPr>
      <w:rFonts w:cs="Times New Roman"/>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Times New Roman"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Times New Roman" w:hAnsi="Times New Roman"/>
      <w:sz w:val="24"/>
    </w:rPr>
  </w:style>
  <w:style w:type="paragraph" w:customStyle="1" w:styleId="HeadingNoTOC">
    <w:name w:val="Heading (No TOC)"/>
    <w:basedOn w:val="BodyText"/>
    <w:next w:val="BodyText"/>
    <w:rsid w:val="008C3979"/>
    <w:pPr>
      <w:keepNext/>
    </w:pPr>
    <w:rPr>
      <w:rFonts w:eastAsia="Times New Roman" w:cs="Times New Roman"/>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Times New Roman" w:cs="Times New Roman"/>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Times New Roman" w:cs="Times New Roman"/>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Times New Roman" w:cs="Times New Roman"/>
      <w:szCs w:val="32"/>
    </w:rPr>
  </w:style>
  <w:style w:type="paragraph" w:customStyle="1" w:styleId="Cover2ProjectDescription">
    <w:name w:val="Cover2_Project Description"/>
    <w:basedOn w:val="CoverTitle"/>
    <w:semiHidden/>
    <w:rsid w:val="00C76534"/>
    <w:pPr>
      <w:spacing w:before="0" w:after="0"/>
    </w:pPr>
    <w:rPr>
      <w:rFonts w:eastAsia="Times New Roman" w:cs="Times New Roman"/>
      <w:bCs/>
      <w:noProof/>
      <w:color w:val="00B0F0"/>
      <w:sz w:val="24"/>
      <w:szCs w:val="24"/>
    </w:rPr>
  </w:style>
  <w:style w:type="paragraph" w:customStyle="1" w:styleId="Cover2Solicitation">
    <w:name w:val="Cover 2_Solicitation #"/>
    <w:basedOn w:val="CoverTitle"/>
    <w:semiHidden/>
    <w:rsid w:val="00775B30"/>
    <w:pPr>
      <w:spacing w:before="0" w:after="360"/>
    </w:pPr>
    <w:rPr>
      <w:rFonts w:eastAsia="Times New Roman" w:cs="Times New Roman"/>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Times New Roman" w:cs="Times New Roman"/>
      <w:sz w:val="24"/>
      <w:szCs w:val="24"/>
    </w:rPr>
  </w:style>
  <w:style w:type="paragraph" w:customStyle="1" w:styleId="CoverTitleSubmission">
    <w:name w:val="Cover Title Submission"/>
    <w:basedOn w:val="CoverTitle"/>
    <w:semiHidden/>
    <w:rsid w:val="008341E6"/>
    <w:pPr>
      <w:spacing w:before="0" w:after="0"/>
      <w:jc w:val="center"/>
    </w:pPr>
    <w:rPr>
      <w:rFonts w:eastAsia="Times New Roman" w:cs="Times New Roman"/>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Times New Roman" w:cs="Times New Roman"/>
      <w:color w:val="000000" w:themeColor="text1"/>
      <w:szCs w:val="24"/>
    </w:rPr>
  </w:style>
  <w:style w:type="paragraph" w:customStyle="1" w:styleId="Cover2Date">
    <w:name w:val="Cover2_Date"/>
    <w:basedOn w:val="CoverTitle"/>
    <w:semiHidden/>
    <w:rsid w:val="00775B30"/>
    <w:pPr>
      <w:spacing w:before="0"/>
    </w:pPr>
    <w:rPr>
      <w:rFonts w:eastAsia="Times New Roman" w:cs="Times New Roman"/>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Times New Roman" w:hAnsi="Times New Roman"/>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pPr>
    <w:rPr>
      <w:sz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jc w:val="center"/>
    </w:pPr>
    <w:rPr>
      <w:b/>
      <w:color w:val="FFFFFF"/>
    </w:rPr>
  </w:style>
  <w:style w:type="paragraph" w:customStyle="1" w:styleId="TableRowHeading">
    <w:name w:val="Table Row Heading"/>
    <w:basedOn w:val="TableBody"/>
    <w:next w:val="TableBody"/>
    <w:qFormat/>
    <w:rsid w:val="007967B9"/>
    <w:rPr>
      <w:b/>
    </w:rPr>
  </w:style>
  <w:style w:type="paragraph" w:customStyle="1" w:styleId="TableTitle">
    <w:name w:val="Table Title"/>
    <w:basedOn w:val="FigureTitle"/>
    <w:next w:val="ActionCaption"/>
    <w:unhideWhenUsed/>
    <w:rsid w:val="008E2DFB"/>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p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Times New Roman" w:hAnsi="Times New Roman"/>
      <w:sz w:val="24"/>
    </w:rPr>
  </w:style>
  <w:style w:type="character" w:customStyle="1" w:styleId="XCoverLetterBodyTextCharChar">
    <w:name w:val="X_Cover Letter Body Text Char Char"/>
    <w:basedOn w:val="DefaultParagraphFont"/>
    <w:link w:val="XCoverLetterBodyText"/>
    <w:semiHidden/>
    <w:rsid w:val="00F23396"/>
    <w:rPr>
      <w:rFonts w:ascii="Times New Roman" w:hAnsi="Times New Roman"/>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rPr>
  </w:style>
  <w:style w:type="paragraph" w:customStyle="1" w:styleId="PastPerfTableBody">
    <w:name w:val="Past Perf Table Body"/>
    <w:basedOn w:val="TableBody"/>
    <w:rsid w:val="00A362A4"/>
    <w:pPr>
      <w:tabs>
        <w:tab w:val="clear" w:pos="180"/>
      </w:tabs>
    </w:pPr>
    <w:rPr>
      <w:szCs w:val="18"/>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Times New Roman" w:hAnsi="Times New Roman"/>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p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Times New Roman" w:hAnsi="Times New Roman"/>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Times New Roman" w:hAnsi="Times New Roman"/>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Courier New" w:hAnsi="Courier Ne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Courier New" w:hAnsi="Courier Ne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ascii="Times New Roman" w:eastAsia="Times New Roman" w:hAnsi="Times New Roman" w:cs="Times New Roman"/>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Courier New" w:hAnsi="Courier New"/>
      <w:sz w:val="24"/>
    </w:rPr>
  </w:style>
  <w:style w:type="paragraph" w:customStyle="1" w:styleId="paragraph">
    <w:name w:val="paragraph"/>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eader" Target="header5.xml"/><Relationship Id="rId39" Type="http://schemas.openxmlformats.org/officeDocument/2006/relationships/image" Target="media/image17.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header" Target="header6.xml"/><Relationship Id="rId50" Type="http://schemas.openxmlformats.org/officeDocument/2006/relationships/header" Target="header7.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7.png"/><Relationship Id="rId11" Type="http://schemas.openxmlformats.org/officeDocument/2006/relationships/image" Target="media/image1.png"/><Relationship Id="rId24" Type="http://schemas.openxmlformats.org/officeDocument/2006/relationships/header" Target="header4.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10.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6/09/relationships/commentsIds" Target="commentsIds.xml"/><Relationship Id="rId27" Type="http://schemas.openxmlformats.org/officeDocument/2006/relationships/footer" Target="footer5.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footer" Target="footer6.xml"/><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footer" Target="footer8.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footer" Target="footer4.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openxmlformats.org/officeDocument/2006/relationships/comments" Target="comments.xml"/><Relationship Id="rId41" Type="http://schemas.openxmlformats.org/officeDocument/2006/relationships/image" Target="media/image19.png"/><Relationship Id="rId54" Type="http://schemas.openxmlformats.org/officeDocument/2006/relationships/image" Target="media/image25.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_rels/footer10.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2.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4.xml><?xml version="1.0" encoding="utf-8"?>
<ds:datastoreItem xmlns:ds="http://schemas.openxmlformats.org/officeDocument/2006/customXml" ds:itemID="{3C5B42F1-9690-493F-9CE3-CDB3AA31EB6F}">
  <ds:schemaRefs>
    <ds:schemaRef ds:uri="http://schemas.microsoft.com/office/2006/metadata/properties"/>
    <ds:schemaRef ds:uri="ef37e940-8df3-44e9-8f15-d966bfd3441b"/>
    <ds:schemaRef ds:uri="http://purl.org/dc/dcmitype/"/>
    <ds:schemaRef ds:uri="da3f2a92-1c9c-4755-bc8f-0daa2db82bce"/>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www.w3.org/XML/1998/namespace"/>
    <ds:schemaRef ds:uri="http://purl.org/dc/te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91</Pages>
  <Words>35281</Words>
  <Characters>203925</Characters>
  <Application>Microsoft Office Word</Application>
  <DocSecurity>0</DocSecurity>
  <Lines>3577</Lines>
  <Paragraphs>1684</Paragraphs>
  <ScaleCrop>false</ScaleCrop>
  <Company>Deloitte</Company>
  <LinksUpToDate>false</LinksUpToDate>
  <CharactersWithSpaces>237522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Tibbetts, William</cp:lastModifiedBy>
  <cp:revision>2</cp:revision>
  <cp:lastPrinted>2016-12-11T09:43:00Z</cp:lastPrinted>
  <dcterms:created xsi:type="dcterms:W3CDTF">2026-04-27T18:56:00Z</dcterms:created>
  <dcterms:modified xsi:type="dcterms:W3CDTF">2026-04-27T18:56:00Z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