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8"/>
          <w:szCs w:val="28"/>
        </w:rPr>
        <w:t xml:space="preserve">VOLUME I — TECHNICAL VOLUME</w:t>
      </w:r>
    </w:p>
    <w:p>
      <w:pPr>
        <w:spacing w:after="80" w:before="0"/>
        <w:jc w:val="center"/>
      </w:pPr>
      <w:r>
        <w:rPr>
          <w:sz w:val="22"/>
          <w:szCs w:val="22"/>
        </w:rPr>
        <w:t xml:space="preserve">RFQ 75D301-26-Q-78845 — CDC Customer Information Technology Support (CITS)</w:t>
      </w:r>
    </w:p>
    <w:p>
      <w:pPr>
        <w:spacing w:after="240" w:before="0"/>
        <w:jc w:val="center"/>
      </w:pPr>
      <w:r>
        <w:rPr>
          <w:sz w:val="22"/>
          <w:szCs w:val="22"/>
        </w:rPr>
        <w:t xml:space="preserve">Submitted by </w:t>
      </w:r>
      <w:r>
        <w:rPr>
          <w:i/>
          <w:iCs/>
          <w:color w:val="B5651D"/>
        </w:rPr>
        <w:t xml:space="preserve">[PLACEHOLDER: Deloitte legal entity name as registered for Alliant 2]</w:t>
      </w:r>
      <w:r>
        <w:rPr>
          <w:sz w:val="22"/>
          <w:szCs w:val="22"/>
        </w:rPr>
        <w:t xml:space="preserve"> · </w:t>
      </w:r>
      <w:r>
        <w:rPr>
          <w:i/>
          <w:iCs/>
          <w:color w:val="B5651D"/>
        </w:rPr>
        <w:t xml:space="preserve">[PLACEHOLDER: Cage code, UEI]</w:t>
      </w:r>
      <w:r>
        <w:rPr>
          <w:sz w:val="22"/>
          <w:szCs w:val="22"/>
        </w:rPr>
        <w:t xml:space="preserve"> · Submission date: June 1, 2026</w:t>
      </w:r>
    </w:p>
    <w:p>
      <w:pPr>
        <w:pStyle w:val="Heading1"/>
        <w:spacing w:after="120" w:before="240"/>
      </w:pPr>
      <w:r>
        <w:t xml:space="preserve">1. Technical Approach</w:t>
      </w:r>
    </w:p>
    <w:p>
      <w:pPr>
        <w:spacing w:after="80" w:before="80" w:line="276"/>
      </w:pPr>
      <w:r>
        <w:rPr>
          <w:b/>
          <w:bCs/>
        </w:rPr>
        <w:t xml:space="preserve">Our governing approach to CITS: keep what works, deflect demand, modernize where it pays back. </w:t>
      </w:r>
      <w:r>
        <w:t xml:space="preserve">CDC's IT customer support model — a tiered ITSM service delivery structure built on ServiceNow, ITIL, and PMBOK — is sound. The service quality opportunity is not to replace it. It is to take excess demand out of the system, automate the repetitive work that fills technicians' queues today, and direct human attention to the work where human attention matters: emergency response, scientific computing, global health field deployments, and OCONUS network restoration. This Work Plan describes how we will assume performance, sustain CDC's published service levels, and deliver consistent total cost of ownership reduction across the period of performance. We address each task in the Performance Work Statement, identify the operational baseline we will inherit, name the specific automation and workflow improvements we will pursue, and identify the risks and dependencies the Government should expect us to manage.</w:t>
      </w:r>
    </w:p>
    <w:p>
      <w:pPr>
        <w:pStyle w:val="Heading2"/>
        <w:spacing w:after="100" w:before="200"/>
      </w:pPr>
      <w:r>
        <w:t xml:space="preserve">1.1 Understanding of the Requirement and Operational Baseline</w:t>
      </w:r>
    </w:p>
    <w:p>
      <w:pPr>
        <w:spacing w:after="80" w:before="80" w:line="276"/>
      </w:pPr>
      <w:r>
        <w:t xml:space="preserve">CDC OCIO supports approximately 28,000 personnel globally — including approximately 1,275 OCIO contractors and 375 federal employees — across CONUS and OCONUS sites, ranging from the Roybal and Chamblee campuses in Atlanta to ~60 international Global Health Center locations and Field Site Service postings. The published incident and task data in PWS Section 4 are the operational baseline we will inherit on day one. Tables 3 and 4 of the PWS show that, between October 2023 and December 2024, CDC processed approximately 42,000 incidents and 27,000 tasks. The shape of that volume is consequential and it directs where automation pays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Demand category (PWS Tables 3 and 4)</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Volume</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Share</w:t>
            </w:r>
          </w:p>
        </w:tc>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Where automation pays back</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Network Password Reset (tasks)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11,459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41.8%</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Highest-volume, highest-deflection target. ServiceNow self-service plus identity-broker-mediated reset workflow.</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Provision UserID (tasks)</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6,137</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22.4%</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Workflow automation in ServiceNow with conditional approvals; tightens cycle time and audit trail.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Outlook (incidents)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4,357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Knowledge-base deflection plus telemetry-driven proactive remediation.</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Smart Card / MFA / PIV exception (incidents + tasks)</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≈8,000 combined</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≈12%</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Identity workflow consolidation; pre-issuance verification reduces exception requests.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Laptop and CITGO Virtual Desktop (incidents)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5,925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MECM/Intune drift detection; image-quality gates before re-issue under PWS Task 1.2.l.</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Teams / OneDrive / Mailbox (incidents)</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4,322</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10.2%</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M365 telemetry; standardized self-help; right-sizing of mailbox provisioning at onboarding.</w:t>
            </w:r>
          </w:p>
        </w:tc>
      </w:tr>
    </w:tbl>
    <w:p>
      <w:pPr>
        <w:spacing w:after="80" w:before="80" w:line="276"/>
      </w:pPr>
      <w:r>
        <w:t xml:space="preserve">These six categories represent more than three quarters of total inbound volume. Our technical approach is calibrated to that distribution. We do not attempt uniform automation across all task categories; we sequence improvements where the operational return is largest and where ServiceNow-native workflow and knowledge management already provide the platform.</w:t>
      </w:r>
    </w:p>
    <w:p>
      <w:pPr>
        <w:spacing w:after="80" w:before="80" w:line="276"/>
      </w:pPr>
      <w:r>
        <w:rPr>
          <w:b/>
          <w:bCs/>
        </w:rPr>
        <w:t xml:space="preserve">Constraints we are designing around. </w:t>
      </w:r>
      <w:r>
        <w:t xml:space="preserve">Three constraints set the boundary on how we approach this scope. First, ServiceNow is CDC's platform of record for ITSM, and CDC will continue to provide it; we build on it rather than around it. Second, the Section L proposal preparation instructions prohibit AI products in this proposal and prohibit the use of AI products after award except those provided, approved, and made available by CDC. Our Work Plan therefore relies on ServiceNow workflow, ServiceNow Virtual Agent (a CDC-provisioned ServiceNow capability), knowledge management, robotic process automation, and ServiceNow-native analytics. Where future CDC-approved capabilities expand the available toolset, our continuous-improvement cadence will incorporate them on CDC's authority. Third, the Customer Service Survey performance metric (96% or greater per PWS Section 9) and the Customer Personnel Availability metric (80% minimum daily) discipline how we sequence change. We do not run pilots or transformations that put either metric at risk.</w:t>
      </w:r>
    </w:p>
    <w:p>
      <w:pPr>
        <w:spacing w:after="80" w:before="80" w:line="276"/>
      </w:pPr>
      <w:r>
        <w:rPr>
          <w:b/>
          <w:bCs/>
        </w:rPr>
        <w:t xml:space="preserve">Three challenges we anticipate, with how we will address them. </w:t>
      </w:r>
      <w:r>
        <w:t xml:space="preserve">First, demand surge during public health emergencies — the EOC support model and Field Site Service posture in PWS Task 1.3 cannot be staffed at peak as a baseline. Our approach uses ServiceNow virtual agent for password and standard-request deflection so that human technician capacity is preserved for surge response, plus a defined cross-task surge plan from the optional Task 4.1 rapid surge staffing capability. Second, OCONUS network reliability — Global Activities under PWS Task 2.1 supports approximately 1,800 staff in roughly 60 international locations on satellite and SD-WAN links where Priority 1 outages cascade. Our approach pairs CCNA-certified engineers with regional operating procedures and documented deployment readiness so that 24-to-48 hour deployment windows are met without ad hoc mobilization. Third, knowledge fragmentation — the highest leverage in the demand profile is in deflection, and deflection requires a knowledge base that is current, findable, and maintained. Our approach treats knowledge management as an explicit, measured discipline under PWS Subsection 3.2.3 with named ownership in Task 3.1, not a residual artifact of ticket closure.</w:t>
      </w:r>
    </w:p>
    <w:p>
      <w:pPr>
        <w:pStyle w:val="Heading2"/>
        <w:spacing w:after="100" w:before="200"/>
      </w:pPr>
      <w:r>
        <w:t xml:space="preserve">1.2 Work Plan and Milestones</w:t>
      </w:r>
    </w:p>
    <w:p>
      <w:pPr>
        <w:spacing w:after="80" w:before="80" w:line="276"/>
      </w:pPr>
      <w:r>
        <w:t xml:space="preserve">The Work Plan below correlates to the Business Volume hour build and is structured to align with CDC's contractual periods of performance: a one-month transition (8/1/2026–8/31/2026) under firm-fixed-price subscription terms, a five-month base period (9/1/2026–1/31/2027) under time-and-materials, four 12-month options, and a six-month extension priced for evaluation under FAR 52.217-8. The milestone chart in Figure 1.2-A summarizes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2520"/>
        <w:gridCol w:w="2520"/>
      </w:tblGrid>
      <w:tr>
        <w:trPr>
          <w:tblHeader/>
        </w:trPr>
        <w:tc>
          <w:tcPr>
            <w:tcW w:type="dxa" w:w="234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Period</w:t>
            </w:r>
          </w:p>
        </w:tc>
        <w:tc>
          <w:tcPr>
            <w:tcW w:type="dxa" w:w="198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Window</w:t>
            </w:r>
          </w:p>
        </w:tc>
        <w:tc>
          <w:tcPr>
            <w:tcW w:type="dxa" w:w="25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Primary milestones</w:t>
            </w:r>
          </w:p>
        </w:tc>
        <w:tc>
          <w:tcPr>
            <w:tcW w:type="dxa" w:w="25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Decision gates / metrics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Transition</w:t>
            </w:r>
          </w:p>
        </w:tc>
        <w:tc>
          <w:tcPr>
            <w:tcW w:type="dxa" w:w="19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Aug 2026</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Personnel onboarded; KT complete; QCP accepted by CO; GFE inventory closed</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Day-30 readiness review with COR; SLA continuity confirmed</w:t>
            </w:r>
          </w:p>
        </w:tc>
      </w:tr>
      <w:tr>
        <w:tc>
          <w:tcPr>
            <w:tcW w:type="dxa" w:w="23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Base period</w:t>
            </w:r>
          </w:p>
        </w:tc>
        <w:tc>
          <w:tcPr>
            <w:tcW w:type="dxa" w:w="198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Sep 2026 – Jan 2027</w:t>
            </w:r>
          </w:p>
        </w:tc>
        <w:tc>
          <w:tcPr>
            <w:tcW w:type="dxa" w:w="25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Run-state at PWS SLAs; deflection baseline established; knowledge management inventory</w:t>
            </w:r>
          </w:p>
        </w:tc>
        <w:tc>
          <w:tcPr>
            <w:tcW w:type="dxa" w:w="25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Quarterly IPRs; CSAT ≥96%; missed-call &lt;3%; speed-to-answer &lt;2 min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Option Period 1</w:t>
            </w:r>
          </w:p>
        </w:tc>
        <w:tc>
          <w:tcPr>
            <w:tcW w:type="dxa" w:w="19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Feb 2027 – Jan 2028</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Deflection program scaled; ServiceNow Virtual Agent flow expansion (CDC-approved); RPA wave 1</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Year-1 TCO reduction target; deflection rate gate; CSAT sustained</w:t>
            </w:r>
          </w:p>
        </w:tc>
      </w:tr>
      <w:tr>
        <w:tc>
          <w:tcPr>
            <w:tcW w:type="dxa" w:w="23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Option Periods 2–4</w:t>
            </w:r>
          </w:p>
        </w:tc>
        <w:tc>
          <w:tcPr>
            <w:tcW w:type="dxa" w:w="198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Feb 2028 – Jul 2030</w:t>
            </w:r>
          </w:p>
        </w:tc>
        <w:tc>
          <w:tcPr>
            <w:tcW w:type="dxa" w:w="25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Continuous improvement waves; knowledge base modernization; metrics maturation</w:t>
            </w:r>
          </w:p>
        </w:tc>
        <w:tc>
          <w:tcPr>
            <w:tcW w:type="dxa" w:w="25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Year-over-year TCO targets; trend-line CSAT; problem-management closure</w:t>
            </w:r>
          </w:p>
        </w:tc>
      </w:tr>
    </w:tbl>
    <w:p>
      <w:pPr>
        <w:spacing w:after="80" w:before="80" w:line="276"/>
      </w:pPr>
      <w:r>
        <w:rPr>
          <w:i/>
          <w:iCs/>
          <w:color w:val="B5651D"/>
        </w:rPr>
        <w:t xml:space="preserve">[PLACEHOLDER: Insert Figure 1.2-A Master Milestone Chart — proposal graphics team to render Gantt-style timeline showing Transition, Base, and Option Periods 1–4 with vertical milestone markers, decision gates, and key personnel onboarding waves. Visual replaces 1–2 paragraphs of dense prose and supports Section L (1)(b) requirement for milestone charts.]</w:t>
      </w:r>
    </w:p>
    <w:p>
      <w:pPr>
        <w:pStyle w:val="Heading2"/>
        <w:spacing w:after="100" w:before="200"/>
      </w:pPr>
      <w:r>
        <w:t xml:space="preserve">1.3 Approach by Task</w:t>
      </w:r>
    </w:p>
    <w:p>
      <w:pPr>
        <w:spacing w:after="80" w:before="80" w:line="276"/>
      </w:pPr>
      <w:r>
        <w:t xml:space="preserve">Each subsection below summarizes our approach to a PWS task or task family. We address all required tasks and note our approach to the optional tasks the Government may exercise. Tasks share a common operating model — ServiceNow as the system of record, knowledge management as a measured discipline, defined escalation paths, and named accountability — so we describe shared elements once here and then treat each task as a delta from the common baseline.</w:t>
      </w:r>
    </w:p>
    <w:p>
      <w:pPr>
        <w:pStyle w:val="Heading3"/>
        <w:spacing w:after="80" w:before="160"/>
      </w:pPr>
      <w:r>
        <w:t xml:space="preserve">1.3.1 Task 1.1 — IT ServiceDesk Services (ITSDS)</w:t>
      </w:r>
    </w:p>
    <w:p>
      <w:pPr>
        <w:spacing w:after="80" w:before="80" w:line="276"/>
      </w:pPr>
      <w:r>
        <w:rPr>
          <w:b/>
          <w:bCs/>
        </w:rPr>
        <w:t xml:space="preserve">Objective and our commitment. </w:t>
      </w:r>
      <w:r>
        <w:t xml:space="preserve">Provide Level 1 customer support across phone, ServiceNow portal, email, and chat for all CDC personnel; meet the under-2-minute monthly average speed-to-answer, the 80%-daily Contractor Personnel Availability standard, the under-3% error rate, and the 96%-or-greater Customer Service Survey threshold; maintain a less-than-3% missed-call rate.</w:t>
      </w:r>
    </w:p>
    <w:p>
      <w:pPr>
        <w:spacing w:after="80" w:before="80" w:line="276"/>
      </w:pPr>
      <w:r>
        <w:rPr>
          <w:b/>
          <w:bCs/>
        </w:rPr>
        <w:t xml:space="preserve">Operating model. </w:t>
      </w:r>
      <w:r>
        <w:t xml:space="preserve">We staff Tier 1 with a mixed labor-category model — junior, journeyman, senior, and SME — sized to the historical level-of-effort table in Section L. The contact center runs on the CDC-provided Virtual Contact Center system, with ServiceNow as the single system of record for ticket data, work notes, knowledge articles, and customer satisfaction surveys. Calls and chats are triaged in ServiceNow; first-contact resolution is the explicit team objective; warm-handoff escalation to Tier 2 follows a documented script with confirmation back to the customer. We verify ticket closure with the requester before close, in compliance with PWS Subsection 1, item j.</w:t>
      </w:r>
    </w:p>
    <w:p>
      <w:pPr>
        <w:spacing w:after="80" w:before="80" w:line="276"/>
      </w:pPr>
      <w:r>
        <w:rPr>
          <w:b/>
          <w:bCs/>
        </w:rPr>
        <w:t xml:space="preserve">Demand reduction (highest-leverage area). </w:t>
      </w:r>
      <w:r>
        <w:t xml:space="preserve">Network password resets and provisioning together account for approximately 64% of inbound task volume. We will direct the largest share of our demand-reduction effort here through three workstreams: (1) ServiceNow Virtual Agent self-service flows for password reset, supported by identity verification and audited reset workflow; (2) standardized request templates for User ID provisioning that route to conditional approval and automated fulfillment where the rules are deterministic; (3) targeted knowledge articles, written in plain language and indexed for findability, that resolve the top deflectable incident types — Outlook, Teams, OneDrive, MFA — at the customer-self-service layer. Knowledge articles are owned, dated, version-controlled, and reviewed quarterly under Subsection 3.2.3.</w:t>
      </w:r>
    </w:p>
    <w:p>
      <w:pPr>
        <w:spacing w:after="80" w:before="80" w:line="276"/>
      </w:pPr>
      <w:r>
        <w:rPr>
          <w:b/>
          <w:bCs/>
        </w:rPr>
        <w:t xml:space="preserve">Quality and continuous improvement. </w:t>
      </w:r>
      <w:r>
        <w:t xml:space="preserve">We conduct weekly quality assurance review of contact channels and tickets per PWS Subsection 1, item 2(b), with findings reported to the COR and Technical Monitor on request. Trend identification feeds back into reference materials — manuals, scripts, guides, work instructions, knowledge articles — so that Tier 1 capability strengthens monthly, not just annually.</w:t>
      </w:r>
    </w:p>
    <w:p>
      <w:pPr>
        <w:spacing w:after="80" w:before="80" w:line="276"/>
      </w:pPr>
      <w:r>
        <w:rPr>
          <w:b/>
          <w:bCs/>
        </w:rPr>
        <w:t xml:space="preserve">Hardware repair function. </w:t>
      </w:r>
      <w:r>
        <w:t xml:space="preserve">Within Task 1.1, the hardware repair team — staffed across journeyman computer hardware engineers, junior user support specialists, journeyman document management specialists, and an information technology project manager per the published level-of-effort — runs intake, repair, and disposition in ServiceNow, including warranty status tracking, parts-and-labor recording, and serial-number-level audit trail.</w:t>
      </w:r>
    </w:p>
    <w:p>
      <w:pPr>
        <w:pStyle w:val="Heading3"/>
        <w:spacing w:after="80" w:before="160"/>
      </w:pPr>
      <w:r>
        <w:t xml:space="preserve">1.3.2 Task 1.2 — Deskside Support Services (DSS)</w:t>
      </w:r>
    </w:p>
    <w:p>
      <w:pPr>
        <w:spacing w:after="80" w:before="80" w:line="276"/>
      </w:pPr>
      <w:r>
        <w:rPr>
          <w:b/>
          <w:bCs/>
        </w:rPr>
        <w:t xml:space="preserve">Coverage and SLA framing. </w:t>
      </w:r>
      <w:r>
        <w:t xml:space="preserve">Tier 2 deskside support across the Atlanta campuses (Century Center, Chamblee, Corporate Square, Lawrenceville, Roybal) and the non-Atlanta Customer Support Center sites (Anchorage, Cincinnati, Ft. Collins, Hyattsville, Morgantown, Pittsburgh, San Juan, Spokane, Denver, plus DSS-assigned Washington, DC), with audio-visual support to non-Atlanta locations. We meet the OCIO Incident SLA in PWS Table 5: 15-minute assignment and 2-hour resolution at Priority 1; 30-minute assignment and 4-hour resolution at Priority 2; and the M-F 8 AM–4 PM Local windows for Priorities 3 and 4, at the 95% Achieved Expected Results level or higher.</w:t>
      </w:r>
    </w:p>
    <w:p>
      <w:pPr>
        <w:spacing w:after="80" w:before="80" w:line="276"/>
      </w:pPr>
      <w:r>
        <w:rPr>
          <w:b/>
          <w:bCs/>
        </w:rPr>
        <w:t xml:space="preserve">Service Desk Liaisons. </w:t>
      </w:r>
      <w:r>
        <w:t xml:space="preserve">Each campus has a dedicated Service Desk Liaison — a Project Manager-class technician who serves as the lead contractor working with the Campus Lead and Backup Campus Lead. SDLs assign incoming tickets, manage the on-hold queue with documented justifications under PWS Subsection 1.2.1, item e, and own daily ticket hygiene. SDLs are technically credentialed, not project-managers-in-name-only; technical depth is a non-negotiable selection criterion.</w:t>
      </w:r>
    </w:p>
    <w:p>
      <w:pPr>
        <w:spacing w:after="80" w:before="80" w:line="276"/>
      </w:pPr>
      <w:r>
        <w:rPr>
          <w:b/>
          <w:bCs/>
        </w:rPr>
        <w:t xml:space="preserve">Endpoint discipline. </w:t>
      </w:r>
      <w:r>
        <w:t xml:space="preserve">Image deployment, patching, and update verification are run through MECM, Software Center, and device-specific update utilities (Dell Command Update Tool or equivalent), with compliance validated on the SDT Info Tool or Government-designated equivalent before re-issue. Zero-touch deployment is our objective at refresh; per PWS Subsection 1.2.1, item l, no laptop or desktop is issued without verified patch and BIOS compliance.</w:t>
      </w:r>
    </w:p>
    <w:p>
      <w:pPr>
        <w:spacing w:after="80" w:before="80" w:line="276"/>
      </w:pPr>
      <w:r>
        <w:rPr>
          <w:b/>
          <w:bCs/>
        </w:rPr>
        <w:t xml:space="preserve">Telework, AV, loaner, and end-of-life. </w:t>
      </w:r>
      <w:r>
        <w:t xml:space="preserve">Remote and on-site service for telework hardware; AV support for non-Atlanta locations; Laptop Loaner Program operated to OCIO procedure; pickup and processing of end-of-life equipment per OCIO standard. Inventory traceability through ServiceNow at every step.</w:t>
      </w:r>
    </w:p>
    <w:p>
      <w:pPr>
        <w:pStyle w:val="Heading3"/>
        <w:spacing w:after="80" w:before="160"/>
      </w:pPr>
      <w:r>
        <w:t xml:space="preserve">1.3.3 Task 1.3 — Emergency Preparedness and Field Site Services (EPS/FSS)</w:t>
      </w:r>
    </w:p>
    <w:p>
      <w:pPr>
        <w:spacing w:after="80" w:before="80" w:line="276"/>
      </w:pPr>
      <w:r>
        <w:rPr>
          <w:b/>
          <w:bCs/>
        </w:rPr>
        <w:t xml:space="preserve">Mission posture. </w:t>
      </w:r>
      <w:r>
        <w:t xml:space="preserve">EPS and FSS exist for the CDC scenarios that the rest of OCIO is not designed to absorb at peak: outbreak response, Emergency Operations Center activation, and field deployments to Port Health Stations and other partner sites. We provide 24×7 on-call coverage, EOC shift coverage during activations, exercise support, and Field Site Service technicians who can travel and remain on site for the duration of an event.</w:t>
      </w:r>
    </w:p>
    <w:p>
      <w:pPr>
        <w:spacing w:after="80" w:before="80" w:line="276"/>
      </w:pPr>
      <w:r>
        <w:rPr>
          <w:b/>
          <w:bCs/>
        </w:rPr>
        <w:t xml:space="preserve">Property accountability. </w:t>
      </w:r>
      <w:r>
        <w:t xml:space="preserve">Field staff perform Property Custodial Officer duties at FSS locations, with annual wall-to-wall inventory and continuous ad-hoc reporting per the deliverables schedule in PWS Section 8.</w:t>
      </w:r>
    </w:p>
    <w:p>
      <w:pPr>
        <w:spacing w:after="80" w:before="80" w:line="276"/>
      </w:pPr>
      <w:r>
        <w:rPr>
          <w:b/>
          <w:bCs/>
        </w:rPr>
        <w:t xml:space="preserve">Incident discipline under ORR/DEO SLA. </w:t>
      </w:r>
      <w:r>
        <w:t xml:space="preserve">EPS/FSS tickets — approximately 400 per month historically — are tracked in ServiceNow against ORR and DEO service-level expectations, which differ from the OCIO SLA. We maintain on-call rotation schedules delivered to the COR within 10 days of award and updated quarterly, per PWS Section 8.</w:t>
      </w:r>
    </w:p>
    <w:p>
      <w:pPr>
        <w:pStyle w:val="Heading3"/>
        <w:spacing w:after="80" w:before="160"/>
      </w:pPr>
      <w:r>
        <w:t xml:space="preserve">1.3.4 Task 2.1 — Global Activities Services (GA)</w:t>
      </w:r>
    </w:p>
    <w:p>
      <w:pPr>
        <w:spacing w:after="80" w:before="80" w:line="276"/>
      </w:pPr>
      <w:r>
        <w:rPr>
          <w:b/>
          <w:bCs/>
        </w:rPr>
        <w:t xml:space="preserve">Scope. </w:t>
      </w:r>
      <w:r>
        <w:t xml:space="preserve">Level 2 and Level 3 IT support to Global Health Center customers in approximately 60 international locations, supporting roughly 1,800 staff and approximately 60 LANs that include workstations, network infrastructure, file servers, satellite communications, and video conferencing. Connectivity is integrated to Atlanta through SD-WAN and site-to-site VPN to Microsoft Azure, Office 365, and CDC core services.</w:t>
      </w:r>
    </w:p>
    <w:p>
      <w:pPr>
        <w:spacing w:after="80" w:before="80" w:line="276"/>
      </w:pPr>
      <w:r>
        <w:rPr>
          <w:b/>
          <w:bCs/>
        </w:rPr>
        <w:t xml:space="preserve">Engineer credentialing. </w:t>
      </w:r>
      <w:r>
        <w:t xml:space="preserve">Per Section L Staffing Plan minimum qualifications, GA engineering and technical support personnel hold active Cisco Certified Network Associate certifications and a combination of three to five years of experience installing, configuring, and troubleshooting network switches, routers, and firewalls. International travel readiness — passports, visas, low- and high-threat country travel preparation — is a precondition to assignment, not a downstream administrative task.</w:t>
      </w:r>
    </w:p>
    <w:p>
      <w:pPr>
        <w:spacing w:after="80" w:before="80" w:line="276"/>
      </w:pPr>
      <w:r>
        <w:rPr>
          <w:b/>
          <w:bCs/>
        </w:rPr>
        <w:t xml:space="preserve">Deployment readiness. </w:t>
      </w:r>
      <w:r>
        <w:t xml:space="preserve">Twenty-four-to-forty-eight-hour deployment windows in declared emergencies are met through pre-cleared travel readiness, pre-negotiated travel insurance and medical evacuation coverage per Section 12, and runbooks for the most likely emergency deployment patterns (network restoration, infrastructure rebuild, satellite reconnection).</w:t>
      </w:r>
    </w:p>
    <w:p>
      <w:pPr>
        <w:spacing w:after="80" w:before="80" w:line="276"/>
      </w:pPr>
      <w:r>
        <w:rPr>
          <w:b/>
          <w:bCs/>
        </w:rPr>
        <w:t xml:space="preserve">OCONUS-specific safety and security. </w:t>
      </w:r>
      <w:r>
        <w:t xml:space="preserve">We comply with the safety, security, medical clearance, insurance (including Traveler Health Insurance and Medical Evacuation), Smart Traveler Enrollment Program registration, and Foreign Affairs Counter Threat training requirements specified in Section 12. An executive-level safety and security point of contact is identified at award.</w:t>
      </w:r>
    </w:p>
    <w:p>
      <w:pPr>
        <w:pStyle w:val="Heading3"/>
        <w:spacing w:after="80" w:before="160"/>
      </w:pPr>
      <w:r>
        <w:t xml:space="preserve">1.3.5 Task 3.1 — Program Management Services (PMS)</w:t>
      </w:r>
    </w:p>
    <w:p>
      <w:pPr>
        <w:spacing w:after="80" w:before="80" w:line="276"/>
      </w:pPr>
      <w:r>
        <w:rPr>
          <w:b/>
          <w:bCs/>
        </w:rPr>
        <w:t xml:space="preserve">PMO and governance. </w:t>
      </w:r>
      <w:r>
        <w:t xml:space="preserve">A dedicated Program Manager is named as primary technical and managerial interface to the Contracting Officer and COR, with at least one alternate. The PMO owns Quality Assurance Surveillance Plan alignment, KPI tracking, the Weekly Status Report due Wednesday by 5:00 PM ET, the Monthly In-Progress Review, the Monthly Financial Report, and the Monthly Progress Report due on the 15th. The post-award kickoff is convened within five business days of award.</w:t>
      </w:r>
    </w:p>
    <w:p>
      <w:pPr>
        <w:spacing w:after="80" w:before="80" w:line="276"/>
      </w:pPr>
      <w:r>
        <w:rPr>
          <w:b/>
          <w:bCs/>
        </w:rPr>
        <w:t xml:space="preserve">Transition services within Task 3.1. </w:t>
      </w:r>
      <w:r>
        <w:t xml:space="preserve">Subtask 3.1.2 obligates us to plan, implement, and complete Transition-In and Transition-Out activities. Our Transition-In Plan and Transition-Out Plan are summarized in Section 3 (Management Approach) of this volume. The Transition Plan uses the same labor categories and positions as the Staffing Plan, in compliance with the Section L instruction at item 1(b) of Subtask 3.1.2.</w:t>
      </w:r>
    </w:p>
    <w:p>
      <w:pPr>
        <w:pStyle w:val="Heading3"/>
        <w:spacing w:after="80" w:before="160"/>
      </w:pPr>
      <w:r>
        <w:t xml:space="preserve">1.3.6 Task 4 — Specialized Support Services (Optional)</w:t>
      </w:r>
    </w:p>
    <w:p>
      <w:pPr>
        <w:spacing w:after="80" w:before="80" w:line="276"/>
      </w:pPr>
      <w:r>
        <w:rPr>
          <w:b/>
          <w:bCs/>
        </w:rPr>
        <w:t xml:space="preserve">Task 4.1 — Special IT Projects (Optional). </w:t>
      </w:r>
      <w:r>
        <w:t xml:space="preserve">Activated by contract modification when triggered by a public health emergency, an unanticipated federal mandate, technology refresh, or building moves. We mobilize qualified surge personnel within 30 days of trigger, drawing from a designated bench plus the team's broader staffing partnerships. Surge personnel are pre-screened for clearance posture and credential currency where applicable.</w:t>
      </w:r>
    </w:p>
    <w:p>
      <w:pPr>
        <w:spacing w:after="80" w:before="80" w:line="276"/>
      </w:pPr>
      <w:r>
        <w:rPr>
          <w:b/>
          <w:bCs/>
        </w:rPr>
        <w:t xml:space="preserve">Task 4.2 — Project Management and Technical Writer Services (Optional). </w:t>
      </w:r>
      <w:r>
        <w:t xml:space="preserve">Project managers hold an industry-recognized project management certification, four-plus years of federal client experience, and demonstrated Agile delivery experience in two-to-four-week sprint cycles, per the Section L Minimum Qualifications. Technical writers produce 508-compliant documentation aligned to MS365, EPLC, and OCIO PM standards.</w:t>
      </w:r>
    </w:p>
    <w:p>
      <w:pPr>
        <w:pStyle w:val="Heading3"/>
        <w:spacing w:after="80" w:before="160"/>
      </w:pPr>
      <w:r>
        <w:t xml:space="preserve">1.3.7 Task 5 — DSO Operations Support Services</w:t>
      </w:r>
    </w:p>
    <w:p>
      <w:pPr>
        <w:spacing w:after="80" w:before="80" w:line="276"/>
      </w:pPr>
      <w:r>
        <w:rPr>
          <w:b/>
          <w:bCs/>
        </w:rPr>
        <w:t xml:space="preserve">Task 5.1 — IT Project Management Services (Required). </w:t>
      </w:r>
      <w:r>
        <w:t xml:space="preserve">Enterprise project management on Microsoft Project and Visio with EPLC stage-gate compliance, supporting DSO Project Management Team work in cloud, network access control, and M365. Subtask 5.1.2 technical writing produces 508-compliant artifacts for cloud, NAC, and M365 efforts.</w:t>
      </w:r>
    </w:p>
    <w:p>
      <w:pPr>
        <w:spacing w:after="80" w:before="80" w:line="276"/>
      </w:pPr>
      <w:r>
        <w:rPr>
          <w:b/>
          <w:bCs/>
        </w:rPr>
        <w:t xml:space="preserve">Task 5.2 (Optional) — Data Analysis and Reporting. </w:t>
      </w:r>
      <w:r>
        <w:t xml:space="preserve">FAIR-aligned analytics in SQL, Power BI, and network management tools producing performance metrics and quarterly and annual IT reporting. Stood up if and when CDC exercises this option.</w:t>
      </w:r>
    </w:p>
    <w:p>
      <w:pPr>
        <w:spacing w:after="80" w:before="80" w:line="276"/>
      </w:pPr>
      <w:r>
        <w:rPr>
          <w:b/>
          <w:bCs/>
        </w:rPr>
        <w:t xml:space="preserve">Task 5.3 (Optional) — IT Communications Services (DSO). </w:t>
      </w:r>
      <w:r>
        <w:t xml:space="preserve">Communications and marketing through CDC Connects and the OCIO web to Section 508 standards; web content in HTML, JavaScript, and XML; backup webmaster role; outage protocol execution. All deliverables 508-compliant.</w:t>
      </w:r>
    </w:p>
    <w:p>
      <w:pPr>
        <w:pStyle w:val="Heading3"/>
        <w:spacing w:after="80" w:before="160"/>
      </w:pPr>
      <w:r>
        <w:t xml:space="preserve">1.3.8 Task 6.1 — Application Web Development Services</w:t>
      </w:r>
    </w:p>
    <w:p>
      <w:pPr>
        <w:spacing w:after="80" w:before="80" w:line="276"/>
      </w:pPr>
      <w:r>
        <w:rPr>
          <w:b/>
          <w:bCs/>
        </w:rPr>
        <w:t xml:space="preserve">Approach. </w:t>
      </w:r>
      <w:r>
        <w:t xml:space="preserve">Web and database application development for OCIO Tools on the ServiceNow App Engine and the .NET stack. Low-code architecture with reusable components is the design default; code-heavy patterns are reserved for cases where reuse and platform integration cannot meet the requirement. Configuration management runs in ServiceNow with ITIL-aligned change and release management.</w:t>
      </w:r>
    </w:p>
    <w:p>
      <w:pPr>
        <w:pStyle w:val="Heading3"/>
        <w:spacing w:after="80" w:before="160"/>
      </w:pPr>
      <w:r>
        <w:t xml:space="preserve">1.3.9 Task 8 — Identity and Access Management Support Services</w:t>
      </w:r>
    </w:p>
    <w:p>
      <w:pPr>
        <w:spacing w:after="80" w:before="80" w:line="276"/>
      </w:pPr>
      <w:r>
        <w:rPr>
          <w:b/>
          <w:bCs/>
        </w:rPr>
        <w:t xml:space="preserve">Task 8.1 — Endpoint Management. </w:t>
      </w:r>
      <w:r>
        <w:t xml:space="preserve">Patch and configuration management across MECM, Intune, WSUS, BigFix, and Microsoft Defender; secure baselines aligned to CDC-approved configuration; drift detection with automated remediation where deterministic rules apply. Coordination with CSPO on patch testing windows.</w:t>
      </w:r>
    </w:p>
    <w:p>
      <w:pPr>
        <w:spacing w:after="80" w:before="80" w:line="276"/>
      </w:pPr>
      <w:r>
        <w:rPr>
          <w:b/>
          <w:bCs/>
        </w:rPr>
        <w:t xml:space="preserve">Task 8.2 — Remote Access Services. </w:t>
      </w:r>
      <w:r>
        <w:t xml:space="preserve">Zero Trust architecture support across Microsoft Azure, Zscaler, multi-factor authentication, and virtual desktop infrastructure. Policy-based access enables remote and telework productivity for the CDC workforce, including the CITGO Virtual Desktop environment that appears in the historical incident profile.</w:t>
      </w:r>
    </w:p>
    <w:p>
      <w:pPr>
        <w:spacing w:after="80" w:before="80" w:line="276"/>
      </w:pPr>
      <w:r>
        <w:rPr>
          <w:b/>
          <w:bCs/>
        </w:rPr>
        <w:t xml:space="preserve">Task 8.3 — Directory Services. </w:t>
      </w:r>
      <w:r>
        <w:t xml:space="preserve">Identity lifecycle and brokering across Active Directory, Forefront Identity Manager, SQL, and PowerShell. Identity-automation patterns reduce manual provisioning load — the second-largest task category in the historical demand profile — without compromising audit posture.</w:t>
      </w:r>
    </w:p>
    <w:p>
      <w:pPr>
        <w:pStyle w:val="Heading3"/>
        <w:spacing w:after="80" w:before="160"/>
      </w:pPr>
      <w:r>
        <w:t xml:space="preserve">1.3.10 Task 9 — Infrastructure Support Services</w:t>
      </w:r>
    </w:p>
    <w:p>
      <w:pPr>
        <w:spacing w:after="80" w:before="80" w:line="276"/>
      </w:pPr>
      <w:r>
        <w:rPr>
          <w:b/>
          <w:bCs/>
        </w:rPr>
        <w:t xml:space="preserve">Task 9.1 — Networking (Required). </w:t>
      </w:r>
      <w:r>
        <w:t xml:space="preserve">Layer 2 and Layer 3 network support across domestic locations, integrated with ServiceNow ITSM tooling and CDC monitoring. Predictive network monitoring identifies degradation before it becomes a Priority 1 outage; hybrid and cloud network design support OCIO modernization efforts. Non-global travel up to $15K in the base period covers field network engagements.</w:t>
      </w:r>
    </w:p>
    <w:p>
      <w:pPr>
        <w:spacing w:after="80" w:before="80" w:line="276"/>
      </w:pPr>
      <w:r>
        <w:rPr>
          <w:b/>
          <w:bCs/>
        </w:rPr>
        <w:t xml:space="preserve">Tasks 9.2–9.7 (Optional). </w:t>
      </w:r>
      <w:r>
        <w:t xml:space="preserve">Data center technician services, virtual engineer services on VMware vSphere/ESX and other hypervisors, 24×7 NOC operations services, data backup engineer services with FIPS-compliant media handling, software installation services for VM provisioning aligned to NIST 800-53 baselines, and application hosting and customer interface services running on ServiceNow Configuration Management and ITIL change and configuration management. We are positioned to stand up each optional task if and when CDC exercises the option, with no rip-and-replace of existing CDC tooling.</w:t>
      </w:r>
    </w:p>
    <w:p>
      <w:pPr>
        <w:pStyle w:val="Heading3"/>
        <w:spacing w:after="80" w:before="160"/>
      </w:pPr>
      <w:r>
        <w:t xml:space="preserve">1.3.11 Task 10 — Workplace Productivity Support Services</w:t>
      </w:r>
    </w:p>
    <w:p>
      <w:pPr>
        <w:spacing w:after="80" w:before="80" w:line="276"/>
      </w:pPr>
      <w:r>
        <w:rPr>
          <w:b/>
          <w:bCs/>
        </w:rPr>
        <w:t xml:space="preserve">Task 10.1 — General Requirements (cross-cutting). </w:t>
      </w:r>
      <w:r>
        <w:t xml:space="preserve">Patch and antivirus management across the M365 platform with CSPO and Event Notification List coordination; APIs and Group Policy Objects; Security Assessment and Authorization documentation; 24×7 break-fix; vendor case management.</w:t>
      </w:r>
    </w:p>
    <w:p>
      <w:pPr>
        <w:spacing w:after="80" w:before="80" w:line="276"/>
      </w:pPr>
      <w:r>
        <w:rPr>
          <w:b/>
          <w:bCs/>
        </w:rPr>
        <w:t xml:space="preserve">Task 10.2 — Communications Email/Messaging Services. </w:t>
      </w:r>
      <w:r>
        <w:t xml:space="preserve">Enterprise email and messaging administration across Outlook, Microsoft Stream, and Intune. High-availability design across cloud and on-prem; coordination with M365 platform engineering.</w:t>
      </w:r>
    </w:p>
    <w:p>
      <w:pPr>
        <w:spacing w:after="80" w:before="80" w:line="276"/>
      </w:pPr>
      <w:r>
        <w:rPr>
          <w:b/>
          <w:bCs/>
        </w:rPr>
        <w:t xml:space="preserve">Task 10.3 — Enterprise Collaboration Services. </w:t>
      </w:r>
      <w:r>
        <w:t xml:space="preserve">Site collection administration across Teams, SharePoint, OneDrive, and Azure for both M365 cloud and on-prem operations. Governance follows CDC standard practice; we do not propose to replace existing collaboration patterns absent CDC direction.</w:t>
      </w:r>
    </w:p>
    <w:p>
      <w:pPr>
        <w:spacing w:after="80" w:before="80" w:line="276"/>
      </w:pPr>
      <w:r>
        <w:rPr>
          <w:b/>
          <w:bCs/>
        </w:rPr>
        <w:t xml:space="preserve">Task 10.4 — Process Automation and Visualization. </w:t>
      </w:r>
      <w:r>
        <w:t xml:space="preserve">Low-code development and administration across Dynamics 365, Power Platform, and Azure DevOps. Workflow automation and Power BI visualization. Data modeling that supports Task 10.5 reporting.</w:t>
      </w:r>
    </w:p>
    <w:p>
      <w:pPr>
        <w:spacing w:after="80" w:before="80" w:line="276"/>
      </w:pPr>
      <w:r>
        <w:rPr>
          <w:b/>
          <w:bCs/>
        </w:rPr>
        <w:t xml:space="preserve">Task 10.5 — Reporting Services. </w:t>
      </w:r>
      <w:r>
        <w:t xml:space="preserve">Reporting infrastructure and dashboards on ServiceNow with event data integration, real-time alerting, and connection to performance systems. The reporting platform is the channel through which our SLA performance, deflection performance, and continuous-improvement results are made visible to the COR and OCIO leadership.</w:t>
      </w:r>
    </w:p>
    <w:p>
      <w:pPr>
        <w:pStyle w:val="Heading3"/>
        <w:spacing w:after="80" w:before="160"/>
      </w:pPr>
      <w:r>
        <w:t xml:space="preserve">1.3.12 Task 11.1 — OCIO Communications Services</w:t>
      </w:r>
    </w:p>
    <w:p>
      <w:pPr>
        <w:spacing w:after="80" w:before="80" w:line="276"/>
      </w:pPr>
      <w:r>
        <w:t xml:space="preserve">OCIO communications and marketing across CDC Connects and the OCIO web — 508-compliant content, stakeholder messaging, web content production, and multimedia. The Weekly Status Report and the call-volume, productivity, and trend-analysis report (due monthly on the 15th) are produced in this task.</w:t>
      </w:r>
    </w:p>
    <w:p>
      <w:pPr>
        <w:pStyle w:val="Heading2"/>
        <w:spacing w:after="100" w:before="200"/>
      </w:pPr>
      <w:r>
        <w:t xml:space="preserve">1.4 Cross-Cutting Service Disciplines</w:t>
      </w:r>
    </w:p>
    <w:p>
      <w:pPr>
        <w:spacing w:after="80" w:before="80" w:line="276"/>
      </w:pPr>
      <w:r>
        <w:t xml:space="preserve">Six cross-cutting disciplines run across every task. They are summarized here so we do not repeat them in each task narrative.</w:t>
      </w:r>
    </w:p>
    <w:p>
      <w:pPr>
        <w:spacing w:after="80" w:before="80" w:line="276"/>
      </w:pPr>
      <w:r>
        <w:rPr>
          <w:b/>
          <w:bCs/>
        </w:rPr>
        <w:t xml:space="preserve">Customer service standard (PWS Subsection 3.2.1). </w:t>
      </w:r>
      <w:r>
        <w:t xml:space="preserve">All contractor personnel handle customer interactions with tact and diplomacy, demonstrate active listening, and accurately record information. The 96%-or-greater Customer Service Survey score is a managed metric, not a hopeful outcome.</w:t>
      </w:r>
    </w:p>
    <w:p>
      <w:pPr>
        <w:spacing w:after="80" w:before="80" w:line="276"/>
      </w:pPr>
      <w:r>
        <w:rPr>
          <w:b/>
          <w:bCs/>
        </w:rPr>
        <w:t xml:space="preserve">Quality control discipline (PWS Subsection 3.2.2 and Section 9). </w:t>
      </w:r>
      <w:r>
        <w:t xml:space="preserve">Quality is consistency, accuracy, and customer satisfaction. We staff to a defined quality control function inside Program Management, run weekly review of contact channels in Task 1.1, and document corrective actions in the QCP we submit and maintain throughout the contract.</w:t>
      </w:r>
    </w:p>
    <w:p>
      <w:pPr>
        <w:spacing w:after="80" w:before="80" w:line="276"/>
      </w:pPr>
      <w:r>
        <w:rPr>
          <w:b/>
          <w:bCs/>
        </w:rPr>
        <w:t xml:space="preserve">Knowledge management as a measured discipline (PWS Subsection 3.2.3). </w:t>
      </w:r>
      <w:r>
        <w:t xml:space="preserve">Knowledge articles in ServiceNow are owned, dated, indexed, and reviewed on a quarterly cadence. Findability is measured. The objective is deflection — moving deterministic resolution from Tier 1 capacity to customer self-service — and that requires the knowledge base to be useful, not merely present.</w:t>
      </w:r>
    </w:p>
    <w:p>
      <w:pPr>
        <w:spacing w:after="80" w:before="80" w:line="276"/>
      </w:pPr>
      <w:r>
        <w:rPr>
          <w:b/>
          <w:bCs/>
        </w:rPr>
        <w:t xml:space="preserve">Reporting discipline (PWS Subsection 3.2.4 and Section 8). </w:t>
      </w:r>
      <w:r>
        <w:t xml:space="preserve">Every recurring report in Table 12 is owned, calendared, and version-controlled. Reports are submitted on time and without gross errors, in compliance with the QASP performance requirement.</w:t>
      </w:r>
    </w:p>
    <w:p>
      <w:pPr>
        <w:spacing w:after="80" w:before="80" w:line="276"/>
      </w:pPr>
      <w:r>
        <w:rPr>
          <w:b/>
          <w:bCs/>
        </w:rPr>
        <w:t xml:space="preserve">Innovation in operations and customer experience (PWS Subsection 3.2.5). </w:t>
      </w:r>
      <w:r>
        <w:t xml:space="preserve">CDC's PWS calls for innovative technology to improve operations and customer experience, naming robotic process automation and ServiceNow automation as examples. Our innovation roadmap is built on those rails. RPA addresses repetitive workflow steps with deterministic logic — onboarding sub-tasks, ticket routing, status communications. ServiceNow workflow expansion compounds the deflection program. Capabilities CDC explicitly provides and approves are absorbed into the operating model on CDC's authority through our continuous-improvement cadence; we do not introduce or use unapproved AI products in performance, in compliance with the Section L proposal preparation instruction.</w:t>
      </w:r>
    </w:p>
    <w:p>
      <w:pPr>
        <w:spacing w:after="80" w:before="80" w:line="276"/>
      </w:pPr>
      <w:r>
        <w:rPr>
          <w:b/>
          <w:bCs/>
        </w:rPr>
        <w:t xml:space="preserve">Continuous improvement and total cost of ownership (PWS Subsection 3.2.6). </w:t>
      </w:r>
      <w:r>
        <w:t xml:space="preserve">We monitor and analyze performance and customer experience, build the structure for incremental improvement, and execute improvements that reduce total cost of ownership consistently over time. The change management discipline is documented in the QCP. Year-over-year TCO reduction is a contract objective; we report against it monthly.</w:t>
      </w:r>
    </w:p>
    <w:p>
      <w:pPr>
        <w:pStyle w:val="Heading2"/>
        <w:spacing w:after="100" w:before="200"/>
      </w:pPr>
      <w:r>
        <w:t xml:space="preserve">1.5 Section 508 Accessibility</w:t>
      </w:r>
    </w:p>
    <w:p>
      <w:pPr>
        <w:spacing w:after="80" w:before="80" w:line="276"/>
      </w:pPr>
      <w:r>
        <w:t xml:space="preserve">Section 508 accessibility is treated as a delivery requirement, not an afterthought. The DHHS Section 508 Product Assessment Template accompanies this volume per Section L; it does not count against the page limit. All web content under Tasks 5.3 and 11.1, all reporting outputs, and all customer-facing artifacts are produced to WCAG 2.0 Level A and AA standards. Remediation cost for any non-conformant deliverable is the contractor's responsibility post-award, as required.</w:t>
      </w:r>
    </w:p>
    <w:p>
      <w:pPr>
        <w:pStyle w:val="Heading2"/>
        <w:spacing w:after="100" w:before="200"/>
      </w:pPr>
      <w:r>
        <w:t xml:space="preserve">1.6 Cybersecurity and Compliance Posture</w:t>
      </w:r>
    </w:p>
    <w:p>
      <w:pPr>
        <w:spacing w:after="80" w:before="80" w:line="276"/>
      </w:pPr>
      <w:r>
        <w:t xml:space="preserve">Our delivery posture meets the requirements of PWS Section 12 — FISMA compliance, NIST SP 800-60 Volume II data categorization, NIST SP 800-160 Volumes 1 and 2 systems security engineering principles, CSPO coordination on patching and configuration baselines, immediate Cybersecurity Incident Response Team (CSIRT) reporting of known, reported, or suspected security incidents, DoD 8570.01-m and 8140 personnel certification posture, and Security Assessment and Authorization package alignment to the CDC SA&amp;A SOP. Personnel hold Public Trust Level 5 clearances where required (including the three ServiceNow Analysts and the VCC Systems Administrator under Task 1.1). Foreign equipment and product prohibitions under Section 889, FAR 52.204-23 (Kaspersky), FAR 52.204-25, -26, and -27 (covered telecommunications and ByteDance) are reflected in our supply chain and procurement controls. NDAs are signed by every contractor employee per HHS instruction.</w:t>
      </w:r>
    </w:p>
    <w:p>
      <w:pPr>
        <w:pStyle w:val="Heading1"/>
        <w:spacing w:after="120" w:before="240"/>
      </w:pPr>
      <w:r>
        <w:t xml:space="preserve">2. Staffing Plan</w:t>
      </w:r>
    </w:p>
    <w:p>
      <w:pPr>
        <w:spacing w:after="80" w:before="80" w:line="276"/>
      </w:pPr>
      <w:r>
        <w:rPr>
          <w:b/>
          <w:bCs/>
        </w:rPr>
        <w:t xml:space="preserve">Our staffing principle: stable people, stable service. </w:t>
      </w:r>
      <w:r>
        <w:t xml:space="preserve">CITS is a service-delivery contract before it is a transformation contract. The single biggest predictor of service stability through transition and across the period of performance is whether the people doing the work — at the service desk, at deskside, on the field site teams, in OCONUS network engineering, in the OCIO PMO — are credentialed, supported, and retained. Our staffing plan is built around that principle. We propose labor categories sized to the historical level of effort published in Section L; we keep credentialing and clearance posture aligned to the Minimum Qualifications; we name a Key Personnel cadre that is accountable to CDC; and we hold a retention strategy that begins on day one of transition and runs across all four option periods.</w:t>
      </w:r>
    </w:p>
    <w:p>
      <w:pPr>
        <w:pStyle w:val="Heading2"/>
        <w:spacing w:after="100" w:before="200"/>
      </w:pPr>
      <w:r>
        <w:t xml:space="preserve">2.1 Staffing Strategy</w:t>
      </w:r>
    </w:p>
    <w:p>
      <w:pPr>
        <w:spacing w:after="80" w:before="80" w:line="276"/>
      </w:pPr>
      <w:r>
        <w:rPr>
          <w:b/>
          <w:bCs/>
        </w:rPr>
        <w:t xml:space="preserve">Right-sized labor categories. </w:t>
      </w:r>
      <w:r>
        <w:t xml:space="preserve">Section L's Estimated Level of Effort table publishes historical hours by labor category — for example, 20 Junior Computer User Support Specialists at Task 1.1 ITSDS, 40 Journeyman Computer User Support Specialists at Task 1.2 DSS, and seven Senior Computer Systems Analysts at Task 8.1 Endpoint Management. We have proposed our LCAT mix to align with that historical envelope across the Transition, Base, and four Option periods. Where our experience suggests the work can be performed more cost-effectively at a different LCAT mix without compromising service quality, we have noted that delta in the staffing matrix and explained the basis.</w:t>
      </w:r>
    </w:p>
    <w:p>
      <w:pPr>
        <w:spacing w:after="80" w:before="80" w:line="276"/>
      </w:pPr>
      <w:r>
        <w:rPr>
          <w:b/>
          <w:bCs/>
        </w:rPr>
        <w:t xml:space="preserve">Geographic posture. </w:t>
      </w:r>
      <w:r>
        <w:t xml:space="preserve">CITS service delivery requires on-site presence at multiple Atlanta campuses and the published non-Atlanta CSC locations, plus FSS deployable capacity, plus OCONUS-ready GA engineering. The remainder — Tier 1 service desk, program management, application web development, reporting, and several specialized functions — supports a delivery-center-based model where eligible work is consolidated into U.S. delivery centers for cost discipline and service consistency. Our staffing matrix identifies the on-site, on-campus, and remote/delivery-center designation for each role.</w:t>
      </w:r>
    </w:p>
    <w:p>
      <w:pPr>
        <w:spacing w:after="80" w:before="80" w:line="276"/>
      </w:pPr>
      <w:r>
        <w:rPr>
          <w:b/>
          <w:bCs/>
        </w:rPr>
        <w:t xml:space="preserve">Subcontractor team. </w:t>
      </w:r>
      <w:r>
        <w:t xml:space="preserve">We propose a teamed delivery model. </w:t>
      </w:r>
      <w:r>
        <w:rPr>
          <w:i/>
          <w:iCs/>
          <w:color w:val="B5651D"/>
        </w:rPr>
        <w:t xml:space="preserve">[PLACEHOLDER: Insert subcontractor identities and roles. Capture lead to confirm whether subs are named explicitly in Volume I or referenced generically in Volume I and named in Volume II Business; current orientation indicates teaming is in progress with task-by-task workshare alignment underway. If subs are named, briefly describe each sub's role, the labor categories they staff, the percentage of total labor hours they contribute, and the accountability chain from sub to prime to CO/COR.]</w:t>
      </w:r>
      <w:r>
        <w:t xml:space="preserve"> Our prime, </w:t>
      </w:r>
      <w:r>
        <w:rPr>
          <w:i/>
          <w:iCs/>
          <w:color w:val="B5651D"/>
        </w:rPr>
        <w:t xml:space="preserve">[PLACEHOLDER: Deloitte legal entity]</w:t>
      </w:r>
      <w:r>
        <w:t xml:space="preserve">, retains program management, key personnel accountability, and subcontract management responsibility throughout the period of performance.</w:t>
      </w:r>
    </w:p>
    <w:p>
      <w:pPr>
        <w:pStyle w:val="Heading2"/>
        <w:spacing w:after="100" w:before="200"/>
      </w:pPr>
      <w:r>
        <w:t xml:space="preserve">2.2 Staffing Matrix</w:t>
      </w:r>
    </w:p>
    <w:p>
      <w:pPr>
        <w:spacing w:after="80" w:before="80" w:line="276"/>
      </w:pPr>
      <w:r>
        <w:t xml:space="preserve">The staffing matrix in Appendix A of this volume identifies, for each proposed labor category and role: (1) the task and subtask supported, (2) the number of full-time equivalents and total proposed labor hours by period of performance, (3) skill set, (4) certifications and licenses required and held, (5) security clearance posture, (6) professional experience requirement, (7) education, and (8) percent of time on the program. The matrix correlates directly to the hour build in Volume II and to the Section L Estimated Level of Effort table.</w:t>
      </w:r>
    </w:p>
    <w:p>
      <w:pPr>
        <w:spacing w:after="80" w:before="80" w:line="276"/>
      </w:pPr>
      <w:r>
        <w:rPr>
          <w:i/>
          <w:iCs/>
          <w:color w:val="B5651D"/>
        </w:rPr>
        <w:t xml:space="preserve">[PLACEHOLDER: Appendix A — Staffing Matrix. Pricing/staffing team to populate from the Volume II hour build. Format requirements from Section L Staffing Plan: number and types of personnel, assigned roles and responsibilities, skill sets, certifications, security clearances, professional experience, education, and overall qualifications. Confirm whether the matrix is excluded from the 35-page Volume I limit or counts toward it — submit as a clarification question by May 12 if not already resolved.]</w:t>
      </w:r>
    </w:p>
    <w:p>
      <w:pPr>
        <w:spacing w:after="80" w:before="80" w:line="276"/>
      </w:pPr>
      <w:r>
        <w:rPr>
          <w:b/>
          <w:bCs/>
        </w:rPr>
        <w:t xml:space="preserve">Labor categories aligned to Section L. </w:t>
      </w:r>
      <w:r>
        <w:t xml:space="preserve">Where Section L specifies a Minimum Qualification for a labor family — Project Management, IT Service Desk Services (ITSDS), Global Customer Support Services, IT Asset Management Services — every proposed individual in that family meets or exceeds the stated standard. Specifically:</w:t>
      </w:r>
    </w:p>
    <w:p>
      <w:pPr>
        <w:pStyle w:val="ListParagraph"/>
        <w:numPr>
          <w:ilvl w:val="0"/>
          <w:numId w:val="2"/>
        </w:numPr>
        <w:spacing w:after="40" w:before="40" w:line="276"/>
      </w:pPr>
      <w:r>
        <w:rPr>
          <w:b/>
          <w:bCs/>
        </w:rPr>
        <w:t xml:space="preserve">Project Managers</w:t>
      </w:r>
      <w:r>
        <w:t xml:space="preserve"> hold an industry-recognized project management certification (PMP or equivalent), have four-plus years of federal client experience, and bring demonstrated Agile delivery experience in two-to-four-week sprints — including standups, sprint reviews, and backlog management.</w:t>
      </w:r>
    </w:p>
    <w:p>
      <w:pPr>
        <w:pStyle w:val="ListParagraph"/>
        <w:numPr>
          <w:ilvl w:val="0"/>
          <w:numId w:val="2"/>
        </w:numPr>
        <w:spacing w:after="40" w:before="40" w:line="276"/>
      </w:pPr>
      <w:r>
        <w:rPr>
          <w:b/>
          <w:bCs/>
        </w:rPr>
        <w:t xml:space="preserve">IT Service Desk Services personnel</w:t>
      </w:r>
      <w:r>
        <w:t xml:space="preserve"> hold ITIL certification where preferred by CDC; the team holds ITIL coverage at the leadership level.</w:t>
      </w:r>
    </w:p>
    <w:p>
      <w:pPr>
        <w:pStyle w:val="ListParagraph"/>
        <w:numPr>
          <w:ilvl w:val="0"/>
          <w:numId w:val="2"/>
        </w:numPr>
        <w:spacing w:after="40" w:before="40" w:line="276"/>
      </w:pPr>
      <w:r>
        <w:rPr>
          <w:b/>
          <w:bCs/>
        </w:rPr>
        <w:t xml:space="preserve">Global Customer Support Services engineering personnel</w:t>
      </w:r>
      <w:r>
        <w:t xml:space="preserve"> hold active Cisco Certified Network Associate certifications, have a combination of three to five years of network switch, router, and firewall experience, and have prior international travel readiness (passports, visas, low- and high-threat country preparation).</w:t>
      </w:r>
    </w:p>
    <w:p>
      <w:pPr>
        <w:pStyle w:val="ListParagraph"/>
        <w:numPr>
          <w:ilvl w:val="0"/>
          <w:numId w:val="2"/>
        </w:numPr>
        <w:spacing w:after="40" w:before="40" w:line="276"/>
      </w:pPr>
      <w:r>
        <w:rPr>
          <w:b/>
          <w:bCs/>
        </w:rPr>
        <w:t xml:space="preserve">IT Asset Management Services</w:t>
      </w:r>
      <w:r>
        <w:t xml:space="preserve"> includes certified forklift coverage for Depot operations as required.</w:t>
      </w:r>
    </w:p>
    <w:p>
      <w:pPr>
        <w:pStyle w:val="Heading2"/>
        <w:spacing w:after="100" w:before="200"/>
      </w:pPr>
      <w:r>
        <w:t xml:space="preserve">2.3 Key Personnel</w:t>
      </w:r>
    </w:p>
    <w:p>
      <w:pPr>
        <w:spacing w:after="80" w:before="80" w:line="276"/>
      </w:pPr>
      <w:r>
        <w:t xml:space="preserve">Key Personnel are proposed in accordance with CDCH.04 Key Personnel (January 2026). The roles below are the named Key Personnel positions for which resumes are provided in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Key Personnel role</w:t>
            </w:r>
          </w:p>
        </w:tc>
        <w:tc>
          <w:tcPr>
            <w:tcW w:type="dxa" w:w="624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Accountability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 Manager (PM) — primary CO/COR interface (PWS Task 3.1)</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Single point of accountability for technical and managerial performance across all tasks. Convenes the post-award kickoff within 5 business days of award. Owns the QCP, the Monthly IPR, the Monthly Progress Report, and the Weekly Status Report. Holds an industry-recognized PM certification, 4+ years federal experience, Agile delivery experience.</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Alternate Program Manager</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Backup primary interface to CO/COR. Steps in for the PM during absence; participates in governance cadence. Same minimum qualifications as PM.</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Service Desk Lead (Task 1.1 ITSDS)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Owns the service desk operating model — Tier 1 performance against speed-to-answer (&lt;2 min monthly avg), error rate (&lt;3%), CSAT (≥96%), Personnel Availability (≥80% daily), and missed calls (&lt;3%). Owns the deflection program. ITIL certified.</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Deskside / DSS Lead (Task 1.2)</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Accountable for OCIO Incident SLA performance under PWS Table 5 across all CSC sites. Manages SDLs across Atlanta and non-Atlanta locations. Owns endpoint deployment quality gates.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Emergency Preparedness / Field Site Lead (Task 1.3)</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Accountable for EOC shift coverage, on-call rotation, FSS deployment readiness, and PCO duties at FSS sites. Owns the deliverables under ORR/DEO SLA.</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Global Activities Lead (Task 2.1)</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Accountable for OCONUS service delivery across ~60 international locations and ~1,800 staff. Holds CCNA. Owns deployment readiness for 24–48 hour mobilization windows. Executive-level safety and security POC for OCONUS travel.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Transition-In Project Manager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 PWS Subtask 3.1.2 item 2(a), identified as the overall Transition-In Project Manager and the CDC interface for transition activities. Single accountability for the transition risk register and milestone delivery.</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Cybersecurity / Compliance Lead</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Accountable for FISMA compliance, SA&amp;A package alignment to CDC SOP, CSPO coordination, CSIRT reporting, and personnel certification posture under DoD 8570.01-m / 8140.</w:t>
            </w:r>
          </w:p>
        </w:tc>
      </w:tr>
    </w:tbl>
    <w:p>
      <w:pPr>
        <w:spacing w:after="80" w:before="80" w:line="276"/>
      </w:pPr>
      <w:r>
        <w:rPr>
          <w:i/>
          <w:iCs/>
          <w:color w:val="B5651D"/>
        </w:rPr>
        <w:t xml:space="preserve">[PLACEHOLDER: Appendix B — Key Personnel Resumes. Capture lead to confirm named individuals; resumes to be inserted in the appendix and excluded from the 35-page count consistent with prior practice. Each resume to address: education, certifications, security clearance, federal CDC/HHS experience, demonstrated performance against comparable SLAs, and references. Per the system-prompt guardrail and Deloitte proposal practice, named partners/principals are not used in narrative — Key Personnel resumes carry the names.]</w:t>
      </w:r>
    </w:p>
    <w:p>
      <w:pPr>
        <w:pStyle w:val="Heading2"/>
        <w:spacing w:after="100" w:before="200"/>
      </w:pPr>
      <w:r>
        <w:t xml:space="preserve">2.4 Approach to Recruit, Hire, and Retain</w:t>
      </w:r>
    </w:p>
    <w:p>
      <w:pPr>
        <w:spacing w:after="80" w:before="80" w:line="276"/>
      </w:pPr>
      <w:r>
        <w:rPr>
          <w:b/>
          <w:bCs/>
        </w:rPr>
        <w:t xml:space="preserve">Recruit and hire. </w:t>
      </w:r>
      <w:r>
        <w:t xml:space="preserve">Per PWS Section 9, qualified staff are available within seven days of a task order or option period start. We meet this through three mechanisms: (1) a pre-cleared and pre-credentialed bench inside the prime and subcontractor team that is available for direct assignment; (2) a documented hiring funnel with named recruiting partners that targets ITIL-certified, CCNA-certified, and federal-experienced candidates; (3) for urgent or surge demand under Task 4.1, an Insight Global-led </w:t>
      </w:r>
      <w:r>
        <w:rPr>
          <w:i/>
          <w:iCs/>
          <w:color w:val="B5651D"/>
        </w:rPr>
        <w:t xml:space="preserve">[PLACEHOLDER: confirm whether to name staffing partner in Volume I or treat generically as 'staffing partner' — capture lead decision]</w:t>
      </w:r>
      <w:r>
        <w:t xml:space="preserve"> staffing channel that lets us scale by city, by labor category, and by clearance posture without ad hoc mobilization.</w:t>
      </w:r>
    </w:p>
    <w:p>
      <w:pPr>
        <w:spacing w:after="80" w:before="80" w:line="276"/>
      </w:pPr>
      <w:r>
        <w:rPr>
          <w:b/>
          <w:bCs/>
        </w:rPr>
        <w:t xml:space="preserve">Replacement velocity. </w:t>
      </w:r>
      <w:r>
        <w:t xml:space="preserve">If a Key Personnel position becomes vacant, we identify a qualified replacement and propose to CDC within 10 business days. For non-Key positions, the replacement target is consistent with the Section 9 seven-day standard for new task orders, with backfill from the pre-cleared bench during recruitment. Fingerprinting timeliness is treated as a managed metric, not an administrative checkpoint — we coordinate with HHS to schedule within the published windows to avoid invoice deductions for delay (PWS Section 9 disincentive structure).</w:t>
      </w:r>
    </w:p>
    <w:p>
      <w:pPr>
        <w:spacing w:after="80" w:before="80" w:line="276"/>
      </w:pPr>
      <w:r>
        <w:rPr>
          <w:b/>
          <w:bCs/>
        </w:rPr>
        <w:t xml:space="preserve">Retention. </w:t>
      </w:r>
      <w:r>
        <w:t xml:space="preserve">Three retention levers carry the most weight on this contract. First, role clarity and career progression — staff who see a path advance and stay. Second, training currency — every contractor employee has access to trainings and certifications relevant to their role; certification renewal is tracked. Third, performance recognition tied to operational outcomes — service desk technicians and SDLs whose teams deliver against SLA see that performance reflected in evaluations and growth opportunities.</w:t>
      </w:r>
    </w:p>
    <w:p>
      <w:pPr>
        <w:pStyle w:val="Heading2"/>
        <w:spacing w:after="100" w:before="200"/>
      </w:pPr>
      <w:r>
        <w:t xml:space="preserve">2.5 Employee Turnover Rates</w:t>
      </w:r>
    </w:p>
    <w:p>
      <w:pPr>
        <w:spacing w:after="80" w:before="80" w:line="276"/>
      </w:pPr>
      <w:r>
        <w:rPr>
          <w:i/>
          <w:iCs/>
          <w:color w:val="B5651D"/>
        </w:rPr>
        <w:t xml:space="preserve">[PLACEHOLDER: Insert prime contractor employee turnover rates for each of the past two years (FY24 and FY25), reported as percentage of separations against average headcount. Per Section L Staffing Plan instruction. Capture lead and HR analytics to provide. If subcontractors are named, include their turnover rates as well in a comparable two-year window.]</w:t>
      </w:r>
    </w:p>
    <w:p>
      <w:pPr>
        <w:pStyle w:val="Heading2"/>
        <w:spacing w:after="100" w:before="200"/>
      </w:pPr>
      <w:r>
        <w:t xml:space="preserve">2.6 Subcontracting Plan</w:t>
      </w:r>
    </w:p>
    <w:p>
      <w:pPr>
        <w:spacing w:after="80" w:before="80" w:line="276"/>
      </w:pPr>
      <w:r>
        <w:t xml:space="preserve">Per Section L item (c)(5) of the Volume II business volume instructions, a Small Business Subcontracting Plan accompanies this proposal as required by FAR 52.219-9. </w:t>
      </w:r>
      <w:r>
        <w:rPr>
          <w:i/>
          <w:iCs/>
          <w:color w:val="B5651D"/>
        </w:rPr>
        <w:t xml:space="preserve">[PLACEHOLDER: Insert summary statement of subcontracting plan posture — confirm whether the prime is a small business (in which case 52.219-9 does not apply), or whether we are submitting the DHHS subcontracting plan template. Reference the subcontracting goals by socioeconomic category. The full plan is in Volume II.]</w:t>
      </w:r>
    </w:p>
    <w:p>
      <w:pPr>
        <w:pStyle w:val="Heading2"/>
        <w:spacing w:after="100" w:before="200"/>
      </w:pPr>
      <w:r>
        <w:t xml:space="preserve">2.7 Staffing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Staffing risk</w:t>
            </w:r>
          </w:p>
        </w:tc>
        <w:tc>
          <w:tcPr>
            <w:tcW w:type="dxa" w:w="624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Mitigation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Day-one ramp shortfall during the August 2026 transition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Pre-cleared bench available; offer letters extended pre-award where practical; Transition-In Project Manager owns onboarding velocity. Replacement velocity standard applies from day one.</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Loss of incumbent institutional knowledge</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Retention offers extended to incumbent operational staff who carry CDC environmental knowledge, executed through staffing-partner channels rather than direct outreach to maintain procedural integrity. Knowledge capture occurs in parallel: runbooks, escalation matrices, and operational SOPs are documented during the transition window so that institutional knowledge does not depend on any single individual remaining post-award.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Public Trust Level 5 clearance backlogs for ServiceNow Analyst and VCC SysAdmin positions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Clearance status verified at offer; bridging staff with current clearances cover gaps. Fingerprinting scheduled within Section 9 windows.</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OCONUS deployment-readiness lag during GA emergency activations</w:t>
            </w:r>
          </w:p>
        </w:tc>
        <w:tc>
          <w:tcPr>
            <w:tcW w:type="dxa" w:w="62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All GA engineering personnel maintain current passports, country-specific medical clearance, and Smart Traveler Enrollment registration as a precondition to assignment. Travel insurance coverage is established at award; FACT and country-specific training currency is tracked centrally.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Surge demand during a public health emergency exceeding base staffing</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Optional Task 4.1 activated by modification on 30-day notice; ServiceNow Virtual Agent and knowledge deflection preserve human technician capacity for surge response; cross-task workload absorption protocol documented in the QCP.</w:t>
            </w:r>
          </w:p>
        </w:tc>
      </w:tr>
    </w:tbl>
    <w:p>
      <w:pPr>
        <w:pStyle w:val="Heading1"/>
        <w:spacing w:after="120" w:before="240"/>
      </w:pPr>
      <w:r>
        <w:t xml:space="preserve">3. Management Approach</w:t>
      </w:r>
    </w:p>
    <w:p>
      <w:pPr>
        <w:spacing w:after="80" w:before="80" w:line="276"/>
      </w:pPr>
      <w:r>
        <w:rPr>
          <w:b/>
          <w:bCs/>
        </w:rPr>
        <w:t xml:space="preserve">Our management principle: a single accountable interface, a disciplined cadence, and decisions that get made before they reach the COR. </w:t>
      </w:r>
      <w:r>
        <w:t xml:space="preserve">CITS spans 10 PWS tasks, dozens of subtasks, multiple subcontractors, and a delivery footprint that includes Atlanta campuses, non-Atlanta CSC sites, FSS deployments, and approximately 60 OCONUS Global Activities locations. Without a clear management spine, that complexity surfaces as friction at the COR's desk. Our approach pushes accountability and decision-making down to the lowest level where they can be made well, and reserves CDC's leadership attention for the decisions that genuinely require it.</w:t>
      </w:r>
    </w:p>
    <w:p>
      <w:pPr>
        <w:pStyle w:val="Heading2"/>
        <w:spacing w:after="100" w:before="200"/>
      </w:pPr>
      <w:r>
        <w:t xml:space="preserve">3.1 Organizational Structure and Reporting Relationships</w:t>
      </w:r>
    </w:p>
    <w:p>
      <w:pPr>
        <w:spacing w:after="80" w:before="80" w:line="276"/>
      </w:pPr>
      <w:r>
        <w:t xml:space="preserve">Our organizational structure has four layers and is designed for clarity, not headcount. The Program Manager is the named, primary technical and managerial interface to the Contracting Officer and the COR per PWS Task 3.1. Reporting to the PM are the named Task Leads for each PWS task family — Service Desk, Deskside, Emergency Preparedness, Global Activities, IAM, Infrastructure, Workplace Productivity, OCIO Communications, Application Development, and DSO Operations — together with the Quality Control Lead, the Cybersecurity and Compliance Lead, and the Subcontract Management Lead. Below the Task Leads are the Service Desk Liaisons, the Campus Leads, the engineering supervisors, and the operating teams. The full org chart and decision-rights matrix is in Appendix C.</w:t>
      </w:r>
    </w:p>
    <w:p>
      <w:pPr>
        <w:spacing w:after="80" w:before="80" w:line="276"/>
      </w:pPr>
      <w:r>
        <w:rPr>
          <w:i/>
          <w:iCs/>
          <w:color w:val="B5651D"/>
        </w:rPr>
        <w:t xml:space="preserve">[PLACEHOLDER: Appendix C — Organizational Chart and Decision Rights Matrix. Proposal graphics team to render the org chart aligned to the technical approach in Section 1. Decision rights matrix should specify, for each decision class (operational, change, financial, personnel, escalation), whether authority sits with the COR, the PM, the Task Lead, or the operating team — and the escalation path when authority is exceeded.]</w:t>
      </w:r>
    </w:p>
    <w:p>
      <w:pPr>
        <w:pStyle w:val="Heading2"/>
        <w:spacing w:after="100" w:before="200"/>
      </w:pPr>
      <w:r>
        <w:t xml:space="preserve">3.2 Performance Measurement and Metrics Monitoring</w:t>
      </w:r>
    </w:p>
    <w:p>
      <w:pPr>
        <w:spacing w:after="80" w:before="80" w:line="276"/>
      </w:pPr>
      <w:r>
        <w:t xml:space="preserve">Performance measurement runs on a single ServiceNow-based reporting platform that integrates ticket data, SLA performance, customer satisfaction survey results, deflection metrics, and the QASP performance requirements in PWS Section 9. The platform produces:</w:t>
      </w:r>
    </w:p>
    <w:p>
      <w:pPr>
        <w:pStyle w:val="ListParagraph"/>
        <w:numPr>
          <w:ilvl w:val="0"/>
          <w:numId w:val="2"/>
        </w:numPr>
        <w:spacing w:after="40" w:before="40" w:line="276"/>
      </w:pPr>
      <w:r>
        <w:rPr>
          <w:b/>
          <w:bCs/>
        </w:rPr>
        <w:t xml:space="preserve">Daily operational dashboards </w:t>
      </w:r>
      <w:r>
        <w:t xml:space="preserve">for the PM and Task Leads, reflecting real-time SLA position against PWS Table 5 thresholds, Tier 1 contact center performance against Task 1.1 standards, and active priority-1 and priority-2 incidents.</w:t>
      </w:r>
    </w:p>
    <w:p>
      <w:pPr>
        <w:pStyle w:val="ListParagraph"/>
        <w:numPr>
          <w:ilvl w:val="0"/>
          <w:numId w:val="2"/>
        </w:numPr>
        <w:spacing w:after="40" w:before="40" w:line="276"/>
      </w:pPr>
      <w:r>
        <w:rPr>
          <w:b/>
          <w:bCs/>
        </w:rPr>
        <w:t xml:space="preserve">Weekly Status Reports </w:t>
      </w:r>
      <w:r>
        <w:t xml:space="preserve">submitted to the COR and Technical Monitor by 5:00 PM ET each Wednesday per PWS Section 8 deliverables — covering tasks assigned, tasks completed, reasons for delays, work planned for the next period, problems identified and corrective actions, and significant meetings.</w:t>
      </w:r>
    </w:p>
    <w:p>
      <w:pPr>
        <w:pStyle w:val="ListParagraph"/>
        <w:numPr>
          <w:ilvl w:val="0"/>
          <w:numId w:val="2"/>
        </w:numPr>
        <w:spacing w:after="40" w:before="40" w:line="276"/>
      </w:pPr>
      <w:r>
        <w:rPr>
          <w:b/>
          <w:bCs/>
        </w:rPr>
        <w:t xml:space="preserve">Monthly In-Progress Reviews and Monthly Progress Reports </w:t>
      </w:r>
      <w:r>
        <w:t xml:space="preserve">submitted by the 15th of each month, presented to OCIO leadership.</w:t>
      </w:r>
    </w:p>
    <w:p>
      <w:pPr>
        <w:pStyle w:val="ListParagraph"/>
        <w:numPr>
          <w:ilvl w:val="0"/>
          <w:numId w:val="2"/>
        </w:numPr>
        <w:spacing w:after="40" w:before="40" w:line="276"/>
      </w:pPr>
      <w:r>
        <w:rPr>
          <w:b/>
          <w:bCs/>
        </w:rPr>
        <w:t xml:space="preserve">Monthly Financial Reports </w:t>
      </w:r>
      <w:r>
        <w:t xml:space="preserve">on contract financial status, run rate against budget, and travel against the Section 7 caps ($12K Task 1.3 non-global, $15K Task 5 non-global, $15K Task 9 non-global, $198K Task 2.1 global, base period).</w:t>
      </w:r>
    </w:p>
    <w:p>
      <w:pPr>
        <w:pStyle w:val="ListParagraph"/>
        <w:numPr>
          <w:ilvl w:val="0"/>
          <w:numId w:val="2"/>
        </w:numPr>
        <w:spacing w:after="40" w:before="40" w:line="276"/>
      </w:pPr>
      <w:r>
        <w:rPr>
          <w:b/>
          <w:bCs/>
        </w:rPr>
        <w:t xml:space="preserve">Quarterly performance trend reviews </w:t>
      </w:r>
      <w:r>
        <w:t xml:space="preserve">with the COR, framing year-over-year improvement against the contract objective of consistent total cost of ownership reduction.</w:t>
      </w:r>
    </w:p>
    <w:p>
      <w:pPr>
        <w:pStyle w:val="Heading2"/>
        <w:spacing w:after="100" w:before="200"/>
      </w:pPr>
      <w:r>
        <w:t xml:space="preserve">3.3 Risk Management</w:t>
      </w:r>
    </w:p>
    <w:p>
      <w:pPr>
        <w:spacing w:after="80" w:before="80" w:line="276"/>
      </w:pPr>
      <w:r>
        <w:t xml:space="preserve">Risk is managed in three loops. The </w:t>
      </w:r>
      <w:r>
        <w:rPr>
          <w:b/>
          <w:bCs/>
        </w:rPr>
        <w:t xml:space="preserve">operational risk loop </w:t>
      </w:r>
      <w:r>
        <w:t xml:space="preserve">runs daily through the dashboards and is the responsibility of the Task Leads. The </w:t>
      </w:r>
      <w:r>
        <w:rPr>
          <w:b/>
          <w:bCs/>
        </w:rPr>
        <w:t xml:space="preserve">program risk loop </w:t>
      </w:r>
      <w:r>
        <w:t xml:space="preserve">runs weekly through PMO governance and is the responsibility of the PM, who maintains a single program risk register with named owners, current likelihood and impact assessments, mitigation status, and decision deadlines. The </w:t>
      </w:r>
      <w:r>
        <w:rPr>
          <w:b/>
          <w:bCs/>
        </w:rPr>
        <w:t xml:space="preserve">strategic risk loop </w:t>
      </w:r>
      <w:r>
        <w:t xml:space="preserve">runs monthly with the COR and surfaces risks that require Government decisions — for example, changes in HHS policy, OCIO modernization direction, or budget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Risk class</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Owner</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Cadence</w:t>
            </w:r>
          </w:p>
        </w:tc>
        <w:tc>
          <w:tcPr>
            <w:tcW w:type="dxa" w:w="390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Mitigation pattern</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Service desk SLA degradation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Service Desk Lead</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Daily</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Real-time dashboard alerts at threshold; same-day intervention; weekly QA review per PWS Subsection 1, item 2(b).</w:t>
            </w:r>
          </w:p>
        </w:tc>
      </w:tr>
      <w:tr>
        <w:tc>
          <w:tcPr>
            <w:tcW w:type="dxa" w:w="23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OCONUS network outage / GA Priority 1</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GA Lead</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Per incident</w:t>
            </w:r>
          </w:p>
        </w:tc>
        <w:tc>
          <w:tcPr>
            <w:tcW w:type="dxa" w:w="3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Pre-cleared deployment readiness; 24–48 hour deployment window per Task 2.1; satellite/SD-WAN restoration runbooks.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Personnel attrition affecting SLA</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PM + HR</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Weekly</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Pre-cleared bench; 7-day staffing standard; Key Personnel replacement within 10 business days; retention strategy from Section 2.4.</w:t>
            </w:r>
          </w:p>
        </w:tc>
      </w:tr>
      <w:tr>
        <w:tc>
          <w:tcPr>
            <w:tcW w:type="dxa" w:w="23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ATO / SA&amp;A maintenance lapse</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Cyber/Compliance Lead</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Monthly</w:t>
            </w:r>
          </w:p>
        </w:tc>
        <w:tc>
          <w:tcPr>
            <w:tcW w:type="dxa" w:w="3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SA&amp;A package alignment to CDC SOP; CSPO coordination; continuous monitoring; Plan of Action and Milestones (POA&amp;M) discipline.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Public health emergency surge demand</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PM + EP/FSS Lead</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On activation</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Optional Task 4.1 activation; deflection program preserves Tier 1 capacity; cross-task absorption protocol; FSS deployable capacity.</w:t>
            </w:r>
          </w:p>
        </w:tc>
      </w:tr>
      <w:tr>
        <w:tc>
          <w:tcPr>
            <w:tcW w:type="dxa" w:w="234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Tooling change introduced by CDC mid-period (e.g., new ServiceNow version, ITSM platform update)</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Task Lead + PM</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Per change</w:t>
            </w:r>
          </w:p>
        </w:tc>
        <w:tc>
          <w:tcPr>
            <w:tcW w:type="dxa" w:w="3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Documented change management process; pilot in non-production; training cadence; coordinated cutover; rollback plan.</w:t>
            </w:r>
          </w:p>
        </w:tc>
      </w:tr>
    </w:tbl>
    <w:p>
      <w:pPr>
        <w:pStyle w:val="Heading2"/>
        <w:spacing w:after="100" w:before="200"/>
      </w:pPr>
      <w:r>
        <w:t xml:space="preserve">3.4 Communications, Telework Oversight, Conflict Management</w:t>
      </w:r>
    </w:p>
    <w:p>
      <w:pPr>
        <w:spacing w:after="80" w:before="80" w:line="276"/>
      </w:pPr>
      <w:r>
        <w:rPr>
          <w:b/>
          <w:bCs/>
        </w:rPr>
        <w:t xml:space="preserve">Communications cadence. </w:t>
      </w:r>
      <w:r>
        <w:t xml:space="preserve">In addition to the recurring deliverables in PWS Section 8, the PM hosts a weekly status touchpoint with the COR (or as the COR prefers), a monthly leadership touchpoint with the OCIO sponsor, and ad hoc progress meetings as requested. The Continuous Service Improvement cadence is published quarterly.</w:t>
      </w:r>
    </w:p>
    <w:p>
      <w:pPr>
        <w:spacing w:after="80" w:before="80" w:line="276"/>
      </w:pPr>
      <w:r>
        <w:rPr>
          <w:b/>
          <w:bCs/>
        </w:rPr>
        <w:t xml:space="preserve">Telework oversight. </w:t>
      </w:r>
      <w:r>
        <w:t xml:space="preserve">For positions designated as remote or hybrid in the PWS Section 6 Place of Performance table, oversight is built into the daily operating cadence: ServiceNow ticket-level activity logging, Personnel Availability reporting per PWS Section 9, and Task Lead-level oversight of throughput and quality. Telework does not loosen accountability — Personnel Availability calculation under Section 9 (Talk Time + Hold Time + ACW + Wait Time minus Not Ready Time + Break Time + Lunch Time, divided by Staffed Time) applies to remote contact center personnel identically to on-site staff.</w:t>
      </w:r>
    </w:p>
    <w:p>
      <w:pPr>
        <w:spacing w:after="80" w:before="80" w:line="276"/>
      </w:pPr>
      <w:r>
        <w:rPr>
          <w:b/>
          <w:bCs/>
        </w:rPr>
        <w:t xml:space="preserve">Conflict management. </w:t>
      </w:r>
      <w:r>
        <w:t xml:space="preserve">Conflicts among team members, between subcontractors, or between the contractor team and CDC stakeholders are surfaced at the lowest appropriate level first. The Task Lead resolves operational disagreements; the PM resolves cross-task or subcontractor-prime disagreements; the CO and contractor executive sponsor resolve contractual or scope disagreements. Mediation through HR or executive escalation is available where required. Documented at the conflict management policy level in the QCP.</w:t>
      </w:r>
    </w:p>
    <w:p>
      <w:pPr>
        <w:pStyle w:val="Heading2"/>
        <w:spacing w:after="100" w:before="200"/>
      </w:pPr>
      <w:r>
        <w:t xml:space="preserve">3.5 Fiscal Responsibility and Cost Discipline</w:t>
      </w:r>
    </w:p>
    <w:p>
      <w:pPr>
        <w:spacing w:after="80" w:before="80" w:line="276"/>
      </w:pPr>
      <w:r>
        <w:rPr>
          <w:b/>
          <w:bCs/>
        </w:rPr>
        <w:t xml:space="preserve">Fiscal responsibility. </w:t>
      </w:r>
      <w:r>
        <w:t xml:space="preserve">Fiscal responsibility is measured monthly in the Monthly Financial Report and reviewed quarterly at the In-Progress Review. Burn-rate against the labor hour build, ODC and travel against the published caps, and option-period readiness are tracked as standing items. The PM raises any anticipated cost-impact change with the CO before the change manifests in the financials.</w:t>
      </w:r>
    </w:p>
    <w:p>
      <w:pPr>
        <w:spacing w:after="80" w:before="80" w:line="276"/>
      </w:pPr>
      <w:r>
        <w:rPr>
          <w:b/>
          <w:bCs/>
        </w:rPr>
        <w:t xml:space="preserve">Cost discipline drivers. </w:t>
      </w:r>
      <w:r>
        <w:t xml:space="preserve">Three drivers reduce total cost of ownership across the period of performance, consistent with PWS Subsection 3.2.6 and contract objective 4. First, deflection — moving deterministic Tier 1 demand to ServiceNow self-service and the Virtual Agent reduces inbound volume and supports right-sized Tier 1 staffing. Second, automation — RPA and ServiceNow workflow extension reduce per-ticket handling time on standard requests. Third, delivery-center consolidation — eligible work consolidated to lower-cost U.S. delivery centers improves consistency and reduces per-hour cost without sacrificing service quality. Year-over-year TCO reduction targets are agreed with the COR at the start of each option period and reported against monthly.</w:t>
      </w:r>
    </w:p>
    <w:p>
      <w:pPr>
        <w:pStyle w:val="Heading2"/>
        <w:spacing w:after="100" w:before="200"/>
      </w:pPr>
      <w:r>
        <w:t xml:space="preserve">3.6 Draft Quality Control Plan (QCP)</w:t>
      </w:r>
    </w:p>
    <w:p>
      <w:pPr>
        <w:spacing w:after="80" w:before="80" w:line="276"/>
      </w:pPr>
      <w:r>
        <w:t xml:space="preserve">A draft Quality Control Plan is provided in Appendix D. The full QCP will be submitted to the Contracting Officer within 30 calendar days after award per PWS Subsection 9.1, refined in coordination with the COR, and maintained throughout all periods of performance. The QCP defines:</w:t>
      </w:r>
    </w:p>
    <w:p>
      <w:pPr>
        <w:pStyle w:val="ListParagraph"/>
        <w:numPr>
          <w:ilvl w:val="0"/>
          <w:numId w:val="2"/>
        </w:numPr>
        <w:spacing w:after="40" w:before="40" w:line="276"/>
      </w:pPr>
      <w:r>
        <w:t xml:space="preserve">Performance measures beyond those in the PWS — meaningful, measurable, and challenging — including a deflection rate target, a knowledge-base findability metric, and a problem-management closure metric tied to root-cause.</w:t>
      </w:r>
    </w:p>
    <w:p>
      <w:pPr>
        <w:pStyle w:val="ListParagraph"/>
        <w:numPr>
          <w:ilvl w:val="0"/>
          <w:numId w:val="2"/>
        </w:numPr>
        <w:spacing w:after="40" w:before="40" w:line="276"/>
      </w:pPr>
      <w:r>
        <w:t xml:space="preserve">Quality control procedures by task, including weekly QA review of Task 1.1 contact channels, periodic inspection of CSC deliverables, and 100% inspection of personnel availability and IT asset on-time delivery.</w:t>
      </w:r>
    </w:p>
    <w:p>
      <w:pPr>
        <w:pStyle w:val="ListParagraph"/>
        <w:numPr>
          <w:ilvl w:val="0"/>
          <w:numId w:val="2"/>
        </w:numPr>
        <w:spacing w:after="40" w:before="40" w:line="276"/>
      </w:pPr>
      <w:r>
        <w:t xml:space="preserve">Surveillance methods aligned to PWS Section 9 — 100% inspection, periodic inspection, and random sampling — calibrated to the criticality and frequency of each performance requirement.</w:t>
      </w:r>
    </w:p>
    <w:p>
      <w:pPr>
        <w:pStyle w:val="ListParagraph"/>
        <w:numPr>
          <w:ilvl w:val="0"/>
          <w:numId w:val="2"/>
        </w:numPr>
        <w:spacing w:after="40" w:before="40" w:line="276"/>
      </w:pPr>
      <w:r>
        <w:t xml:space="preserve">Corrective action protocol — immediate corrective action for SLA threshold breach, root-cause analysis for repeat issues, and trend tracking that feeds the continuous-improvement cadence.</w:t>
      </w:r>
    </w:p>
    <w:p>
      <w:pPr>
        <w:pStyle w:val="ListParagraph"/>
        <w:numPr>
          <w:ilvl w:val="0"/>
          <w:numId w:val="2"/>
        </w:numPr>
        <w:spacing w:after="40" w:before="40" w:line="276"/>
      </w:pPr>
      <w:r>
        <w:t xml:space="preserve">Change management process — disciplined, documented, with named approvers, and aligned to PWS Subsection 3.2.6.</w:t>
      </w:r>
    </w:p>
    <w:p>
      <w:pPr>
        <w:spacing w:after="80" w:before="80" w:line="276"/>
      </w:pPr>
      <w:r>
        <w:rPr>
          <w:i/>
          <w:iCs/>
          <w:color w:val="B5651D"/>
        </w:rPr>
        <w:t xml:space="preserve">[PLACEHOLDER: Appendix D — Draft Quality Control Plan. Capture lead and PMO to confirm specific QCP performance measures beyond PWS thresholds. Recommend including: (a) Knowledge-base deflection rate as percentage of resolved tickets per period; (b) Knowledge article currency rate (% of articles reviewed within 90 days); (c) Problem-management root-cause closure rate; (d) First-call resolution percentage; (e) Mean time to resolution by priority. Ensure each metric has: definition, calculation method, target threshold, surveillance method, reporting cadence, and corrective action trigger.]</w:t>
      </w:r>
    </w:p>
    <w:p>
      <w:pPr>
        <w:pStyle w:val="Heading2"/>
        <w:spacing w:after="100" w:before="200"/>
      </w:pPr>
      <w:r>
        <w:t xml:space="preserve">3.7 Draft Transition-In Plan</w:t>
      </w:r>
    </w:p>
    <w:p>
      <w:pPr>
        <w:spacing w:after="80" w:before="80" w:line="276"/>
      </w:pPr>
      <w:r>
        <w:rPr>
          <w:b/>
          <w:bCs/>
        </w:rPr>
        <w:t xml:space="preserve">Transition framing. </w:t>
      </w:r>
      <w:r>
        <w:t xml:space="preserve">The transition window is one month — August 1, 2026 through August 31, 2026 — under firm-fixed-price terms. The objective is full performance responsibility on September 1, 2026 with no interruption or degradation of service levels, no SLA exemptions for the new period, and a closed Government-Furnished Equipment inventory. The Transition-In Project Manager, identified per PWS Subtask 3.1.2 item 2(a), is the single point of accountability for that outcome.</w:t>
      </w:r>
    </w:p>
    <w:p>
      <w:pPr>
        <w:spacing w:after="80" w:before="80" w:line="276"/>
      </w:pPr>
      <w:r>
        <w:rPr>
          <w:b/>
          <w:bCs/>
        </w:rPr>
        <w:t xml:space="preserve">Transition phases. </w:t>
      </w:r>
      <w:r>
        <w:t xml:space="preserve">We have planned the transition in four overlapping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Phase</w:t>
            </w:r>
          </w:p>
        </w:tc>
        <w:tc>
          <w:tcPr>
            <w:tcW w:type="dxa" w:w="1872"/>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Window</w:t>
            </w:r>
          </w:p>
        </w:tc>
        <w:tc>
          <w:tcPr>
            <w:tcW w:type="dxa" w:w="5616"/>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Activities and exit criteria</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1 — Mobilize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Days 1–7</w:t>
            </w:r>
          </w:p>
        </w:tc>
        <w:tc>
          <w:tcPr>
            <w:tcW w:type="dxa" w:w="561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Stand up the transition PMO. Confirm all Key Personnel onboarded and badged. Begin clearance verification for Public Trust Level 5 positions. Issue communication plan to CDC stakeholders. Initiate GFE inventory walkthrough. Exit: PMO operational, communications plan acknowledged by COR.</w:t>
            </w:r>
          </w:p>
        </w:tc>
      </w:tr>
      <w:tr>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Phase 2 — Knowledge Transfer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Days 7–21</w:t>
            </w:r>
          </w:p>
        </w:tc>
        <w:tc>
          <w:tcPr>
            <w:tcW w:type="dxa" w:w="561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Structured knowledge transfer with the incumbent contractor in coordination with the CDC Transition-In Project Manager — runbook capture, escalation matrix verification, ServiceNow configuration walkthrough, knowledge-base inventory, ticket-trend handoff. Shadow operations across all PWS tasks. Exit: KT complete, gaps documented and closed, runbooks signed off by the receiving Task Lead.</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3 — Parallel Operations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Days 14–28</w:t>
            </w:r>
          </w:p>
        </w:tc>
        <w:tc>
          <w:tcPr>
            <w:tcW w:type="dxa" w:w="561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Joint operations with the incumbent on a defined schedule, with our team progressively assuming ticket and operational ownership. SLA dual-tracking to verify that performance is sustained. Tier 1 contact center cutover scheduled within this phase with rollback option. Exit: Service desk metrics on track at our team's accountability; CSC and FSS team readiness confirmed.</w:t>
            </w:r>
          </w:p>
        </w:tc>
      </w:tr>
      <w:tr>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Phase 4 — Cutover and Stabilization</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Days 28–31</w:t>
            </w:r>
          </w:p>
        </w:tc>
        <w:tc>
          <w:tcPr>
            <w:tcW w:type="dxa" w:w="561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Full performance assumption. Final GFE accountability sign-off per PWS Section 5. Day-30 readiness review with the COR. Submission of the Transition-In Results Report no later than 30 business days following award per PWS Section 8. Exit: COR acceptance of transition completion.</w:t>
            </w:r>
          </w:p>
        </w:tc>
      </w:tr>
    </w:tbl>
    <w:p>
      <w:pPr>
        <w:spacing w:after="80" w:before="80" w:line="276"/>
      </w:pPr>
      <w:r>
        <w:rPr>
          <w:b/>
          <w:bCs/>
        </w:rPr>
        <w:t xml:space="preserve">Knowledge transfer strategy. </w:t>
      </w:r>
      <w:r>
        <w:t xml:space="preserve">Knowledge is captured against five categories: (1) operational runbooks per task and subtask; (2) the escalation matrix and Tier 1/2/3 handoff scripts; (3) the ServiceNow configuration baseline including knowledge articles, workflows, and Virtual Agent flows; (4) ticket-trend history and known recurring incidents; (5) institutional context — relationships, governance norms, and CDC-specific operating practices that do not appear in formal documentation. Captured artifacts are stored in the contractor's secure environment, transferred to CDC at request, and used as the operational baseline for the Base Period.</w:t>
      </w:r>
    </w:p>
    <w:p>
      <w:pPr>
        <w:spacing w:after="80" w:before="80" w:line="276"/>
      </w:pPr>
      <w:r>
        <w:rPr>
          <w:b/>
          <w:bCs/>
        </w:rPr>
        <w:t xml:space="preserve">Coordination with the incumbent. </w:t>
      </w:r>
      <w:r>
        <w:t xml:space="preserve">Per PWS Subtask 3.1.2 item 2(a) and Section L Transition-In Plan item 1, our approach includes structured coordination with the incumbent contractor. Our intent throughout is professional and procedurally clean — we treat incumbent staff with respect, engage exclusively through CDC-coordinated channels, and avoid any interaction that could be characterized as direct outreach for hiring or solicitation. Where incumbent staff are interested in continued CITS engagement under our team, those expressions of interest are routed through staffing-partner channels rather than through prime-to-individual contact, in keeping with sound procurement integrity practice.</w:t>
      </w:r>
    </w:p>
    <w:p>
      <w:pPr>
        <w:spacing w:after="80" w:before="80" w:line="276"/>
      </w:pPr>
      <w:r>
        <w:rPr>
          <w:b/>
          <w:bCs/>
        </w:rPr>
        <w:t xml:space="preserve">Communication plan with CDC stakeholders. </w:t>
      </w:r>
      <w:r>
        <w:t xml:space="preserve">Three audiences receive structured transition communications. (1) CDC end users — the approximately 28,000 CDC personnel whose service experience cannot degrade. We coordinate with the OCIO Communications team to issue clear, plain-language updates on what is changing, what is staying the same, and how to reach support during the transition. (2) OCIO leadership — weekly transition steering committee touchpoints with the COR and identified leadership stakeholders. (3) CDC Centers, Institutes, and Offices — a structured outreach to each major CIO during transition to confirm continuity of support and surface any local concerns.</w:t>
      </w:r>
    </w:p>
    <w:p>
      <w:pPr>
        <w:spacing w:after="80" w:before="80" w:line="276"/>
      </w:pPr>
      <w:r>
        <w:rPr>
          <w:b/>
          <w:bCs/>
        </w:rPr>
        <w:t xml:space="preserve">Risk register for transition. </w:t>
      </w:r>
      <w:r>
        <w:t xml:space="preserve">The transition risk register is included in Appendix E. Top transition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Transition risk</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Likelihood</w:t>
            </w:r>
          </w:p>
        </w:tc>
        <w:tc>
          <w:tcPr>
            <w:tcW w:type="dxa" w:w="15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Impact</w:t>
            </w:r>
          </w:p>
        </w:tc>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Mitigation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SLA performance degrades during incumbent-to-our-team handoff</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High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Parallel operations in Phase 3; SLA dual-tracking; rollback option; sufficient pre-cleared bench to absorb any incumbent staff departures.</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Knowledge gaps surface post-cutover (institutional knowledge not captured in writing)</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Medium</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Medium</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Five-category KT framework; runbook sign-off by receiving Task Lead; first 90 days post-cutover include continued knowledge-capture activity.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Public Trust Level 5 clearance backlog delays Task 1.1 ServiceNow Analyst start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Low–Medium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Pre-screened candidates; bridging staff with current clearances; COR notification if delays surface.</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GFE inventory disputes between outgoing and incoming contractors</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Low</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Medium</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Documented walkthrough with CDC property officer; signed inventory acceptance per PWS Section 5; chain-of-custody discipline.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OCONUS travel readiness not in place at cutover for Task 2.1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Medical clearance, Smart Traveler enrollment, FACT training, and country-specific preparation completed during Phase 1–2 for all GA staff.</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Public health emergency activates during the transition window</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Low</w:t>
            </w:r>
          </w:p>
        </w:tc>
        <w:tc>
          <w:tcPr>
            <w:tcW w:type="dxa" w:w="1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High</w:t>
            </w:r>
          </w:p>
        </w:tc>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Pre-defined emergency protocol that sustains incumbent operations through the surge while transition pauses; resumes transition once activation closes; CO/COR coordination.</w:t>
            </w:r>
          </w:p>
        </w:tc>
      </w:tr>
    </w:tbl>
    <w:p>
      <w:pPr>
        <w:spacing w:after="80" w:before="80" w:line="276"/>
      </w:pPr>
      <w:r>
        <w:rPr>
          <w:i/>
          <w:iCs/>
          <w:color w:val="B5651D"/>
        </w:rPr>
        <w:t xml:space="preserve">[PLACEHOLDER: Appendix E — Transition Risk Register. Capture lead to confirm full register, including specific named mitigations, risk owners, decision dates, and contingency triggers. The Transition Plan also uses the same labor categories as the Staffing Plan, per PWS Subtask 3.1.2 item 1(b).]</w:t>
      </w:r>
    </w:p>
    <w:p>
      <w:pPr>
        <w:pStyle w:val="Heading2"/>
        <w:spacing w:after="100" w:before="200"/>
      </w:pPr>
      <w:r>
        <w:t xml:space="preserve">3.8 Draft Transition-Out Plan</w:t>
      </w:r>
    </w:p>
    <w:p>
      <w:pPr>
        <w:spacing w:after="80" w:before="80" w:line="276"/>
      </w:pPr>
      <w:r>
        <w:t xml:space="preserve">Per PWS Subtask 3.1.2 item 3 and Section L Management Approach item (vi), our approach to the orderly and efficient transfer of contract responsibilities at conclusion or termination ensures continuity of operations, preservation of institutional knowledge, and minimal disruption to Government activities. The Transition-Out Plan, presented in summary here and in full in Appendix F, addresses each element required by Section L.</w:t>
      </w:r>
    </w:p>
    <w:p>
      <w:pPr>
        <w:pStyle w:val="ListParagraph"/>
        <w:numPr>
          <w:ilvl w:val="0"/>
          <w:numId w:val="2"/>
        </w:numPr>
        <w:spacing w:after="40" w:before="40" w:line="276"/>
      </w:pPr>
      <w:r>
        <w:rPr>
          <w:b/>
          <w:bCs/>
        </w:rPr>
        <w:t xml:space="preserve">Knowledge transfer to the successor </w:t>
      </w:r>
      <w:r>
        <w:t xml:space="preserve">— documented processes, procedures, and operational information; runbooks; escalation matrix; ServiceNow knowledge base; ticket trend history; transition coordination with the incoming contractor as directed by CDC.</w:t>
      </w:r>
    </w:p>
    <w:p>
      <w:pPr>
        <w:pStyle w:val="ListParagraph"/>
        <w:numPr>
          <w:ilvl w:val="0"/>
          <w:numId w:val="2"/>
        </w:numPr>
        <w:spacing w:after="40" w:before="40" w:line="276"/>
      </w:pPr>
      <w:r>
        <w:rPr>
          <w:b/>
          <w:bCs/>
        </w:rPr>
        <w:t xml:space="preserve">Staffing transition strategy </w:t>
      </w:r>
      <w:r>
        <w:t xml:space="preserve">— support for incoming staff onboarding; clear protocol for our employees who may continue under the successor; reassignment of others within our broader portfolio.</w:t>
      </w:r>
    </w:p>
    <w:p>
      <w:pPr>
        <w:pStyle w:val="ListParagraph"/>
        <w:numPr>
          <w:ilvl w:val="0"/>
          <w:numId w:val="2"/>
        </w:numPr>
        <w:spacing w:after="40" w:before="40" w:line="276"/>
      </w:pPr>
      <w:r>
        <w:rPr>
          <w:b/>
          <w:bCs/>
        </w:rPr>
        <w:t xml:space="preserve">Detailed schedule </w:t>
      </w:r>
      <w:r>
        <w:t xml:space="preserve">— transition activities, milestones, and dependencies sequenced over the closeout window prescribed at the time.</w:t>
      </w:r>
    </w:p>
    <w:p>
      <w:pPr>
        <w:pStyle w:val="ListParagraph"/>
        <w:numPr>
          <w:ilvl w:val="0"/>
          <w:numId w:val="2"/>
        </w:numPr>
        <w:spacing w:after="40" w:before="40" w:line="276"/>
      </w:pPr>
      <w:r>
        <w:rPr>
          <w:b/>
          <w:bCs/>
        </w:rPr>
        <w:t xml:space="preserve">GFE return, transfer, and accountability </w:t>
      </w:r>
      <w:r>
        <w:t xml:space="preserve">— full property inventory reconciliation; chain-of-custody documentation; signed acceptance from the receiving party (Government or successor) per Section 5.</w:t>
      </w:r>
    </w:p>
    <w:p>
      <w:pPr>
        <w:pStyle w:val="ListParagraph"/>
        <w:numPr>
          <w:ilvl w:val="0"/>
          <w:numId w:val="2"/>
        </w:numPr>
        <w:spacing w:after="40" w:before="40" w:line="276"/>
      </w:pPr>
      <w:r>
        <w:rPr>
          <w:b/>
          <w:bCs/>
        </w:rPr>
        <w:t xml:space="preserve">Data management and transfer </w:t>
      </w:r>
      <w:r>
        <w:t xml:space="preserve">— all contract-related data, files, and records delivered in accordance with contract requirements and security protocols; ServiceNow records, knowledge articles, and operational documentation transferred per Government direction.</w:t>
      </w:r>
    </w:p>
    <w:p>
      <w:pPr>
        <w:pStyle w:val="ListParagraph"/>
        <w:numPr>
          <w:ilvl w:val="0"/>
          <w:numId w:val="2"/>
        </w:numPr>
        <w:spacing w:after="40" w:before="40" w:line="276"/>
      </w:pPr>
      <w:r>
        <w:rPr>
          <w:b/>
          <w:bCs/>
        </w:rPr>
        <w:t xml:space="preserve">Risk identification and mitigation </w:t>
      </w:r>
      <w:r>
        <w:t xml:space="preserve">— closeout risk register with specific transition risks (data continuity, staff retention through closeout, GFE accountability) and named mitigations.</w:t>
      </w:r>
    </w:p>
    <w:p>
      <w:pPr>
        <w:pStyle w:val="ListParagraph"/>
        <w:numPr>
          <w:ilvl w:val="0"/>
          <w:numId w:val="2"/>
        </w:numPr>
        <w:spacing w:after="40" w:before="40" w:line="276"/>
      </w:pPr>
      <w:r>
        <w:rPr>
          <w:b/>
          <w:bCs/>
        </w:rPr>
        <w:t xml:space="preserve">Coordination protocols </w:t>
      </w:r>
      <w:r>
        <w:t xml:space="preserve">— defined points of contact, communication cadence with the Government and successor, and escalation paths.</w:t>
      </w:r>
    </w:p>
    <w:p>
      <w:pPr>
        <w:spacing w:after="80" w:before="80" w:line="276"/>
      </w:pPr>
      <w:r>
        <w:rPr>
          <w:i/>
          <w:iCs/>
          <w:color w:val="B5651D"/>
        </w:rPr>
        <w:t xml:space="preserve">[PLACEHOLDER: Appendix F — Draft Transition-Out Plan. PMO to populate full plan with closeout schedule, GFE reconciliation procedure, and successor coordination protocol.]</w:t>
      </w:r>
    </w:p>
    <w:p>
      <w:pPr>
        <w:pStyle w:val="Heading2"/>
        <w:spacing w:after="100" w:before="200"/>
      </w:pPr>
      <w:r>
        <w:t xml:space="preserve">3.9 Government-Furnished Equipment Accountability</w:t>
      </w:r>
    </w:p>
    <w:p>
      <w:pPr>
        <w:spacing w:after="80" w:before="80" w:line="276"/>
      </w:pPr>
      <w:r>
        <w:t xml:space="preserve">Per PWS Section 5 and the Section L Management Approach item (vii), GFE accountability is operated as a continuous discipline, not a transition event. We maintain a current GFE inventory in the appropriate property management system, reconciled to the annual wall-to-wall inventory required as a Task 1 deliverable in PWS Section 8. Property Custodial Officers under PWS Task 1.3 carry day-to-day accountability at FSS sites; the IT Asset Management function within Task 1 carries enterprise-level reconciliation. The 95%-or-greater on-time delivery rate for shipped IT equipment per PWS Section 9 is treated as a managed performance metric, with corrective action triggered if performance falls below threshold.</w:t>
      </w:r>
    </w:p>
    <w:p>
      <w:pPr>
        <w:spacing w:after="80" w:before="80" w:line="276"/>
      </w:pPr>
      <w:r>
        <w:rPr>
          <w:b/>
          <w:bCs/>
        </w:rPr>
        <w:t xml:space="preserve">Accountability protocol. </w:t>
      </w:r>
      <w:r>
        <w:t xml:space="preserve">Receipt and inventory at transition: documented walkthrough with the CDC Property Accountability Officer or designated representative; signed inventory acceptance; serialization captured in the property management system. In-life maintenance: configuration management baseline; patch and anti-virus compliance verified before re-issue per PWS Subsection 1.2.1 item l; tracked maintenance history. End-of-life disposition: pickup and processing per OCIO standard; data sanitization per NIST 800-88; Report of Survey produced where required.</w:t>
      </w:r>
    </w:p>
    <w:p>
      <w:pPr>
        <w:pStyle w:val="Heading2"/>
        <w:spacing w:after="100" w:before="200"/>
      </w:pPr>
      <w:r>
        <w:t xml:space="preserve">3.10 Conditions and Assumptions</w:t>
      </w:r>
    </w:p>
    <w:p>
      <w:pPr>
        <w:spacing w:after="80" w:before="80" w:line="276"/>
      </w:pPr>
      <w:r>
        <w:t xml:space="preserve">Our proposal is responsive to the RFQ as issued and is predicated on the terms and conditions of the RFQ, in compliance with the Volume II requirement at item (c)(1). Where assumptions are necessary to interpret an ambiguous requirement, we have framed them so that they do not adversely impact the Government's requirement, consistent with the Section E direction that the Government reserves the right to reject proposals with adverse assumptions.</w:t>
      </w:r>
    </w:p>
    <w:p>
      <w:pPr>
        <w:spacing w:after="80" w:before="80" w:line="276"/>
      </w:pPr>
      <w:r>
        <w:rPr>
          <w:i/>
          <w:iCs/>
          <w:color w:val="B5651D"/>
        </w:rPr>
        <w:t xml:space="preserve">[PLACEHOLDER: List of explicit assumptions, if any, after final RFQ review. Capture lead to confirm. Common areas to flag: VCC subscription scope and procurement responsibility (PWS Task 1.1 item 6 indicates subscription is procured by CDC); ServiceNow license access and any associated cost; OCONUS travel currency exchange treatment; CDC personnel access during transition; treatment of any tooling not explicitly named as CDC-furnished. Each assumption to be stated as: condition / basis / impact if violated.]</w:t>
      </w:r>
    </w:p>
    <w:p>
      <w:pPr>
        <w:pStyle w:val="Heading1"/>
        <w:spacing w:after="120" w:before="240"/>
      </w:pPr>
      <w:r>
        <w:t xml:space="preserve">4. Similar Experience</w:t>
      </w:r>
    </w:p>
    <w:p>
      <w:pPr>
        <w:spacing w:after="80" w:before="80" w:line="276"/>
      </w:pPr>
      <w:r>
        <w:t xml:space="preserve">Per Section L Evaluation Factor 4 and the corresponding evaluation criteria, we present three references of relevant contracts similar in scope, size, and complexity, performed within the last three years. Each reference demonstrates capability against the operating model required by CITS — federal IT customer support at scale, multi-site delivery, ServiceNow-based ITSM operations, ITIL discipline, and measurable performance against published service levels and cost-of-ownership targets.</w:t>
      </w:r>
    </w:p>
    <w:p>
      <w:pPr>
        <w:spacing w:after="80" w:before="80" w:line="276"/>
      </w:pPr>
      <w:r>
        <w:rPr>
          <w:b/>
          <w:bCs/>
        </w:rPr>
        <w:t xml:space="preserve">Selection rationale. </w:t>
      </w:r>
      <w:r>
        <w:t xml:space="preserve">Our three references collectively address: (1) federal health agency IT customer support at a population scale comparable to CDC's approximately 28,000 personnel; (2) tiered ITSM operations on ServiceNow at federal civilian or DoD health scale; (3) distributed-site or OCONUS service delivery comparable to CITS Global Activities. Each reference is current or has concluded within the last three years, with two customer contacts available for verification.</w:t>
      </w:r>
    </w:p>
    <w:p>
      <w:pPr>
        <w:spacing w:after="80" w:before="80" w:line="276"/>
      </w:pPr>
      <w:r>
        <w:rPr>
          <w:i/>
          <w:iCs/>
          <w:color w:val="B5651D"/>
        </w:rPr>
        <w:t xml:space="preserve">[PLACEHOLDER: Capture lead to finalize the three references before submission. Per orientation, NIH and other HHS health agency engagements are the strongest comparators. Each reference must satisfy: (a) scope/size/complexity similar to CITS; (b) performed within last 3 years; (c) two customer POCs willing to speak to past performance. Past performance is also evaluated separately on a pass/fail basis via CPARS — coordinate Volume I Similar Experience selections with the Volume II Past Performance references where applicable, while ensuring no overclaim and full protest defensibility per the orientation's defensibility test.]</w:t>
      </w:r>
    </w:p>
    <w:p>
      <w:pPr>
        <w:pStyle w:val="Heading2"/>
        <w:spacing w:after="100" w:before="200"/>
      </w:pPr>
      <w:r>
        <w:t xml:space="preserve">4.1 Reference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Reference 1 — required information per Section L</w:t>
            </w:r>
          </w:p>
        </w:tc>
        <w:tc>
          <w:tcPr>
            <w:tcW w:type="dxa" w:w="66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Content (to be inserted by capture lead)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number</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contract number]</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Customer/agency name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1 customer/agency. Strongest comparators per orientation are NIH and other HHS health agencies; CDC Center program work where available.]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title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contract title]</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Brief narrative description of the work performed, including problems encountered/corrective actions and significant accomplishments</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1 narrative — 200–400 words. Anchor to scope/size/complexity similarity to CITS. Show explicit relevance to PWS task families: Tier 1 IT service desk on ServiceNow at federal scale; deskside support across multiple sites; emergency or surge capacity; OCONUS or distributed-site network engineering; ITIL/ITSM operations; total cost of ownership reduction outcomes. Quantify outcomes: SLA performance against thresholds, deflection rate achieved, ticket volume reduction, CSAT, year-over-year cost reduction. Cite specific corrective actions with what was learned and how it informs CITS delivery.]</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Dollar value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dollar value — confirm comparator size aligns to CITS (~$110M–$150M range per orientation).]</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Contract type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1 contract type — FFP, T&amp;M, hybrid, etc. CITS is hybrid FFP + T&amp;M; comparable structures preferred.]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Period of performance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POP — Section L requires last 3 years; preferred currently active or recently completed.]</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 of performance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1 place of performance]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Number and types of personnel</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headcount and LCAT mix — show scale comparable to CITS.]</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 Contact #1 — name, address, phone (COR / CO / Program POC / Project Officer)</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1 POC #1 name / address / phone / role. Section L requires two POCs per reference.]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Customer Contact #2 — name, address, phone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1 POC #2 name / address / phone / role.]</w:t>
            </w:r>
          </w:p>
        </w:tc>
      </w:tr>
    </w:tbl>
    <w:p>
      <w:pPr>
        <w:pStyle w:val="Heading2"/>
        <w:spacing w:after="100" w:before="200"/>
      </w:pPr>
      <w:r>
        <w:t xml:space="preserve">4.2 Reference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Reference 2 — required information per Section L</w:t>
            </w:r>
          </w:p>
        </w:tc>
        <w:tc>
          <w:tcPr>
            <w:tcW w:type="dxa" w:w="66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Content (to be inserted by capture lead)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number</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contract number]</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Customer/agency name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2 customer/agency. Strongest comparators per orientation are NIH and other HHS health agencies; CDC Center program work where available.]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title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contract title]</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Brief narrative description of the work performed, including problems encountered/corrective actions and significant accomplishments</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2 narrative — 200–400 words. Anchor to scope/size/complexity similarity to CITS. Show explicit relevance to PWS task families: Tier 1 IT service desk on ServiceNow at federal scale; deskside support across multiple sites; emergency or surge capacity; OCONUS or distributed-site network engineering; ITIL/ITSM operations; total cost of ownership reduction outcomes. Quantify outcomes: SLA performance against thresholds, deflection rate achieved, ticket volume reduction, CSAT, year-over-year cost reduction. Cite specific corrective actions with what was learned and how it informs CITS delivery.]</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Dollar value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dollar value — confirm comparator size aligns to CITS (~$110M–$150M range per orientation).]</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Contract type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2 contract type — FFP, T&amp;M, hybrid, etc. CITS is hybrid FFP + T&amp;M; comparable structures preferred.]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Period of performance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POP — Section L requires last 3 years; preferred currently active or recently completed.]</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 of performance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2 place of performance]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Number and types of personnel</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headcount and LCAT mix — show scale comparable to CITS.]</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 Contact #1 — name, address, phone (COR / CO / Program POC / Project Officer)</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2 POC #1 name / address / phone / role. Section L requires two POCs per reference.]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Customer Contact #2 — name, address, phone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2 POC #2 name / address / phone / role.]</w:t>
            </w:r>
          </w:p>
        </w:tc>
      </w:tr>
    </w:tbl>
    <w:p>
      <w:pPr>
        <w:pStyle w:val="Heading2"/>
        <w:spacing w:after="100" w:before="200"/>
      </w:pPr>
      <w:r>
        <w:t xml:space="preserve">4.3 Reference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Reference 3 — required information per Section L</w:t>
            </w:r>
          </w:p>
        </w:tc>
        <w:tc>
          <w:tcPr>
            <w:tcW w:type="dxa" w:w="666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Content (to be inserted by capture lead)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number</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contract number]</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Customer/agency name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3 customer/agency. Strongest comparators per orientation are NIH and other HHS health agencies; CDC Center program work where available.]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Contract title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contract title]</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Brief narrative description of the work performed, including problems encountered/corrective actions and significant accomplishments</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3 narrative — 200–400 words. Anchor to scope/size/complexity similarity to CITS. Show explicit relevance to PWS task families: Tier 1 IT service desk on ServiceNow at federal scale; deskside support across multiple sites; emergency or surge capacity; OCONUS or distributed-site network engineering; ITIL/ITSM operations; total cost of ownership reduction outcomes. Quantify outcomes: SLA performance against thresholds, deflection rate achieved, ticket volume reduction, CSAT, year-over-year cost reduction. Cite specific corrective actions with what was learned and how it informs CITS delivery.]</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Dollar value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dollar value — confirm comparator size aligns to CITS (~$110M–$150M range per orientation).]</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Contract type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3 contract type — FFP, T&amp;M, hybrid, etc. CITS is hybrid FFP + T&amp;M; comparable structures preferred.]</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Period of performance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POP — Section L requires last 3 years; preferred currently active or recently completed.]</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 of performance</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3 place of performance]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Number and types of personnel</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headcount and LCAT mix — show scale comparable to CITS.]</w:t>
            </w:r>
          </w:p>
        </w:tc>
      </w:tr>
      <w:tr>
        <w:tc>
          <w:tcPr>
            <w:tcW w:type="dxa" w:w="2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Customer Contact #1 — name, address, phone (COR / CO / Program POC / Project Officer)</w:t>
            </w:r>
          </w:p>
        </w:tc>
        <w:tc>
          <w:tcPr>
            <w:tcW w:type="dxa" w:w="6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i/>
                <w:iCs/>
                <w:color w:val="B5651D"/>
              </w:rPr>
              <w:t xml:space="preserve">[PLACEHOLDER: Reference 3 POC #1 name / address / phone / role. Section L requires two POCs per reference.]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Customer Contact #2 — name, address, phone</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i/>
                <w:iCs/>
                <w:color w:val="B5651D"/>
              </w:rPr>
              <w:t xml:space="preserve">[PLACEHOLDER: Reference 3 POC #2 name / address / phone / role.]</w:t>
            </w:r>
          </w:p>
        </w:tc>
      </w:tr>
    </w:tbl>
    <w:p>
      <w:pPr>
        <w:pStyle w:val="Heading2"/>
        <w:spacing w:after="100" w:before="200"/>
      </w:pPr>
      <w:r>
        <w:t xml:space="preserve">4.4 Relevance Crosswalk to CITS</w:t>
      </w:r>
    </w:p>
    <w:p>
      <w:pPr>
        <w:spacing w:after="80" w:before="80" w:line="276"/>
      </w:pPr>
      <w:r>
        <w:t xml:space="preserve">The crosswalk below identifies, for each PWS task family, which reference demonstrates relevant performance. This crosswalk is intended to make the suitability of our experience to CITS easy for the evaluator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rPr>
          <w:tblHeader/>
        </w:trPr>
        <w:tc>
          <w:tcPr>
            <w:tcW w:type="dxa" w:w="3120"/>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CITS PWS task / capability</w:t>
            </w:r>
          </w:p>
        </w:tc>
        <w:tc>
          <w:tcPr>
            <w:tcW w:type="dxa" w:w="1872"/>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 1</w:t>
            </w:r>
          </w:p>
        </w:tc>
        <w:tc>
          <w:tcPr>
            <w:tcW w:type="dxa" w:w="1872"/>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 2</w:t>
            </w:r>
          </w:p>
        </w:tc>
        <w:tc>
          <w:tcPr>
            <w:tcW w:type="dxa" w:w="2496"/>
            <w:tcBorders>
              <w:top w:val="single" w:color="999999" w:sz="4"/>
              <w:left w:val="single" w:color="999999" w:sz="4"/>
              <w:bottom w:val="single" w:color="999999" w:sz="4"/>
              <w:right w:val="single" w:color="999999" w:sz="4"/>
            </w:tcBorders>
            <w:shd w:fill="1F4E5F" w:color="auto" w:val="clear"/>
            <w:tcMar>
              <w:top w:type="dxa" w:w="80"/>
              <w:left w:type="dxa" w:w="120"/>
              <w:bottom w:type="dxa" w:w="80"/>
              <w:right w:type="dxa" w:w="120"/>
            </w:tcMar>
          </w:tcPr>
          <w:p>
            <w:r>
              <w:rPr>
                <w:b/>
                <w:bCs/>
                <w:color w:val="FFFFFF"/>
              </w:rPr>
              <w:t xml:space="preserve">Ref 3</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 1.1 ITSDS — Tier 1 contact center on ServiceNow</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Task 1.2 DSS — Tier 2 deskside, multi-site</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 1.3 EPS/FSS — surge / 24×7 / field deployment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Task 2.1 GA — OCONUS / distributed-site engineering</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 3.1 PMS — federal program management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Task 8 — IAM / endpoint / remote access</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Task 10 — M365 / collaboration / reporting</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ITIL/ITSM discipline; QCP; QASP-style metrics</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TCO reduction outcomes — quantified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[PLACEHOLDER]</w:t>
            </w:r>
          </w:p>
        </w:tc>
      </w:tr>
      <w:tr>
        <w:tc>
          <w:tcPr>
            <w:tcW w:type="dxa" w:w="312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Transition with no service interruption</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1872"/>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c>
          <w:tcPr>
            <w:tcW w:type="dxa" w:w="2496"/>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t xml:space="preserve">[PLACEHOLDER]</w:t>
            </w:r>
          </w:p>
        </w:tc>
      </w:tr>
    </w:tbl>
    <w:p>
      <w:pPr>
        <w:pStyle w:val="Heading1"/>
        <w:spacing w:after="120" w:before="240"/>
      </w:pPr>
      <w:r>
        <w:t xml:space="preserve">Clarifying Questions for Internal Review</w:t>
      </w:r>
    </w:p>
    <w:p>
      <w:pPr>
        <w:spacing w:after="80" w:before="80" w:line="276"/>
      </w:pPr>
      <w:r>
        <w:rPr>
          <w:b/>
          <w:bCs/>
        </w:rPr>
        <w:t xml:space="preserve">Internal note to capture team — to be removed before submission. </w:t>
      </w:r>
      <w:r>
        <w:t xml:space="preserve">Per the system-prompt clarifying-questions protocol, the following items require capture-lead decision or further information before this draft is finalized for color-team review.</w:t>
      </w:r>
    </w:p>
    <w:p>
      <w:pPr>
        <w:spacing w:after="80" w:before="80" w:line="276"/>
      </w:pPr>
      <w:r>
        <w:rPr>
          <w:b/>
          <w:bCs/>
        </w:rPr>
        <w:t xml:space="preserve">Q1 — Set-aside status. </w:t>
      </w:r>
      <w:r>
        <w:t xml:space="preserve">The orientation flags ambiguity in the SF-18 cover-page checkbox versus body-language treatment of set-aside. This affects basis of competition. Submit clarification to CO by May 12.</w:t>
      </w:r>
    </w:p>
    <w:p>
      <w:pPr>
        <w:spacing w:after="80" w:before="80" w:line="276"/>
      </w:pPr>
      <w:r>
        <w:rPr>
          <w:b/>
          <w:bCs/>
        </w:rPr>
        <w:t xml:space="preserve">Q2 — Staffing matrix and resume page count. </w:t>
      </w:r>
      <w:r>
        <w:t xml:space="preserve">Section L states the technical volume shall not exceed 35 pages and excludes the DHHS Section 508 Product Assessment Template. It does not explicitly address whether the staffing matrix and Key Personnel resumes count toward the 35-page limit. Industry practice (and the prior-RFP precedent) treats them as appendix material excluded from the page count. Submit clarification to CO by May 12 to confirm before final layout. (Section reference: page 145 of the RFQ, Section L proposal format.)</w:t>
      </w:r>
    </w:p>
    <w:p>
      <w:pPr>
        <w:spacing w:after="80" w:before="80" w:line="276"/>
      </w:pPr>
      <w:r>
        <w:rPr>
          <w:b/>
          <w:bCs/>
        </w:rPr>
        <w:t xml:space="preserve">Q3 — AI products definition. </w:t>
      </w:r>
      <w:r>
        <w:t xml:space="preserve">Section L prohibits AI products in the proposal and in performance after award (except CDC-provided/approved). PWS Subsection 3.2.5 names artificial intelligence as an example of innovative technology to improve operations. We have written the technical approach to ServiceNow-native automation, RPA, and CDC-approved capabilities only. Submit clarification to CO: Does ServiceNow Virtual Agent (a ServiceNow platform feature CDC may already license) qualify as a CDC-provided/approved capability that can be referenced in our solution narrative? Does ServiceNow Predictive Intelligence? This materially affects how we frame Task 1.1 deflection. (Section reference: page 145, last paragraph.)</w:t>
      </w:r>
    </w:p>
    <w:p>
      <w:pPr>
        <w:spacing w:after="80" w:before="80" w:line="276"/>
      </w:pPr>
      <w:r>
        <w:rPr>
          <w:b/>
          <w:bCs/>
        </w:rPr>
        <w:t xml:space="preserve">Q4 — Naming subcontractors in Volume I. </w:t>
      </w:r>
      <w:r>
        <w:t xml:space="preserve">Per system-prompt protest-defensibility guidance and Deloitte standard practice, named subs require written approval before appearing in the technical narrative. Confirm whether subcontractors are named explicitly in Volume I or referenced generically in Volume I and named in Volume II. Current draft uses generic 'subcontractor team' references with placeholders.</w:t>
      </w:r>
    </w:p>
    <w:p>
      <w:pPr>
        <w:spacing w:after="80" w:before="80" w:line="276"/>
      </w:pPr>
      <w:r>
        <w:rPr>
          <w:b/>
          <w:bCs/>
        </w:rPr>
        <w:t xml:space="preserve">Q5 — Past Performance volume. </w:t>
      </w:r>
      <w:r>
        <w:t xml:space="preserve">Section L identifies four evaluation factors (Technical Approach, Staffing Plan, Management Approach, Similar Experience). Past Performance is evaluated separately on a pass/fail basis via CPARS. The orientation describes 'Two volumes: Volume I Technical and Volume II Business' — there is no separate Past Performance volume in this RFQ structure. Confirm: Past Performance is satisfied via CPARS lookup by the Government with no separately-submitted past performance volume from us, while Similar Experience (the three references) lives within Volume I. (Section reference: orientation Compliance summary; RFQ Section L Evaluation Factors and Volume I/II structure.)</w:t>
      </w:r>
    </w:p>
    <w:p>
      <w:pPr>
        <w:spacing w:after="80" w:before="80" w:line="276"/>
      </w:pPr>
      <w:r>
        <w:rPr>
          <w:b/>
          <w:bCs/>
        </w:rPr>
        <w:t xml:space="preserve">Q6 — Win-theme threading review. </w:t>
      </w:r>
      <w:r>
        <w:t xml:space="preserve">Capture lead to confirm: this draft threads the orientation's governing POV ('keep what works, deflect demand, modernize capabilities') and the executive win themes (fresh leadership without disruption, operational stability first, embedded CIO engagement, flexibility amid HHS uncertainty, continuity of trusted talent, ServiceNow-native automation, delivery-center-based teams, HCD embedded). HCD specifically is referenced in customer service / quality discipline sections but is not made a separate marketing chapter — consistent with orientation guidance to embed HCD rather than bolt it on. Confirm whether Mary Peck's CXO elevation should be referenced more explicitly anywhere in the volume.</w:t>
      </w:r>
    </w:p>
    <w:p>
      <w:pPr>
        <w:spacing w:after="80" w:before="80" w:line="276"/>
      </w:pPr>
      <w:r>
        <w:rPr>
          <w:b/>
          <w:bCs/>
        </w:rPr>
        <w:t xml:space="preserve">Q7 — Persona stress-test. </w:t>
      </w:r>
      <w:r>
        <w:t xml:space="preserve">Recommend running this draft through the project's two evaluator personas (Jane Doe — CDC senior leader / former CXO; John Doe — long-tenured CITS operational manager) before pink-team. Note the personas reference the prior 2025 RFP context and need refresh for 2026 details (Dynanet rather than GDIT as the continuity sub; updated $110M–$150M ceiling rather than $200M; etc.) before they are run.</w:t>
      </w:r>
    </w:p>
    <w:p>
      <w:pPr>
        <w:spacing w:after="80" w:before="80" w:line="276"/>
      </w:pPr>
      <w:r>
        <w:rPr>
          <w:b/>
          <w:bCs/>
        </w:rPr>
        <w:t xml:space="preserve">Q8 — Page-budget realism. </w:t>
      </w:r>
      <w:r>
        <w:t xml:space="preserve">Current draft text plus appendix references should fit comfortably in 35 pages at 11pt TNR with 0.75-inch margins, but final layout depends on Q2 (staffing matrix / resumes excluded?) and how much of the Similar Experience narrative is in-line versus appendix. Recommend a layout pass once Q2 is resolved. If staffing matrix counts toward the 35 pages, the matrix moves to appendix per CO guidance and Section 2.2 narrative tightens by ~1 page.</w:t>
      </w:r>
    </w:p>
    <w:p>
      <w:pPr>
        <w:spacing w:after="80" w:before="80" w:line="276"/>
      </w:pPr>
      <w:r>
        <w:rPr>
          <w:b/>
          <w:bCs/>
        </w:rPr>
        <w:t xml:space="preserve">Q9 — Buzzword and Deloitte-first audit. </w:t>
      </w:r>
      <w:r>
        <w:t xml:space="preserve">Recommend running the project's buzzword kill-list audit and the 'Deloitte-first' lead-sentence audit before pink-team, per the Master Context Pack workflow. Current draft was written deliberately against those guidelines but a clean pass before color teams will surface anything missed.</w:t>
      </w:r>
    </w:p>
    <w:p>
      <w:pPr>
        <w:spacing w:after="80" w:before="80" w:line="276"/>
      </w:pPr>
      <w:r>
        <w:rPr>
          <w:b/>
          <w:bCs/>
        </w:rPr>
        <w:t xml:space="preserve">Q10 — Cross-volume consistency. </w:t>
      </w:r>
      <w:r>
        <w:t xml:space="preserve">Volume II Business hour build, the staffing matrix in Appendix A, and the LCAT-aligned narrative in Section 2 must be cross-checked for consistency before submission. Inconsistencies are protest fodder per the orientation's defensibility test.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5F" w:sz="6" w:space="4"/>
      </w:pBdr>
      <w:spacing w:before="60"/>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r>
      <w:rPr>
        <w:i/>
        <w:iCs/>
        <w:color w:val="555555"/>
        <w:sz w:val="18"/>
        <w:szCs w:val="18"/>
      </w:rPr>
      <w:t xml:space="preserve">  ·  CDC CITS — Submission due June 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6" w:space="4"/>
      </w:pBdr>
      <w:spacing w:after="60"/>
      <w:jc w:val="right"/>
    </w:pPr>
    <w:r>
      <w:rPr>
        <w:i/>
        <w:iCs/>
        <w:color w:val="555555"/>
        <w:sz w:val="18"/>
        <w:szCs w:val="18"/>
      </w:rPr>
      <w:t xml:space="preserve">RFQ 75D301-26-Q-78845 · Volume I — Technical · </w:t>
    </w:r>
    <w:r>
      <w:rPr>
        <w:i/>
        <w:iCs/>
        <w:color w:val="B5651D"/>
        <w:sz w:val="18"/>
        <w:szCs w:val="18"/>
      </w:rPr>
      <w:t xml:space="preserve">[Deloitte legal 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5F"/>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4E5F"/>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CITS RFQ 75D301-26-Q-78845 — Volume I Technical</dc:title>
  <dc:creator>Deloitte GPS Proposal Team</dc:creator>
  <dc:description>Volume I draft for CDC CITS recompete; submission due June 1, 2026</dc:description>
  <cp:lastModifiedBy>Un-named</cp:lastModifiedBy>
  <cp:revision>1</cp:revision>
  <dcterms:created xsi:type="dcterms:W3CDTF">2026-05-07T19:59:02.708Z</dcterms:created>
  <dcterms:modified xsi:type="dcterms:W3CDTF">2026-05-07T19:59:02.708Z</dcterms:modified>
</cp:coreProperties>
</file>

<file path=docProps/custom.xml><?xml version="1.0" encoding="utf-8"?>
<Properties xmlns="http://schemas.openxmlformats.org/officeDocument/2006/custom-properties" xmlns:vt="http://schemas.openxmlformats.org/officeDocument/2006/docPropsVTypes"/>
</file>