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VOLUME I — TECHNICAL VOLUME</w:t>
      </w:r>
    </w:p>
    <w:p>
      <w:pPr>
        <w:jc w:val="center"/>
      </w:pPr>
      <w:r>
        <w:rPr>
          <w:b/>
          <w:sz w:val="24"/>
        </w:rPr>
        <w:t>RFQ 75D301-26-Q-78845 — CDC Customer Information Technology Support (CITS)</w:t>
      </w:r>
    </w:p>
    <w:p>
      <w:pPr>
        <w:jc w:val="center"/>
      </w:pPr>
      <w:r>
        <w:rPr>
          <w:i/>
        </w:rPr>
        <w:t xml:space="preserve">Submitted by </w:t>
      </w:r>
      <w:r>
        <w:rPr>
          <w:i/>
        </w:rPr>
        <w:t>[PLACEHOLDER: Prime legal entity as registered for Alliant 2] · [PLACEHOLDER: CAGE code, UEI] · Submission date: June 1, 2026</w:t>
      </w:r>
    </w:p>
    <w:p/>
    <w:p>
      <w:pPr>
        <w:pStyle w:val="Heading1"/>
      </w:pPr>
      <w:r>
        <w:t>1. Technical Approach</w:t>
      </w:r>
    </w:p>
    <w:p>
      <w:pPr/>
      <w:r>
        <w:t>Our governing approach to CITS: keep what works, deflect demand, and modernize where it pays back. CDC's IT customer support model — a tiered ITSM service-delivery structure built on ServiceNow, ITIL, and PMBOK — is sound. The opportunity is not to replace it. It is to take excess demand out of the system, automate the repetitive work that fills technicians' queues today, and direct human attention to the work where human attention matters: emergency response, scientific computing, global health field deployments, and OCONUS network restoration. This Technical Volume describes how we will assume performance, sustain CDC's published service levels from day one, and deliver consistent total cost of ownership (TCO) reduction across the period of performance. We address each task in the Performance Work Statement (PWS), identify the operational baseline we will inherit, name the specific automation and workflow improvements we will pursue, set quantified targets, and identify the risks and dependencies the Government should expect us to manage.</w:t>
      </w:r>
    </w:p>
    <w:p>
      <w:pPr/>
      <w:r>
        <w:t>This volume is organized to mirror the evaluation structure in Section E. Section 1 is our Technical Approach, organized as a reading of the requirement (1.1), a Work Plan with milestones (1.2), task-by-task approaches (1.3), the cross-cutting service disciplines (1.4) including Human-Centered Design (HCD) as our operating model, Section 508 accessibility (1.5), cybersecurity and compliance posture (1.6), three test-and-learn pilots scoped to the demand profile (1.7), and a quantified automation and deflection roadmap with year-over-year targets (1.8). Section 2 is the Staffing Plan. Section 3 is the Management Approach including the draft Quality Control Plan, draft Transition-In and Transition-Out Plans, and the GFE accountability approach. Section 4 is Similar Experience.</w:t>
      </w:r>
    </w:p>
    <w:p>
      <w:pPr>
        <w:pStyle w:val="Heading2"/>
      </w:pPr>
      <w:r>
        <w:t>1.1 Understanding of the Requirement and Operational Baseline</w:t>
      </w:r>
    </w:p>
    <w:p>
      <w:pPr/>
      <w:r>
        <w:t>CDC OCIO supports approximately 28,000 personnel globally — including approximately 1,275 OCIO contractors and 375 federal employees — across CONUS and OCONUS sites, ranging from the Roybal and Chamblee campuses in Atlanta to roughly 60 international Global Health Center locations and Field Site Service postings. The published incident and task data in PWS Section 4 are the operational baseline we will inherit on day one. Tables 3 and 4 of the PWS show that, between October 2023 and December 2024, CDC processed approximately 42,000 incidents and 27,000 tasks. The shape of that volume is consequential and it directs where automation pays back.</w:t>
      </w:r>
    </w:p>
    <w:p>
      <w:pPr/>
      <w:r>
        <w:t>Table 1.1-A. Demand profile (CDC-published, Oct 2023 – Dec 2024).</w:t>
      </w:r>
    </w:p>
    <w:tbl>
      <w:tblPr>
        <w:tblStyle w:val="LightGrid-Accent1"/>
        <w:tblW w:type="auto" w:w="0"/>
        <w:tblLook w:firstColumn="1" w:firstRow="1" w:lastColumn="0" w:lastRow="0" w:noHBand="0" w:noVBand="1" w:val="04A0"/>
      </w:tblPr>
      <w:tblGrid>
        <w:gridCol w:w="2520"/>
        <w:gridCol w:w="2520"/>
        <w:gridCol w:w="2520"/>
        <w:gridCol w:w="2520"/>
      </w:tblGrid>
      <w:tr>
        <w:tc>
          <w:tcPr>
            <w:tcW w:type="dxa" w:w="2304"/>
            <w:shd w:val="clear" w:color="auto" w:fill="D9E1F2"/>
          </w:tcPr>
          <w:p>
            <w:r/>
            <w:r>
              <w:rPr>
                <w:b/>
                <w:sz w:val="20"/>
              </w:rPr>
              <w:t>Driver</w:t>
            </w:r>
          </w:p>
        </w:tc>
        <w:tc>
          <w:tcPr>
            <w:tcW w:type="dxa" w:w="1440"/>
            <w:shd w:val="clear" w:color="auto" w:fill="D9E1F2"/>
          </w:tcPr>
          <w:p>
            <w:r/>
            <w:r>
              <w:rPr>
                <w:b/>
                <w:sz w:val="20"/>
              </w:rPr>
              <w:t>Volume</w:t>
            </w:r>
          </w:p>
        </w:tc>
        <w:tc>
          <w:tcPr>
            <w:tcW w:type="dxa" w:w="1584"/>
            <w:shd w:val="clear" w:color="auto" w:fill="D9E1F2"/>
          </w:tcPr>
          <w:p>
            <w:r/>
            <w:r>
              <w:rPr>
                <w:b/>
                <w:sz w:val="20"/>
              </w:rPr>
              <w:t>% of category</w:t>
            </w:r>
          </w:p>
        </w:tc>
        <w:tc>
          <w:tcPr>
            <w:tcW w:type="dxa" w:w="3888"/>
            <w:shd w:val="clear" w:color="auto" w:fill="D9E1F2"/>
          </w:tcPr>
          <w:p>
            <w:r/>
            <w:r>
              <w:rPr>
                <w:b/>
                <w:sz w:val="20"/>
              </w:rPr>
              <w:t>Deflection / automation lever</w:t>
            </w:r>
          </w:p>
        </w:tc>
      </w:tr>
      <w:tr>
        <w:tc>
          <w:tcPr>
            <w:tcW w:type="dxa" w:w="2304"/>
          </w:tcPr>
          <w:p>
            <w:r/>
            <w:r>
              <w:rPr>
                <w:sz w:val="20"/>
              </w:rPr>
              <w:t>Network password reset</w:t>
            </w:r>
          </w:p>
        </w:tc>
        <w:tc>
          <w:tcPr>
            <w:tcW w:type="dxa" w:w="1440"/>
          </w:tcPr>
          <w:p>
            <w:r/>
            <w:r>
              <w:rPr>
                <w:sz w:val="20"/>
              </w:rPr>
              <w:t>11,459 tasks</w:t>
            </w:r>
          </w:p>
        </w:tc>
        <w:tc>
          <w:tcPr>
            <w:tcW w:type="dxa" w:w="1584"/>
          </w:tcPr>
          <w:p>
            <w:r/>
            <w:r>
              <w:rPr>
                <w:sz w:val="20"/>
              </w:rPr>
              <w:t>41.8% of tasks</w:t>
            </w:r>
          </w:p>
        </w:tc>
        <w:tc>
          <w:tcPr>
            <w:tcW w:type="dxa" w:w="3888"/>
          </w:tcPr>
          <w:p>
            <w:r/>
            <w:r>
              <w:rPr>
                <w:sz w:val="20"/>
              </w:rPr>
              <w:t>ServiceNow Virtual Agent self-service + audited reset workflow</w:t>
            </w:r>
          </w:p>
        </w:tc>
      </w:tr>
      <w:tr>
        <w:tc>
          <w:tcPr>
            <w:tcW w:type="dxa" w:w="2304"/>
          </w:tcPr>
          <w:p>
            <w:r/>
            <w:r>
              <w:rPr>
                <w:sz w:val="20"/>
              </w:rPr>
              <w:t>UserID provisioning (rules met)</w:t>
            </w:r>
          </w:p>
        </w:tc>
        <w:tc>
          <w:tcPr>
            <w:tcW w:type="dxa" w:w="1440"/>
          </w:tcPr>
          <w:p>
            <w:r/>
            <w:r>
              <w:rPr>
                <w:sz w:val="20"/>
              </w:rPr>
              <w:t>6,137 tasks</w:t>
            </w:r>
          </w:p>
        </w:tc>
        <w:tc>
          <w:tcPr>
            <w:tcW w:type="dxa" w:w="1584"/>
          </w:tcPr>
          <w:p>
            <w:r/>
            <w:r>
              <w:rPr>
                <w:sz w:val="20"/>
              </w:rPr>
              <w:t>22.4% of tasks</w:t>
            </w:r>
          </w:p>
        </w:tc>
        <w:tc>
          <w:tcPr>
            <w:tcW w:type="dxa" w:w="3888"/>
          </w:tcPr>
          <w:p>
            <w:r/>
            <w:r>
              <w:rPr>
                <w:sz w:val="20"/>
              </w:rPr>
              <w:t>Templated request, conditional approval, automated fulfillment</w:t>
            </w:r>
          </w:p>
        </w:tc>
      </w:tr>
      <w:tr>
        <w:tc>
          <w:tcPr>
            <w:tcW w:type="dxa" w:w="2304"/>
          </w:tcPr>
          <w:p>
            <w:r/>
            <w:r>
              <w:rPr>
                <w:sz w:val="20"/>
              </w:rPr>
              <w:t>PIV card exception request</w:t>
            </w:r>
          </w:p>
        </w:tc>
        <w:tc>
          <w:tcPr>
            <w:tcW w:type="dxa" w:w="1440"/>
          </w:tcPr>
          <w:p>
            <w:r/>
            <w:r>
              <w:rPr>
                <w:sz w:val="20"/>
              </w:rPr>
              <w:t>3,087 tasks</w:t>
            </w:r>
          </w:p>
        </w:tc>
        <w:tc>
          <w:tcPr>
            <w:tcW w:type="dxa" w:w="1584"/>
          </w:tcPr>
          <w:p>
            <w:r/>
            <w:r>
              <w:rPr>
                <w:sz w:val="20"/>
              </w:rPr>
              <w:t>11.3% of tasks</w:t>
            </w:r>
          </w:p>
        </w:tc>
        <w:tc>
          <w:tcPr>
            <w:tcW w:type="dxa" w:w="3888"/>
          </w:tcPr>
          <w:p>
            <w:r/>
            <w:r>
              <w:rPr>
                <w:sz w:val="20"/>
              </w:rPr>
              <w:t>Workflow automation + RPA for repetitive verification steps</w:t>
            </w:r>
          </w:p>
        </w:tc>
      </w:tr>
      <w:tr>
        <w:tc>
          <w:tcPr>
            <w:tcW w:type="dxa" w:w="2304"/>
          </w:tcPr>
          <w:p>
            <w:r/>
            <w:r>
              <w:rPr>
                <w:sz w:val="20"/>
              </w:rPr>
              <w:t>Outlook incidents</w:t>
            </w:r>
          </w:p>
        </w:tc>
        <w:tc>
          <w:tcPr>
            <w:tcW w:type="dxa" w:w="1440"/>
          </w:tcPr>
          <w:p>
            <w:r/>
            <w:r>
              <w:rPr>
                <w:sz w:val="20"/>
              </w:rPr>
              <w:t>4,357 incidents</w:t>
            </w:r>
          </w:p>
        </w:tc>
        <w:tc>
          <w:tcPr>
            <w:tcW w:type="dxa" w:w="1584"/>
          </w:tcPr>
          <w:p>
            <w:r/>
            <w:r>
              <w:rPr>
                <w:sz w:val="20"/>
              </w:rPr>
              <w:t>10.3% of incidents</w:t>
            </w:r>
          </w:p>
        </w:tc>
        <w:tc>
          <w:tcPr>
            <w:tcW w:type="dxa" w:w="3888"/>
          </w:tcPr>
          <w:p>
            <w:r/>
            <w:r>
              <w:rPr>
                <w:sz w:val="20"/>
              </w:rPr>
              <w:t>Plain-language KB articles + Tier-1 macros</w:t>
            </w:r>
          </w:p>
        </w:tc>
      </w:tr>
      <w:tr>
        <w:tc>
          <w:tcPr>
            <w:tcW w:type="dxa" w:w="2304"/>
          </w:tcPr>
          <w:p>
            <w:r/>
            <w:r>
              <w:rPr>
                <w:sz w:val="20"/>
              </w:rPr>
              <w:t>Laptop incidents</w:t>
            </w:r>
          </w:p>
        </w:tc>
        <w:tc>
          <w:tcPr>
            <w:tcW w:type="dxa" w:w="1440"/>
          </w:tcPr>
          <w:p>
            <w:r/>
            <w:r>
              <w:rPr>
                <w:sz w:val="20"/>
              </w:rPr>
              <w:t>3,590 incidents</w:t>
            </w:r>
          </w:p>
        </w:tc>
        <w:tc>
          <w:tcPr>
            <w:tcW w:type="dxa" w:w="1584"/>
          </w:tcPr>
          <w:p>
            <w:r/>
            <w:r>
              <w:rPr>
                <w:sz w:val="20"/>
              </w:rPr>
              <w:t>8.5% of incidents</w:t>
            </w:r>
          </w:p>
        </w:tc>
        <w:tc>
          <w:tcPr>
            <w:tcW w:type="dxa" w:w="3888"/>
          </w:tcPr>
          <w:p>
            <w:r/>
            <w:r>
              <w:rPr>
                <w:sz w:val="20"/>
              </w:rPr>
              <w:t>Zero-touch refresh + Dell Command + MECM compliance</w:t>
            </w:r>
          </w:p>
        </w:tc>
      </w:tr>
      <w:tr>
        <w:tc>
          <w:tcPr>
            <w:tcW w:type="dxa" w:w="2304"/>
          </w:tcPr>
          <w:p>
            <w:r/>
            <w:r>
              <w:rPr>
                <w:sz w:val="20"/>
              </w:rPr>
              <w:t>Smart Card / MFA / VDI</w:t>
            </w:r>
          </w:p>
        </w:tc>
        <w:tc>
          <w:tcPr>
            <w:tcW w:type="dxa" w:w="1440"/>
          </w:tcPr>
          <w:p>
            <w:r/>
            <w:r>
              <w:rPr>
                <w:sz w:val="20"/>
              </w:rPr>
              <w:t>~7,200 incidents</w:t>
            </w:r>
          </w:p>
        </w:tc>
        <w:tc>
          <w:tcPr>
            <w:tcW w:type="dxa" w:w="1584"/>
          </w:tcPr>
          <w:p>
            <w:r/>
            <w:r>
              <w:rPr>
                <w:sz w:val="20"/>
              </w:rPr>
              <w:t>~17% of incidents</w:t>
            </w:r>
          </w:p>
        </w:tc>
        <w:tc>
          <w:tcPr>
            <w:tcW w:type="dxa" w:w="3888"/>
          </w:tcPr>
          <w:p>
            <w:r/>
            <w:r>
              <w:rPr>
                <w:sz w:val="20"/>
              </w:rPr>
              <w:t>KB + Predictive Intelligence assignment + Zscaler/Azure runbooks</w:t>
            </w:r>
          </w:p>
        </w:tc>
      </w:tr>
    </w:tbl>
    <w:p>
      <w:pPr/>
      <w:r>
        <w:t>These six categories represent more than three quarters of total inbound volume. Our technical approach is calibrated to that distribution. We do not attempt uniform automation across all task categories; we sequence improvements where the operational return is largest and where ServiceNow-native workflow and knowledge management already provide the platform.</w:t>
      </w:r>
    </w:p>
    <w:p>
      <w:pPr/>
      <w:r>
        <w:rPr>
          <w:b/>
        </w:rPr>
        <w:t>Constraints we are designing around.</w:t>
      </w:r>
      <w:r>
        <w:t xml:space="preserve"> Three constraints set the boundary on how we approach this scope. First, ServiceNow is CDC's platform of record for ITSM, and CDC will continue to provide it; we build on it rather than around it. Second, the Section E proposal preparation instructions prohibit AI products in this proposal and prohibit the use of AI products after award except those explicitly provided, approved, and made available by CDC. Our Work Plan therefore relies on ServiceNow workflow, ServiceNow Virtual Agent, knowledge management, robotic process automation (RPA), and ServiceNow-native analytics. Where future CDC-approved capabilities expand the available toolset, our continuous-improvement cadence will incorporate them on CDC's authority. Third, the Customer Service Survey performance metric (96% or greater per PWS Section 9) and the Customer Personnel Availability metric (80% minimum daily) discipline how we sequence change. We do not run pilots or transformations that put either metric at risk.</w:t>
      </w:r>
    </w:p>
    <w:p>
      <w:pPr/>
      <w:r>
        <w:rPr>
          <w:b/>
        </w:rPr>
        <w:t>Three challenges we anticipate, with how we will address them.</w:t>
      </w:r>
      <w:r>
        <w:t xml:space="preserve"> First, demand surge during public health emergencies — the EOC support model and Field Site Service posture in PWS Task 1.3 cannot be staffed at peak as a baseline. Our approach uses the ServiceNow Virtual Agent for password and standard-request deflection so that human technician capacity is preserved for surge response, plus a defined cross-task surge plan from the optional Task 4.1 rapid surge staffing capability. Second, OCONUS network reliability — Global Activities under PWS Task 2.1 supports approximately 1,800 staff in roughly 60 international locations on satellite and SD-WAN links where Priority 1 outages cascade. Our approach pairs CCNA-certified engineers with regional operating procedures and documented deployment readiness so that 24-to-48 hour deployment windows are met without ad hoc mobilization. Third, knowledge fragmentation — the highest leverage in the demand profile is in deflection, and deflection requires a knowledge base that is current, findable, and maintained. Our approach treats knowledge management as an explicit, measured discipline under PWS Subsection 3.2.3 with named ownership in Task 3.1, not a residual artifact of ticket closure.</w:t>
      </w:r>
    </w:p>
    <w:p>
      <w:pPr/>
      <w:r>
        <w:rPr>
          <w:b/>
        </w:rPr>
        <w:t>Three guarantees we make to CDC.</w:t>
      </w:r>
      <w:r>
        <w:t xml:space="preserve"> Three guarantees frame everything that follows. (1) No SLA exemptions for the new contractor at performance start — we will meet Table 5 thresholds beginning September 1, 2026. (2) No new tools introduced without CDC approval — our automation runs inside ServiceNow and the Microsoft platforms CDC already owns. (3) No AI products in the proposal or in performance, except those CDC explicitly provides and approves — in compliance with Section E.</w:t>
      </w:r>
    </w:p>
    <w:p>
      <w:pPr>
        <w:pStyle w:val="Heading2"/>
      </w:pPr>
      <w:r>
        <w:t>1.2 Work Plan and Milestones</w:t>
      </w:r>
    </w:p>
    <w:p>
      <w:pPr/>
      <w:r>
        <w:t>The Work Plan correlates to the Volume II hour build and is structured to align with CDC's contractual periods of performance: a one-month transition (8/1/2026 – 8/31/2026) priced firm-fixed-price, a five-month base period (9/1/2026 – 1/31/2027) priced time-and-materials, four 12-month options, and a six-month extension priced for evaluation under FAR 52.217-8. The milestone chart in Figure 1.2-A summarizes the sequence; Table 1.2-B identifies the contractual milestones, deliverables, and decision gates with named owners.</w:t>
      </w:r>
    </w:p>
    <w:p>
      <w:r>
        <w:rPr>
          <w:i/>
          <w:color w:val="707070"/>
        </w:rPr>
        <w:t>[PLACEHOLDER: Insert Figure 1.2-A — Master Milestone Chart. Proposal graphics team to render Gantt-style timeline showing Transition, Base, and Option Periods 1–4 with vertical milestone markers, decision gates, key personnel onboarding waves, and pilot windows. Visual replaces 1–2 paragraphs of dense prose and supports Section E (1)(b) requirement for milestone charts.]</w:t>
      </w:r>
    </w:p>
    <w:p>
      <w:pPr/>
      <w:r>
        <w:t>Table 1.2-B. Contractual milestones, deliverables, and decision gates.</w:t>
      </w:r>
    </w:p>
    <w:tbl>
      <w:tblPr>
        <w:tblStyle w:val="LightGrid-Accent1"/>
        <w:tblW w:type="auto" w:w="0"/>
        <w:tblLook w:firstColumn="1" w:firstRow="1" w:lastColumn="0" w:lastRow="0" w:noHBand="0" w:noVBand="1" w:val="04A0"/>
      </w:tblPr>
      <w:tblGrid>
        <w:gridCol w:w="2520"/>
        <w:gridCol w:w="2520"/>
        <w:gridCol w:w="2520"/>
        <w:gridCol w:w="2520"/>
      </w:tblGrid>
      <w:tr>
        <w:tc>
          <w:tcPr>
            <w:tcW w:type="dxa" w:w="1440"/>
            <w:shd w:val="clear" w:color="auto" w:fill="D9E1F2"/>
          </w:tcPr>
          <w:p>
            <w:r/>
            <w:r>
              <w:rPr>
                <w:b/>
                <w:sz w:val="20"/>
              </w:rPr>
              <w:t>Window</w:t>
            </w:r>
          </w:p>
        </w:tc>
        <w:tc>
          <w:tcPr>
            <w:tcW w:type="dxa" w:w="3744"/>
            <w:shd w:val="clear" w:color="auto" w:fill="D9E1F2"/>
          </w:tcPr>
          <w:p>
            <w:r/>
            <w:r>
              <w:rPr>
                <w:b/>
                <w:sz w:val="20"/>
              </w:rPr>
              <w:t>Milestone / Deliverable</w:t>
            </w:r>
          </w:p>
        </w:tc>
        <w:tc>
          <w:tcPr>
            <w:tcW w:type="dxa" w:w="2016"/>
            <w:shd w:val="clear" w:color="auto" w:fill="D9E1F2"/>
          </w:tcPr>
          <w:p>
            <w:r/>
            <w:r>
              <w:rPr>
                <w:b/>
                <w:sz w:val="20"/>
              </w:rPr>
              <w:t>PWS / Section</w:t>
            </w:r>
          </w:p>
        </w:tc>
        <w:tc>
          <w:tcPr>
            <w:tcW w:type="dxa" w:w="2016"/>
            <w:shd w:val="clear" w:color="auto" w:fill="D9E1F2"/>
          </w:tcPr>
          <w:p>
            <w:r/>
            <w:r>
              <w:rPr>
                <w:b/>
                <w:sz w:val="20"/>
              </w:rPr>
              <w:t>Owner</w:t>
            </w:r>
          </w:p>
        </w:tc>
      </w:tr>
      <w:tr>
        <w:tc>
          <w:tcPr>
            <w:tcW w:type="dxa" w:w="1440"/>
          </w:tcPr>
          <w:p>
            <w:r/>
            <w:r>
              <w:rPr>
                <w:sz w:val="20"/>
              </w:rPr>
              <w:t>Award + 5 BD</w:t>
            </w:r>
          </w:p>
        </w:tc>
        <w:tc>
          <w:tcPr>
            <w:tcW w:type="dxa" w:w="3744"/>
          </w:tcPr>
          <w:p>
            <w:r/>
            <w:r>
              <w:rPr>
                <w:sz w:val="20"/>
              </w:rPr>
              <w:t>Post-award kickoff convened with CO/COR and Technical Monitors</w:t>
            </w:r>
          </w:p>
        </w:tc>
        <w:tc>
          <w:tcPr>
            <w:tcW w:type="dxa" w:w="2016"/>
          </w:tcPr>
          <w:p>
            <w:r/>
            <w:r>
              <w:rPr>
                <w:sz w:val="20"/>
              </w:rPr>
              <w:t>PWS 3.1, Subtask 3.1.1</w:t>
            </w:r>
          </w:p>
        </w:tc>
        <w:tc>
          <w:tcPr>
            <w:tcW w:type="dxa" w:w="2016"/>
          </w:tcPr>
          <w:p>
            <w:r/>
            <w:r>
              <w:rPr>
                <w:sz w:val="20"/>
              </w:rPr>
              <w:t>Program Manager</w:t>
            </w:r>
          </w:p>
        </w:tc>
      </w:tr>
      <w:tr>
        <w:tc>
          <w:tcPr>
            <w:tcW w:type="dxa" w:w="1440"/>
          </w:tcPr>
          <w:p>
            <w:r/>
            <w:r>
              <w:rPr>
                <w:sz w:val="20"/>
              </w:rPr>
              <w:t>Award + 10 BD</w:t>
            </w:r>
          </w:p>
        </w:tc>
        <w:tc>
          <w:tcPr>
            <w:tcW w:type="dxa" w:w="3744"/>
          </w:tcPr>
          <w:p>
            <w:r/>
            <w:r>
              <w:rPr>
                <w:sz w:val="20"/>
              </w:rPr>
              <w:t>On-call rotation schedules; Transition Plan v1; QCP draft v1</w:t>
            </w:r>
          </w:p>
        </w:tc>
        <w:tc>
          <w:tcPr>
            <w:tcW w:type="dxa" w:w="2016"/>
          </w:tcPr>
          <w:p>
            <w:r/>
            <w:r>
              <w:rPr>
                <w:sz w:val="20"/>
              </w:rPr>
              <w:t>PWS §8 deliverables</w:t>
            </w:r>
          </w:p>
        </w:tc>
        <w:tc>
          <w:tcPr>
            <w:tcW w:type="dxa" w:w="2016"/>
          </w:tcPr>
          <w:p>
            <w:r/>
            <w:r>
              <w:rPr>
                <w:sz w:val="20"/>
              </w:rPr>
              <w:t>PM / QC Lead</w:t>
            </w:r>
          </w:p>
        </w:tc>
      </w:tr>
      <w:tr>
        <w:tc>
          <w:tcPr>
            <w:tcW w:type="dxa" w:w="1440"/>
          </w:tcPr>
          <w:p>
            <w:r/>
            <w:r>
              <w:rPr>
                <w:sz w:val="20"/>
              </w:rPr>
              <w:t>Transition (Aug)</w:t>
            </w:r>
          </w:p>
        </w:tc>
        <w:tc>
          <w:tcPr>
            <w:tcW w:type="dxa" w:w="3744"/>
          </w:tcPr>
          <w:p>
            <w:r/>
            <w:r>
              <w:rPr>
                <w:sz w:val="20"/>
              </w:rPr>
              <w:t>Knowledge transfer; ServiceNow shadowing; GFE inventory walk-down</w:t>
            </w:r>
          </w:p>
        </w:tc>
        <w:tc>
          <w:tcPr>
            <w:tcW w:type="dxa" w:w="2016"/>
          </w:tcPr>
          <w:p>
            <w:r/>
            <w:r>
              <w:rPr>
                <w:sz w:val="20"/>
              </w:rPr>
              <w:t>PWS 3.1.2; §5 GFE</w:t>
            </w:r>
          </w:p>
        </w:tc>
        <w:tc>
          <w:tcPr>
            <w:tcW w:type="dxa" w:w="2016"/>
          </w:tcPr>
          <w:p>
            <w:r/>
            <w:r>
              <w:rPr>
                <w:sz w:val="20"/>
              </w:rPr>
              <w:t>Transition-In PM</w:t>
            </w:r>
          </w:p>
        </w:tc>
      </w:tr>
      <w:tr>
        <w:tc>
          <w:tcPr>
            <w:tcW w:type="dxa" w:w="1440"/>
          </w:tcPr>
          <w:p>
            <w:r/>
            <w:r>
              <w:rPr>
                <w:sz w:val="20"/>
              </w:rPr>
              <w:t>Sep 1, 2026</w:t>
            </w:r>
          </w:p>
        </w:tc>
        <w:tc>
          <w:tcPr>
            <w:tcW w:type="dxa" w:w="3744"/>
          </w:tcPr>
          <w:p>
            <w:r/>
            <w:r>
              <w:rPr>
                <w:sz w:val="20"/>
              </w:rPr>
              <w:t>Full performance start. SLAs apply at Table 5 thresholds, no exemptions</w:t>
            </w:r>
          </w:p>
        </w:tc>
        <w:tc>
          <w:tcPr>
            <w:tcW w:type="dxa" w:w="2016"/>
          </w:tcPr>
          <w:p>
            <w:r/>
            <w:r>
              <w:rPr>
                <w:sz w:val="20"/>
              </w:rPr>
              <w:t>PWS §9</w:t>
            </w:r>
          </w:p>
        </w:tc>
        <w:tc>
          <w:tcPr>
            <w:tcW w:type="dxa" w:w="2016"/>
          </w:tcPr>
          <w:p>
            <w:r/>
            <w:r>
              <w:rPr>
                <w:sz w:val="20"/>
              </w:rPr>
              <w:t>PM / Task Leads</w:t>
            </w:r>
          </w:p>
        </w:tc>
      </w:tr>
      <w:tr>
        <w:tc>
          <w:tcPr>
            <w:tcW w:type="dxa" w:w="1440"/>
          </w:tcPr>
          <w:p>
            <w:r/>
            <w:r>
              <w:rPr>
                <w:sz w:val="20"/>
              </w:rPr>
              <w:t>Award + 30 cal.</w:t>
            </w:r>
          </w:p>
        </w:tc>
        <w:tc>
          <w:tcPr>
            <w:tcW w:type="dxa" w:w="3744"/>
          </w:tcPr>
          <w:p>
            <w:r/>
            <w:r>
              <w:rPr>
                <w:sz w:val="20"/>
              </w:rPr>
              <w:t>Final QCP submitted to CO</w:t>
            </w:r>
          </w:p>
        </w:tc>
        <w:tc>
          <w:tcPr>
            <w:tcW w:type="dxa" w:w="2016"/>
          </w:tcPr>
          <w:p>
            <w:r/>
            <w:r>
              <w:rPr>
                <w:sz w:val="20"/>
              </w:rPr>
              <w:t>PWS §9.1</w:t>
            </w:r>
          </w:p>
        </w:tc>
        <w:tc>
          <w:tcPr>
            <w:tcW w:type="dxa" w:w="2016"/>
          </w:tcPr>
          <w:p>
            <w:r/>
            <w:r>
              <w:rPr>
                <w:sz w:val="20"/>
              </w:rPr>
              <w:t>QC Lead</w:t>
            </w:r>
          </w:p>
        </w:tc>
      </w:tr>
      <w:tr>
        <w:tc>
          <w:tcPr>
            <w:tcW w:type="dxa" w:w="1440"/>
          </w:tcPr>
          <w:p>
            <w:r/>
            <w:r>
              <w:rPr>
                <w:sz w:val="20"/>
              </w:rPr>
              <w:t>Monthly (15th)</w:t>
            </w:r>
          </w:p>
        </w:tc>
        <w:tc>
          <w:tcPr>
            <w:tcW w:type="dxa" w:w="3744"/>
          </w:tcPr>
          <w:p>
            <w:r/>
            <w:r>
              <w:rPr>
                <w:sz w:val="20"/>
              </w:rPr>
              <w:t>Monthly Progress Report; Monthly Financial Report; In-Progress Review</w:t>
            </w:r>
          </w:p>
        </w:tc>
        <w:tc>
          <w:tcPr>
            <w:tcW w:type="dxa" w:w="2016"/>
          </w:tcPr>
          <w:p>
            <w:r/>
            <w:r>
              <w:rPr>
                <w:sz w:val="20"/>
              </w:rPr>
              <w:t>PWS §8 Table 12</w:t>
            </w:r>
          </w:p>
        </w:tc>
        <w:tc>
          <w:tcPr>
            <w:tcW w:type="dxa" w:w="2016"/>
          </w:tcPr>
          <w:p>
            <w:r/>
            <w:r>
              <w:rPr>
                <w:sz w:val="20"/>
              </w:rPr>
              <w:t>PM</w:t>
            </w:r>
          </w:p>
        </w:tc>
      </w:tr>
      <w:tr>
        <w:tc>
          <w:tcPr>
            <w:tcW w:type="dxa" w:w="1440"/>
          </w:tcPr>
          <w:p>
            <w:r/>
            <w:r>
              <w:rPr>
                <w:sz w:val="20"/>
              </w:rPr>
              <w:t>Weekly (Wed 5pm ET)</w:t>
            </w:r>
          </w:p>
        </w:tc>
        <w:tc>
          <w:tcPr>
            <w:tcW w:type="dxa" w:w="3744"/>
          </w:tcPr>
          <w:p>
            <w:r/>
            <w:r>
              <w:rPr>
                <w:sz w:val="20"/>
              </w:rPr>
              <w:t>Weekly Status Report</w:t>
            </w:r>
          </w:p>
        </w:tc>
        <w:tc>
          <w:tcPr>
            <w:tcW w:type="dxa" w:w="2016"/>
          </w:tcPr>
          <w:p>
            <w:r/>
            <w:r>
              <w:rPr>
                <w:sz w:val="20"/>
              </w:rPr>
              <w:t>PWS §8</w:t>
            </w:r>
          </w:p>
        </w:tc>
        <w:tc>
          <w:tcPr>
            <w:tcW w:type="dxa" w:w="2016"/>
          </w:tcPr>
          <w:p>
            <w:r/>
            <w:r>
              <w:rPr>
                <w:sz w:val="20"/>
              </w:rPr>
              <w:t>PM</w:t>
            </w:r>
          </w:p>
        </w:tc>
      </w:tr>
      <w:tr>
        <w:tc>
          <w:tcPr>
            <w:tcW w:type="dxa" w:w="1440"/>
          </w:tcPr>
          <w:p>
            <w:r/>
            <w:r>
              <w:rPr>
                <w:sz w:val="20"/>
              </w:rPr>
              <w:t>Quarterly</w:t>
            </w:r>
          </w:p>
        </w:tc>
        <w:tc>
          <w:tcPr>
            <w:tcW w:type="dxa" w:w="3744"/>
          </w:tcPr>
          <w:p>
            <w:r/>
            <w:r>
              <w:rPr>
                <w:sz w:val="20"/>
              </w:rPr>
              <w:t>Performance trend review with COR; KB review cycle; pilot exit / extend gates</w:t>
            </w:r>
          </w:p>
        </w:tc>
        <w:tc>
          <w:tcPr>
            <w:tcW w:type="dxa" w:w="2016"/>
          </w:tcPr>
          <w:p>
            <w:r/>
            <w:r>
              <w:rPr>
                <w:sz w:val="20"/>
              </w:rPr>
              <w:t>PWS 3.2.6</w:t>
            </w:r>
          </w:p>
        </w:tc>
        <w:tc>
          <w:tcPr>
            <w:tcW w:type="dxa" w:w="2016"/>
          </w:tcPr>
          <w:p>
            <w:r/>
            <w:r>
              <w:rPr>
                <w:sz w:val="20"/>
              </w:rPr>
              <w:t>PM / QC Lead</w:t>
            </w:r>
          </w:p>
        </w:tc>
      </w:tr>
      <w:tr>
        <w:tc>
          <w:tcPr>
            <w:tcW w:type="dxa" w:w="1440"/>
          </w:tcPr>
          <w:p>
            <w:r/>
            <w:r>
              <w:rPr>
                <w:sz w:val="20"/>
              </w:rPr>
              <w:t>Annually</w:t>
            </w:r>
          </w:p>
        </w:tc>
        <w:tc>
          <w:tcPr>
            <w:tcW w:type="dxa" w:w="3744"/>
          </w:tcPr>
          <w:p>
            <w:r/>
            <w:r>
              <w:rPr>
                <w:sz w:val="20"/>
              </w:rPr>
              <w:t>Wall-to-wall property inventory; cyber &amp; privacy training attestations</w:t>
            </w:r>
          </w:p>
        </w:tc>
        <w:tc>
          <w:tcPr>
            <w:tcW w:type="dxa" w:w="2016"/>
          </w:tcPr>
          <w:p>
            <w:r/>
            <w:r>
              <w:rPr>
                <w:sz w:val="20"/>
              </w:rPr>
              <w:t>PWS Task 1; §12</w:t>
            </w:r>
          </w:p>
        </w:tc>
        <w:tc>
          <w:tcPr>
            <w:tcW w:type="dxa" w:w="2016"/>
          </w:tcPr>
          <w:p>
            <w:r/>
            <w:r>
              <w:rPr>
                <w:sz w:val="20"/>
              </w:rPr>
              <w:t>ITAM Lead / Cyber Lead</w:t>
            </w:r>
          </w:p>
        </w:tc>
      </w:tr>
      <w:tr>
        <w:tc>
          <w:tcPr>
            <w:tcW w:type="dxa" w:w="1440"/>
          </w:tcPr>
          <w:p>
            <w:r/>
            <w:r>
              <w:rPr>
                <w:sz w:val="20"/>
              </w:rPr>
              <w:t>End of Option 4</w:t>
            </w:r>
          </w:p>
        </w:tc>
        <w:tc>
          <w:tcPr>
            <w:tcW w:type="dxa" w:w="3744"/>
          </w:tcPr>
          <w:p>
            <w:r/>
            <w:r>
              <w:rPr>
                <w:sz w:val="20"/>
              </w:rPr>
              <w:t>Transition-Out window (3 mo overlap if exercised under FAR 52.217-8)</w:t>
            </w:r>
          </w:p>
        </w:tc>
        <w:tc>
          <w:tcPr>
            <w:tcW w:type="dxa" w:w="2016"/>
          </w:tcPr>
          <w:p>
            <w:r/>
            <w:r>
              <w:rPr>
                <w:sz w:val="20"/>
              </w:rPr>
              <w:t>PWS 3.1.2 item 3</w:t>
            </w:r>
          </w:p>
        </w:tc>
        <w:tc>
          <w:tcPr>
            <w:tcW w:type="dxa" w:w="2016"/>
          </w:tcPr>
          <w:p>
            <w:r/>
            <w:r>
              <w:rPr>
                <w:sz w:val="20"/>
              </w:rPr>
              <w:t>Transition-Out PM</w:t>
            </w:r>
          </w:p>
        </w:tc>
      </w:tr>
    </w:tbl>
    <w:p>
      <w:pPr>
        <w:pStyle w:val="Heading2"/>
      </w:pPr>
      <w:r>
        <w:t>1.3 Approach by Task</w:t>
      </w:r>
    </w:p>
    <w:p>
      <w:pPr/>
      <w:r>
        <w:t>Each subsection below addresses a PWS task or task family. We address all required tasks and note our approach to optional tasks the Government may exercise. Tasks share a common operating model — ServiceNow as the system of record, knowledge management as a measured discipline, defined escalation paths, and named accountability — so we describe shared elements once in §1.4 and then treat each task as a delta from the common baseline. Each task subsection follows the same structure: operational baseline, operating model, automation and deflection plan, staffing and credentials, SLA performance posture, and task-specific risks with mitigations.</w:t>
      </w:r>
    </w:p>
    <w:p>
      <w:pPr>
        <w:pStyle w:val="Heading3"/>
      </w:pPr>
      <w:r>
        <w:t>1.3.1 Task 1.1 — IT ServiceDesk Services (ITSDS)</w:t>
      </w:r>
    </w:p>
    <w:p>
      <w:pPr/>
      <w:r>
        <w:rPr>
          <w:b/>
        </w:rPr>
        <w:t>Objective.</w:t>
      </w:r>
      <w:r>
        <w:t xml:space="preserve"> Multi-channel Tier 1 customer support for all CDC personnel across phone, ServiceNow portal, email, and chat. The ITSDS function carries the largest single share of inbound volume on CITS and is the gateway through which most customer experience judgments about IT support are formed. Our approach treats ITSDS as both a service operation and the primary channel for demand reduction across the whole contract.</w:t>
      </w:r>
    </w:p>
    <w:p>
      <w:pPr/>
      <w:r>
        <w:rPr>
          <w:b/>
        </w:rPr>
        <w:t>Operational baseline.</w:t>
      </w:r>
      <w:r>
        <w:t xml:space="preserve"> From PWS Section 4 and Table 3, the historical category mix is dominated by network password resets (approximately 41.8% of tasks), UserID provisioning (22.4%), PIV exception handling (11.3%), and the M365 / endpoint incident set led by Outlook, Teams, OneDrive, MFA, Zscaler, and CITGO Virtual Desktop. Roughly two-thirds of inbound task volume is, in principle, deflectable to verified self-service. The Section E ramp standard requires qualified staff within seven days of award or option start, and PWS Section 9 sets a Customer Personnel Availability minimum of 80% daily and a Customer Service Survey minimum of 96%. Those numbers are the floor — not the goal.</w:t>
      </w:r>
    </w:p>
    <w:p>
      <w:pPr/>
      <w:r>
        <w:rPr>
          <w:b/>
        </w:rPr>
        <w:t>Operating model.</w:t>
      </w:r>
      <w:r>
        <w:t xml:space="preserve"> We staff Tier 1 with a mixed labor-category model — junior, journeyman, senior, and SME — sized to the Section E historical level-of-effort table. The contact center runs on the CDC-provided NICE Virtual Contact Center (VCC) system, with ServiceNow as the single system of record for ticket data, work notes, knowledge articles, and customer satisfaction surveys. Calls and chats are triaged in ServiceNow; first-contact resolution (FCR) is the explicit team objective; warm-handoff escalation to Tier 2 follows a documented script with confirmation back to the customer. We verify ticket closure with the requester before close, in compliance with PWS Subsection 1, item j. A dedicated Service Desk Lead, supported by shift supervisors and queue managers, owns adherence, occupancy, and quality coaching as standing weekly items.</w:t>
      </w:r>
    </w:p>
    <w:p>
      <w:pPr/>
      <w:r>
        <w:rPr>
          <w:b/>
        </w:rPr>
        <w:t>Demand reduction (highest-leverage area).</w:t>
      </w:r>
      <w:r>
        <w:t xml:space="preserve"> Network password resets and provisioning together account for approximately 64% of inbound task volume. We will direct the largest share of our demand-reduction effort here through four workstreams. (1) ServiceNow Virtual Agent self-service flows for password reset, supported by audited identity verification and reset workflow, with target deflection rising from a Base-period baseline measure to 30% in OP1 and 45% by OP3 (measured as % of inbound password-reset contacts resolved without human interaction). (2) Standardized request templates for UserID provisioning that route to conditional approval and automated fulfillment where the rules are deterministic, removing manual handoffs from approximately 60% of provisioning paths. (3) Targeted knowledge articles, written in plain language and indexed for findability, that resolve the top deflectable incident types — Outlook, Teams, OneDrive, MFA — at the customer-self-service layer. Articles are owned, dated, version-controlled, and reviewed quarterly under §1.4 knowledge-management discipline, with a target Knowledge Article Currency Rate of 95% (% of articles reviewed within 90 days). (4) Predictive Intelligence-style ticket categorization within ServiceNow (using CDC-provided platform features, not vendor-introduced AI) to reduce mis-routes and shorten time-to-assignment.</w:t>
      </w:r>
    </w:p>
    <w:p>
      <w:pPr/>
      <w:r>
        <w:rPr>
          <w:b/>
        </w:rPr>
        <w:t>Staffing and credentials.</w:t>
      </w:r>
      <w:r>
        <w:t xml:space="preserve"> Tier 1 is staffed across Computer Systems Analyst (SME), Senior / Journeyman / Junior Computer User Support Specialist, with a SME ServiceNow Analyst trio and a VCC Systems Administrator under Public Trust Level 5. Hardware Repair functions inside Task 1.1 — staffed across journeyman computer hardware engineers, junior user support specialists, journeyman document management specialists, and an IT Project Manager — run intake, repair, and disposition in ServiceNow with warranty status tracking, parts-and-labor recording, and serial-number-level audit trail. ITIL certification is preferred per Section E Minimum Qualifications; the team holds ITIL coverage at supervisor and SME levels.</w:t>
      </w:r>
    </w:p>
    <w:p>
      <w:pPr/>
      <w:r>
        <w:rPr>
          <w:b/>
        </w:rPr>
        <w:t>SLA performance posture.</w:t>
      </w:r>
      <w:r>
        <w:t xml:space="preserve"> We meet PWS Section 9 thresholds from day one: monthly average speed-to-answer under two minutes, missed-call rate under 3%, error rate under 3%, Customer Personnel Availability at or above 80% daily, and Customer Service Survey at or above 96%. We propose two additional QCP metrics that go beyond the PWS thresholds: First-Contact Resolution rate (target 75% by OP1), and a Deflection Rate against deterministic categories (target 30%/45%/55% across OP1/OP2/OP3). Both are visible to the COR daily on the Task 10.5 reporting platform.</w:t>
      </w:r>
    </w:p>
    <w:p>
      <w:pPr/>
      <w:r>
        <w:rPr>
          <w:b/>
        </w:rPr>
        <w:t>Task-specific risks and mitigations.</w:t>
      </w:r>
      <w:r>
        <w:t xml:space="preserve"> Three risks dominate at Task 1.1. (1) Surge from a public health emergency — mitigated by the deflection program (which preserves human capacity), the Task 4.1 surge bench, and a documented overflow protocol with the Insight Global staffing channel. (2) Knowledge-base decay — mitigated by named article ownership, the 95% Currency Rate metric, and deflection-rate visibility (a falling deflection rate is an early signal of KB decay). (3) VCC license / subscription scope ambiguity — flagged under §3.10 conditions and assumptions; we operate to PWS Task 1.1 item 6 which indicates CDC procures the VCC subscription.</w:t>
      </w:r>
    </w:p>
    <w:p>
      <w:pPr>
        <w:pStyle w:val="Heading3"/>
      </w:pPr>
      <w:r>
        <w:t>1.3.2 Task 1.2 — Deskside Support Services (DSS)</w:t>
      </w:r>
    </w:p>
    <w:p>
      <w:pPr/>
      <w:r>
        <w:rPr>
          <w:b/>
        </w:rPr>
        <w:t>Coverage and SLA framing.</w:t>
      </w:r>
      <w:r>
        <w:t xml:space="preserve"> Tier 2 deskside support across the Atlanta campuses (Century Center, Chamblee, Corporate Square, Lawrenceville, Roybal) and the non-Atlanta Customer Support Center sites (Anchorage, Cincinnati, Ft. Collins, Hyattsville, Morgantown, Pittsburgh, San Juan, Spokane, Denver, plus DSS-assigned Washington, DC), with audio-visual support to non-Atlanta locations. We meet the OCIO Incident SLA in PWS Table 5: 15-minute assignment and 2-hour resolution at Priority 1; 30-minute assignment and 4-hour resolution at Priority 2; M-F 8 AM – 4 PM Local windows for Priorities 3 and 4, all at the 95% Achieved-Expected-Results level or higher.</w:t>
      </w:r>
    </w:p>
    <w:p>
      <w:pPr/>
      <w:r>
        <w:rPr>
          <w:b/>
        </w:rPr>
        <w:t>Service Desk Liaisons and on-site model.</w:t>
      </w:r>
      <w:r>
        <w:t xml:space="preserve"> Each campus has a dedicated Service Desk Liaison (SDL) — a Project Manager-class technician who serves as lead contractor working with the Campus Lead and Backup Campus Lead. SDLs assign incoming tickets, manage the on-hold queue with documented justifications under PWS Subsection 1.2.1 item e, and own daily ticket hygiene. SDLs are technically credentialed, not project-managers-in-name-only; technical depth is a non-negotiable selection criterion. Audio-visual support to non-Atlanta locations runs on a documented escalation path with named AV-trained technicians per region.</w:t>
      </w:r>
    </w:p>
    <w:p>
      <w:pPr/>
      <w:r>
        <w:rPr>
          <w:b/>
        </w:rPr>
        <w:t>Endpoint discipline.</w:t>
      </w:r>
      <w:r>
        <w:t xml:space="preserve"> Image deployment, patching, and update verification are run through MECM, Software Center, and device-specific update utilities (Dell Command Update Tool or equivalent), with compliance validated on the SDT Info Tool or Government-designated equivalent before re-issue. Zero-touch deployment is our objective at refresh; per PWS Subsection 1.2.1 item l, no laptop or desktop is issued without verified patch and BIOS compliance. Coordination with Task 8.1 Endpoint Management is treated as a single operating relationship — the same compliance baselines, the same change windows, the same drift-detection feedback loop.</w:t>
      </w:r>
    </w:p>
    <w:p>
      <w:pPr/>
      <w:r>
        <w:rPr>
          <w:b/>
        </w:rPr>
        <w:t>Automation and deflection plan.</w:t>
      </w:r>
      <w:r>
        <w:t xml:space="preserve"> Three workstreams reduce deskside burden. (1) Zero-touch refresh — pre-imaged, pre-patched, pre-encrypted devices delivered to the user via the Tier 1 fulfillment workflow, removing per-device touch time at refresh. Target: 80% of refreshes zero-touch by OP1, 95% by OP3. (2) Self-service software install — Software Center catalog maintained by Task 9.6 with deskside as consumer, not assembler. (3) Asset move/add/change request templates — for telework hardware swaps, AV bookings, and end-of-life pickups — that pre-stage logistics and remove deskside admin time. The Service Desk Liaisons review the DSS deflection metrics weekly and surface candidates for KB-driven Tier 1 absorption.</w:t>
      </w:r>
    </w:p>
    <w:p>
      <w:pPr/>
      <w:r>
        <w:rPr>
          <w:b/>
        </w:rPr>
        <w:t>Staffing and credentials.</w:t>
      </w:r>
      <w:r>
        <w:t xml:space="preserve"> DSS is staffed primarily by Journeyman Computer User Support Specialists with Senior and Journeyman Document Management Specialists for property and AV documentation duties, plus Junior Network Computer Systems Administrators for image and connectivity escalations. The historical level-of-effort table publishes 40 Journeyman Computer User Support Specialists across DSS — we propose an LCAT mix matched to that envelope, weighted toward Roybal and Chamblee where ticket volume concentrates. Field SDL rotations preserve campus-specific institutional knowledge.</w:t>
      </w:r>
    </w:p>
    <w:p>
      <w:pPr/>
      <w:r>
        <w:rPr>
          <w:b/>
        </w:rPr>
        <w:t>SLA performance posture.</w:t>
      </w:r>
      <w:r>
        <w:t xml:space="preserve"> We treat the 95% achieved-expected-results target as the QCP performance line. Above the PWS, we measure Mean Time to Resolution (MTTR) by priority and report it monthly; we measure Customer-Reported Reopen Rate as an early indicator of premature closure; and we measure Image Compliance Pre-Issue rate at 100% (no laptop or desktop is issued without verified patch and BIOS compliance — that is a binary metric for this contract).</w:t>
      </w:r>
    </w:p>
    <w:p>
      <w:pPr/>
      <w:r>
        <w:rPr>
          <w:b/>
        </w:rPr>
        <w:t>Task-specific risks and mitigations.</w:t>
      </w:r>
      <w:r>
        <w:t xml:space="preserve"> (1) Refresh-cycle pile-up causing throughput strain — mitigated by zero-touch refresh and stagger-by-campus scheduling. (2) Property accountability gap during high-tempo move/add/change — mitigated by Document Management Specialist coverage, ServiceNow asset linkage, and the 95% on-time delivery metric in PWS §9. (3) AV escalations at non-Atlanta sites — mitigated by named regional AV technicians, vendor playbook, and quarterly tabletop exercises.</w:t>
      </w:r>
    </w:p>
    <w:p>
      <w:pPr>
        <w:pStyle w:val="Heading3"/>
      </w:pPr>
      <w:r>
        <w:t>1.3.3 Task 1.3 — Emergency Preparedness and Field Site Services (EPS/FSS)</w:t>
      </w:r>
    </w:p>
    <w:p>
      <w:pPr/>
      <w:r>
        <w:rPr>
          <w:b/>
        </w:rPr>
        <w:t>Mission posture.</w:t>
      </w:r>
      <w:r>
        <w:t xml:space="preserve"> EPS and FSS exist for the CDC scenarios that the rest of OCIO is not designed to absorb at peak: outbreak response, Emergency Operations Center (EOC) activation, and field deployments to Port Health Stations and other partner sites. We provide 24×7 on-call coverage, EOC shift coverage during activations, exercise support, and Field Site Service technicians who can travel and remain on site for the duration of an event. EPS/FSS handles approximately 400 tickets per month historically against ORR and DEO service-level expectations that are distinct from the standard OCIO SLA.</w:t>
      </w:r>
    </w:p>
    <w:p>
      <w:pPr/>
      <w:r>
        <w:rPr>
          <w:b/>
        </w:rPr>
        <w:t>Operating model.</w:t>
      </w:r>
      <w:r>
        <w:t xml:space="preserve"> Three operating elements characterize this task. (1) On-call rotation: published schedules delivered to the COR within 10 days of award and updated quarterly per PWS Section 8, with named primary and backup for each shift. (2) EOC shift coverage during declared activations: pre-staffed roster scaled to activation level, with documented shift handoff using ServiceNow work notes and an EOC daily situation report. (3) Field Site Service technicians at FSS locations: full Property Custodial Officer (PCO) duties, annual wall-to-wall inventory, continuous ad-hoc reporting, and OCIO-standard end-of-life processing.</w:t>
      </w:r>
    </w:p>
    <w:p>
      <w:pPr/>
      <w:r>
        <w:rPr>
          <w:b/>
        </w:rPr>
        <w:t>Automation plan.</w:t>
      </w:r>
      <w:r>
        <w:t xml:space="preserve"> Automation in EPS/FSS is deliberately conservative — surge response is not where we run experiments. Two improvements pay back without putting reliability at risk. (a) An EOC Activation Runbook, embedded as a ServiceNow workflow that automatically opens the standing tickets, shift roster, escalation tree, and situation-report template within minutes of activation declaration. (b) A pre-staged FSS deployment kit checklist (hardware, satellite, comms, identity readiness, travel readiness) maintained as a living ServiceNow record and audited quarterly.</w:t>
      </w:r>
    </w:p>
    <w:p>
      <w:pPr/>
      <w:r>
        <w:rPr>
          <w:b/>
        </w:rPr>
        <w:t>Staffing and credentials.</w:t>
      </w:r>
      <w:r>
        <w:t xml:space="preserve"> Senior and Journeyman Computer User Support Specialists with embedded Journeyman IT Project Managers, all with EOC familiarity and travel readiness. Field site personnel are credentialed to perform PCO duties and maintain currency on CDC Property Management procedures (cross-referenced under Task 1.5). Travel readiness — passports, immunizations as required, and FSS-specific deployment kits — is a precondition to assignment, not a downstream administrative task.</w:t>
      </w:r>
    </w:p>
    <w:p>
      <w:pPr/>
      <w:r>
        <w:rPr>
          <w:b/>
        </w:rPr>
        <w:t>SLA performance posture.</w:t>
      </w:r>
      <w:r>
        <w:t xml:space="preserve"> ORR/DEO SLA tracking in ServiceNow with a separate dashboard from the OCIO SLA. Monthly EPS/FSS performance report includes ticket volume by activation type, MTTR by priority, on-call response latency, and PCO inventory variance. Activation after-action reports filed within 14 days of activation closeout.</w:t>
      </w:r>
    </w:p>
    <w:p>
      <w:pPr/>
      <w:r>
        <w:rPr>
          <w:b/>
        </w:rPr>
        <w:t>Task-specific risks and mitigations.</w:t>
      </w:r>
      <w:r>
        <w:t xml:space="preserve"> (1) Activation-induced surge — mitigated by Task 4.1 cross-task surge plan and by deflection-preserved Tier 1 capacity. (2) FSS travel readiness lag — mitigated by quarterly readiness audit and a named FSS Operations Lead who owns currency. (3) Property variance during high-tempo deployment — mitigated by ServiceNow asset linkage, PCO duty assignment, and an explicit reconciliation gate at deployment close.</w:t>
      </w:r>
    </w:p>
    <w:p>
      <w:pPr>
        <w:pStyle w:val="Heading3"/>
      </w:pPr>
      <w:r>
        <w:t>1.3.4 Task 2.1 — Global Activities Services (GA)</w:t>
      </w:r>
    </w:p>
    <w:p>
      <w:pPr/>
      <w:r>
        <w:rPr>
          <w:b/>
        </w:rPr>
        <w:t>Scope.</w:t>
      </w:r>
      <w:r>
        <w:t xml:space="preserve"> Level 2 and Level 3 IT support to Global Health Center customers in approximately 60 international locations, supporting roughly 1,800 staff and approximately 60 LANs that include workstations, network infrastructure, file servers, satellite communications, and video conferencing. Connectivity to Atlanta is integrated through SD-WAN and site-to-site VPN to Microsoft Azure, Office 365, and CDC core services.</w:t>
      </w:r>
    </w:p>
    <w:p>
      <w:pPr/>
      <w:r>
        <w:rPr>
          <w:b/>
        </w:rPr>
        <w:t>Operating model.</w:t>
      </w:r>
      <w:r>
        <w:t xml:space="preserve"> GA runs on a regional model — by sub-region time-zone — with named Regional Engineers, regional operating procedures, and documented site-specific topologies. The Atlanta-based GA Engineering Lead owns cross-regional consistency and deployment readiness; regional engineers own day-to-day operations and the local ITSM relationship. ServiceNow is the system of record across all regions; tickets carry site, region, and priority-1 cascade indicators.</w:t>
      </w:r>
    </w:p>
    <w:p>
      <w:pPr/>
      <w:r>
        <w:rPr>
          <w:b/>
        </w:rPr>
        <w:t>Engineer credentialing.</w:t>
      </w:r>
      <w:r>
        <w:t xml:space="preserve"> Per Section E Staffing Plan minimum qualifications, GA engineering and technical support personnel hold active Cisco Certified Network Associate (CCNA) certifications and a combination of three to five years of experience installing, configuring, and troubleshooting network switches, routers, and firewalls. International travel readiness — passports, visas, low- and high-threat country travel preparation — is a precondition to assignment. Each engineer holds an active CCNA at hire and maintains currency under the contract's training currency obligation. The GA Lead is one of our four named Key Personnel.</w:t>
      </w:r>
    </w:p>
    <w:p>
      <w:pPr/>
      <w:r>
        <w:rPr>
          <w:b/>
        </w:rPr>
        <w:t>Deployment readiness and OCONUS safety.</w:t>
      </w:r>
      <w:r>
        <w:t xml:space="preserve"> Twenty-four-to-forty-eight-hour deployment windows in declared emergencies are met through pre-cleared travel readiness, pre-negotiated travel insurance and medical evacuation coverage per PWS Section 12, and runbooks for the most likely emergency deployment patterns (network restoration, infrastructure rebuild, satellite reconnection, identity reset). We comply with the safety, security, medical clearance, insurance (Traveler Health Insurance and Medical Evacuation), Smart Traveler Enrollment Program (STEP) registration, and Foreign Affairs Counter Threat (FACT) training requirements specified in PWS Section 12. An executive-level safety and security point of contact is identified at award.</w:t>
      </w:r>
    </w:p>
    <w:p>
      <w:pPr/>
      <w:r>
        <w:rPr>
          <w:b/>
        </w:rPr>
        <w:t>Automation plan.</w:t>
      </w:r>
      <w:r>
        <w:t xml:space="preserve"> Two non-disruptive automations apply at OCONUS scale. (1) SD-WAN posture monitoring with predictive alerts before degradation cascades to a P1 — runbook-linked from alert to incident to engineer, with ServiceNow tying the regional asset to the engineer's queue. (2) Image baseline drift detection on site servers and workstations through MECM and Intune coordination, surfaced to the regional engineer before drift becomes a security or stability issue. Both are CDC-platform native; neither introduces new tooling.</w:t>
      </w:r>
    </w:p>
    <w:p>
      <w:pPr/>
      <w:r>
        <w:rPr>
          <w:b/>
        </w:rPr>
        <w:t>Staffing and credentials.</w:t>
      </w:r>
      <w:r>
        <w:t xml:space="preserve"> The GA team holds Senior Computer Network Support Specialists, Journeyman Computer Network Systems Administrators, Senior Information Security Analysts, and Senior Document Management Specialists, sized to the published level of effort. Global travel costs are cost-reimbursable to the published $198K base-period cap.</w:t>
      </w:r>
    </w:p>
    <w:p>
      <w:pPr/>
      <w:r>
        <w:rPr>
          <w:b/>
        </w:rPr>
        <w:t>SLA performance posture.</w:t>
      </w:r>
      <w:r>
        <w:t xml:space="preserve"> GA tickets are tracked against PWS Table 5 thresholds with regional rollup. Above the PWS, we measure Site Availability Percentage (target 99.0%), Mean Time to Site Restoration (P1, target 4 hours from engineer dispatch), and Quarterly Travel-Readiness Currency at 100% of GA roster.</w:t>
      </w:r>
    </w:p>
    <w:p>
      <w:pPr/>
      <w:r>
        <w:rPr>
          <w:b/>
        </w:rPr>
        <w:t>Task-specific risks and mitigations.</w:t>
      </w:r>
      <w:r>
        <w:t xml:space="preserve"> (1) High-threat country deployment risk — mitigated by FACT training currency, safety POC engagement, and pre-cleared travel posture. (2) Satellite / SD-WAN single-point dependencies at remote sites — mitigated by predictive monitoring, regional runbooks, and pre-positioned spare equipment where logistics permit. (3) CCNA shortage in U.S. labor market — mitigated by retention focus on incumbent GA engineers, Insight Global pipeline at CCNA-credentialed entry points, and contractor-funded CCNA renewal support.</w:t>
      </w:r>
    </w:p>
    <w:p>
      <w:pPr>
        <w:pStyle w:val="Heading3"/>
      </w:pPr>
      <w:r>
        <w:t>1.3.5 Task 3.1 — Program Management Services (PMS)</w:t>
      </w:r>
    </w:p>
    <w:p>
      <w:pPr/>
      <w:r>
        <w:rPr>
          <w:b/>
        </w:rPr>
        <w:t>PMO and governance.</w:t>
      </w:r>
      <w:r>
        <w:t xml:space="preserve"> A dedicated Program Manager is named as primary technical and managerial interface to the Contracting Officer and COR, with at least one named alternate. The PMO owns Quality Assurance Surveillance Plan (QASP) alignment, KPI tracking, the Weekly Status Report due Wednesday by 5:00 PM ET, the Monthly In-Progress Review, the Monthly Financial Report, and the Monthly Progress Report due on the 15th. The post-award kickoff is convened within five business days of award per PWS Subtask 3.1.1.</w:t>
      </w:r>
    </w:p>
    <w:p>
      <w:pPr/>
      <w:r>
        <w:rPr>
          <w:b/>
        </w:rPr>
        <w:t>Integrated cadence.</w:t>
      </w:r>
      <w:r>
        <w:t xml:space="preserve"> The PMO operates a single integrated cadence rather than separate task cadences: weekly all-task stand-up (Task Leads + QC Lead + Cyber Lead), bi-weekly subcontractor coordination, monthly leadership review with the OCIO sponsor, and a quarterly Continuous Service Improvement (CSI) review tied to PWS Subsection 3.2.6. The cadence is documented in Appendix C decision-rights matrix and is treated as the default — we adjust it to the COR's preferences in the first 30 days.</w:t>
      </w:r>
    </w:p>
    <w:p>
      <w:pPr/>
      <w:r>
        <w:rPr>
          <w:b/>
        </w:rPr>
        <w:t>Transition services within Task 3.1.</w:t>
      </w:r>
      <w:r>
        <w:t xml:space="preserve"> Subtask 3.1.2 obligates us to plan, implement, and complete Transition-In and Transition-Out activities. Our Transition-In Plan and Transition-Out Plan are summarized in Section 3 (Management Approach) of this volume. The Transition Plan uses the same labor categories and positions as the Staffing Plan, in compliance with PWS Subtask 3.1.2 item 1(b).</w:t>
      </w:r>
    </w:p>
    <w:p>
      <w:pPr>
        <w:pStyle w:val="Heading3"/>
      </w:pPr>
      <w:r>
        <w:t>1.3.6 Task 4 — Specialized Support Services (Optional)</w:t>
      </w:r>
    </w:p>
    <w:p>
      <w:pPr/>
      <w:r>
        <w:rPr>
          <w:b/>
        </w:rPr>
        <w:t>Task 4.1 — Special IT Projects (Optional).</w:t>
      </w:r>
      <w:r>
        <w:t xml:space="preserve"> Task 4.1 is activated by contract modification when triggered by a public health emergency, an unanticipated federal mandate, technology refresh, or building moves. We mobilize qualified surge personnel within 30 days of trigger, drawing from a designated bench inside the prime and subcontractor team plus the Insight Global staffing channel. Surge personnel are pre-screened for clearance posture and credential currency where applicable. The Task 4.1 bench is sized to the published Junior Computer User Support Specialist optional level of effort and is rebalanced quarterly against the active demand profile.</w:t>
      </w:r>
    </w:p>
    <w:p>
      <w:pPr/>
      <w:r>
        <w:rPr>
          <w:b/>
        </w:rPr>
        <w:t>Task 4.2 — Project Management and Technical Writer Services (Optional).</w:t>
      </w:r>
      <w:r>
        <w:t xml:space="preserve"> Project Managers hold an industry-recognized PM certification (PMP or equivalent), four-plus years of federal client experience, and demonstrated Agile delivery experience in two-to-four-week sprint cycles (daily stand-ups, sprint reviews, backlog management) per Section E Minimum Qualifications. Technical Writers produce 508-compliant documentation aligned to MS365, EPLC, and OCIO PM standards. The optional PM and Technical Writer roster maps to the historical Senior IT Project Manager level of effort.</w:t>
      </w:r>
    </w:p>
    <w:p>
      <w:pPr>
        <w:pStyle w:val="Heading3"/>
      </w:pPr>
      <w:r>
        <w:t>1.3.7 Task 5 — DSO Operations Support Services</w:t>
      </w:r>
    </w:p>
    <w:p>
      <w:pPr/>
      <w:r>
        <w:rPr>
          <w:b/>
        </w:rPr>
        <w:t>Task 5.1 — IT Project Management Services (Required).</w:t>
      </w:r>
      <w:r>
        <w:t xml:space="preserve"> Enterprise project management on Microsoft Project and Visio with EPLC stage-gate compliance, supporting DSO Project Management Team work in cloud, network access control, and M365. Subtask 5.1.2 technical writing produces 508-compliant artifacts for cloud, NAC, and M365 efforts. The Senior IT Project Manager and Senior Management Analyst roles operate to OCIO PM standards and integrate with the Task 3.1 PMO governance cadence.</w:t>
      </w:r>
    </w:p>
    <w:p>
      <w:pPr/>
      <w:r>
        <w:rPr>
          <w:b/>
        </w:rPr>
        <w:t>Task 5.2 — Data Analysis and Reporting (Optional).</w:t>
      </w:r>
      <w:r>
        <w:t xml:space="preserve"> FAIR-aligned analytics in SQL, Power BI, and network management tools producing performance metrics and quarterly and annual IT reporting, stood up if and when CDC exercises this option. The role is a Database Architect SME under the published optional level of effort.</w:t>
      </w:r>
    </w:p>
    <w:p>
      <w:pPr/>
      <w:r>
        <w:rPr>
          <w:b/>
        </w:rPr>
        <w:t>Task 5.3 — IT Communications Services (DSO, Optional).</w:t>
      </w:r>
      <w:r>
        <w:t xml:space="preserve"> Communications and marketing through CDC Connects and the OCIO web to Section 508 standards; web content in HTML, JavaScript, and XML; backup webmaster role; outage protocol execution. All deliverables 508-compliant and aligned to the OCIO communications voice and brand.</w:t>
      </w:r>
    </w:p>
    <w:p>
      <w:pPr>
        <w:pStyle w:val="Heading3"/>
      </w:pPr>
      <w:r>
        <w:t>1.3.8 Task 6.1 — Application Web Development Services</w:t>
      </w:r>
    </w:p>
    <w:p>
      <w:pPr/>
      <w:r>
        <w:rPr>
          <w:b/>
        </w:rPr>
        <w:t>Approach.</w:t>
      </w:r>
      <w:r>
        <w:t xml:space="preserve"> Web and database application development for OCIO Tools on the ServiceNow App Engine and the .NET stack. Low-code architecture with reusable components is the design default; code-heavy patterns are reserved for cases where reuse and platform integration cannot meet the requirement. Configuration management runs in ServiceNow with ITIL-aligned change and release management. Toolset includes (per the PWS) ServiceNow App Engine Studio, .NET, SQL Server Management Studio, Azure Data Factory, Azure Synapse, and Azure SQL.</w:t>
      </w:r>
    </w:p>
    <w:p>
      <w:pPr/>
      <w:r>
        <w:rPr>
          <w:b/>
        </w:rPr>
        <w:t>Build-decision framework.</w:t>
      </w:r>
      <w:r>
        <w:t xml:space="preserve"> We treat each new app as either a ServiceNow-native solution (default), a Power Platform solution (secondary), or a custom .NET solution (only where the prior two cannot meet the requirement). This ordering reduces long-term operating cost — the ServiceNow and Power Platform options inherit CDC's platform investments and require less standalone maintenance — and it reduces the surface area for Section 508 and security review.</w:t>
      </w:r>
    </w:p>
    <w:p>
      <w:pPr>
        <w:pStyle w:val="Heading3"/>
      </w:pPr>
      <w:r>
        <w:t>1.3.9 Task 8 — Identity and Access Management Support Services</w:t>
      </w:r>
    </w:p>
    <w:p>
      <w:pPr/>
      <w:r>
        <w:rPr>
          <w:b/>
        </w:rPr>
        <w:t>Task 8.1 — Endpoint Management.</w:t>
      </w:r>
      <w:r>
        <w:t xml:space="preserve"> Patch and configuration management across MECM, Intune, WSUS, BigFix, and Microsoft Defender; secure baselines aligned to CDC-approved configuration; drift detection with automated remediation where deterministic rules apply. Coordination with the CDC Security and Privacy Office (CSPO) on patch testing windows is a defined relationship, not an ad hoc one — windows are calendared, and emergency patches follow PWS Subtask 8.1.2 emergency-patching guidance.</w:t>
      </w:r>
    </w:p>
    <w:p>
      <w:pPr/>
      <w:r>
        <w:rPr>
          <w:b/>
        </w:rPr>
        <w:t>Task 8.2 — Remote Access Services.</w:t>
      </w:r>
      <w:r>
        <w:t xml:space="preserve"> Zero Trust architecture support across Microsoft Azure, Zscaler, multi-factor authentication, and virtual desktop infrastructure. Policy-based access enables remote and telework productivity for the CDC workforce, including the CITGO Virtual Desktop environment that appears in the historical incident profile (~5.5% of incidents). Engineering posture is aligned to the OCIO Zero Trust roadmap; we do not propose architectural change without OCIO direction.</w:t>
      </w:r>
    </w:p>
    <w:p>
      <w:pPr/>
      <w:r>
        <w:rPr>
          <w:b/>
        </w:rPr>
        <w:t>Task 8.3 — Directory Services.</w:t>
      </w:r>
      <w:r>
        <w:t xml:space="preserve"> Identity lifecycle and brokering across Active Directory, Forefront Identity Manager, SQL, and PowerShell. Identity-automation patterns reduce manual provisioning load — the second-largest task category in the historical demand profile (22.4%) — without compromising audit posture. The directory automation work explicitly intersects with Task 1.1 deflection (UserID provisioning rules) so improvements compound across both tasks.</w:t>
      </w:r>
    </w:p>
    <w:p>
      <w:pPr>
        <w:pStyle w:val="Heading3"/>
      </w:pPr>
      <w:r>
        <w:t>1.3.10 Task 9 — Infrastructure Support Services</w:t>
      </w:r>
    </w:p>
    <w:p>
      <w:pPr/>
      <w:r>
        <w:rPr>
          <w:b/>
        </w:rPr>
        <w:t>Task 9.1 — Networking (Required).</w:t>
      </w:r>
      <w:r>
        <w:t xml:space="preserve"> Layer 2 and Layer 3 network support across domestic locations, integrated with ServiceNow ITSM tooling and CDC monitoring. Predictive network monitoring identifies degradation before it becomes a P1 outage; hybrid and cloud network design supports OCIO modernization efforts. Non-global travel up to $15K in the base period covers field network engagements. The Net team coordinates with Task 2.1 GA on OCONUS network reach-back and with Task 8.2 RAS on Zero Trust integration.</w:t>
      </w:r>
    </w:p>
    <w:p>
      <w:pPr/>
      <w:r>
        <w:rPr>
          <w:b/>
        </w:rPr>
        <w:t>Tasks 9.2 – 9.7 (Optional).</w:t>
      </w:r>
      <w:r>
        <w:t xml:space="preserve"> Data center technician services (9.2), virtual engineer services on VMware vSphere/ESX and other hypervisors (9.3), 24×7 NOC operations services (9.4), data backup engineer services with FIPS-compliant media handling (9.5), software installation services for VM provisioning aligned to NIST 800-53 baselines (9.6), and application hosting and customer interface services running on ServiceNow Configuration Management and ITIL change and configuration management (9.7). We are positioned to stand up each optional task if and when CDC exercises the option, with no rip-and-replace of existing CDC tooling. Each optional task has a designated Task Lead pre-identified so option exercise translates to performance start without organizational realignment.</w:t>
      </w:r>
    </w:p>
    <w:p>
      <w:pPr>
        <w:pStyle w:val="Heading3"/>
      </w:pPr>
      <w:r>
        <w:t>1.3.11 Task 10 — Workplace Productivity Support Services</w:t>
      </w:r>
    </w:p>
    <w:p>
      <w:pPr/>
      <w:r>
        <w:rPr>
          <w:b/>
        </w:rPr>
        <w:t>Task 10.1 — General Requirements (cross-cutting).</w:t>
      </w:r>
      <w:r>
        <w:t xml:space="preserve"> Patch and antivirus management across the M365 platform with CSPO and Event Notification List (ENL) coordination; APIs and Group Policy Objects; Security Assessment and Authorization (SA&amp;A) documentation; 24×7 break-fix; vendor case management. The Senior Computer Systems Engineer/Architect is the named M365 platform lead.</w:t>
      </w:r>
    </w:p>
    <w:p>
      <w:pPr/>
      <w:r>
        <w:rPr>
          <w:b/>
        </w:rPr>
        <w:t>Task 10.2 — Communications Email/Messaging.</w:t>
      </w:r>
      <w:r>
        <w:t xml:space="preserve"> Enterprise email and messaging administration across Outlook, Microsoft Stream, and Intune. High-availability design across cloud and on-prem; coordination with M365 platform engineering. Outlook is the largest single incident driver in the demand profile (10.3%) — we treat KB and macro investment in Outlook as a Tier-1 deflection priority.</w:t>
      </w:r>
    </w:p>
    <w:p>
      <w:pPr/>
      <w:r>
        <w:rPr>
          <w:b/>
        </w:rPr>
        <w:t>Task 10.3 — Enterprise Collaboration.</w:t>
      </w:r>
      <w:r>
        <w:t xml:space="preserve"> Site collection administration across Teams, SharePoint, OneDrive, and Azure for both M365 cloud and on-prem operations. Governance follows CDC standard practice; we do not propose to replace existing collaboration patterns absent CDC direction.</w:t>
      </w:r>
    </w:p>
    <w:p>
      <w:pPr/>
      <w:r>
        <w:rPr>
          <w:b/>
        </w:rPr>
        <w:t>Task 10.4 — Process Automation and Visualization.</w:t>
      </w:r>
      <w:r>
        <w:t xml:space="preserve"> Low-code development and administration across Dynamics 365, Power Platform, and Azure DevOps. Workflow automation and Power BI visualization. Data modeling that supports Task 10.5 reporting. The Power Platform team is the second engine of automation on this contract, complementing the ServiceNow workflow program in Task 1.1 and Task 8.3.</w:t>
      </w:r>
    </w:p>
    <w:p>
      <w:pPr/>
      <w:r>
        <w:rPr>
          <w:b/>
        </w:rPr>
        <w:t>Task 10.5 — Reporting Services.</w:t>
      </w:r>
      <w:r>
        <w:t xml:space="preserve"> Reporting infrastructure and dashboards on ServiceNow with event-data integration, real-time alerting, and connection to performance systems. The reporting platform is the channel through which our SLA performance, deflection performance, and continuous-improvement results are made visible to the COR and OCIO leadership. Dashboards are co-designed with the COR in the first 30 days post-award.</w:t>
      </w:r>
    </w:p>
    <w:p>
      <w:pPr>
        <w:pStyle w:val="Heading3"/>
      </w:pPr>
      <w:r>
        <w:t>1.3.12 Task 11.1 — OCIO Communications Services</w:t>
      </w:r>
    </w:p>
    <w:p>
      <w:pPr/>
      <w:r>
        <w:t>OCIO communications and marketing across CDC Connects and the OCIO web — 508-compliant content, stakeholder messaging, web content production, and multimedia. The Weekly Status Report and the call-volume, productivity, and trend-analysis report (due monthly on the 15th) are produced in this task. The OCIO Communications role works to the OCIO voice and brand standards and supports the customer communications backbone of the entire CITS service experience — including transition-period customer communications described in §3.7.</w:t>
      </w:r>
    </w:p>
    <w:p>
      <w:pPr>
        <w:pStyle w:val="Heading2"/>
      </w:pPr>
      <w:r>
        <w:t>1.4 Cross-Cutting Service Disciplines (Including HCD as Operating Model)</w:t>
      </w:r>
    </w:p>
    <w:p>
      <w:pPr/>
      <w:r>
        <w:t>Seven cross-cutting disciplines run across every task. They are summarized here so we do not repeat them in each task narrative.</w:t>
      </w:r>
    </w:p>
    <w:p>
      <w:pPr/>
      <w:r>
        <w:rPr>
          <w:b/>
        </w:rPr>
        <w:t>(1) Customer service standard (PWS Subsection 3.2.1).</w:t>
      </w:r>
      <w:r>
        <w:t xml:space="preserve"> All contractor personnel handle customer interactions with tact and diplomacy, demonstrate active listening, and accurately record information. The 96%-or-greater Customer Service Survey score is a managed metric, not a hopeful outcome — coaching, calibration sessions, and structured QA review of recorded calls are weekly disciplines.</w:t>
      </w:r>
    </w:p>
    <w:p>
      <w:pPr/>
      <w:r>
        <w:rPr>
          <w:b/>
        </w:rPr>
        <w:t>(2) Quality control discipline (PWS Subsection 3.2.2 and Section 9).</w:t>
      </w:r>
      <w:r>
        <w:t xml:space="preserve"> Quality is consistency, accuracy, and customer satisfaction. We staff a defined quality control function inside Program Management, run weekly review of contact channels in Task 1.1, and document corrective actions in the QCP we submit and maintain throughout the contract. The QCP is described in §3.6.</w:t>
      </w:r>
    </w:p>
    <w:p>
      <w:pPr/>
      <w:r>
        <w:rPr>
          <w:b/>
        </w:rPr>
        <w:t>(3) Knowledge management as a measured discipline (PWS Subsection 3.2.3).</w:t>
      </w:r>
      <w:r>
        <w:t xml:space="preserve"> Knowledge articles in ServiceNow are owned, dated, indexed, and reviewed on a quarterly cadence. Findability is measured. The objective is deflection — moving deterministic resolution from Tier 1 capacity to customer self-service — and that requires the knowledge base to be useful, not merely present. Article ownership maps to a named SME by topic family; the Knowledge Article Currency Rate (target 95%) is reported monthly.</w:t>
      </w:r>
    </w:p>
    <w:p>
      <w:pPr/>
      <w:r>
        <w:rPr>
          <w:b/>
        </w:rPr>
        <w:t>(4) Reporting discipline (PWS Subsection 3.2.4 and Section 8).</w:t>
      </w:r>
      <w:r>
        <w:t xml:space="preserve"> Every recurring report in PWS Table 12 is owned, calendared, and version-controlled. Reports are submitted on time and without gross errors, in compliance with the QASP performance requirement. The reporting platform under Task 10.5 surfaces report status proactively rather than retrospectively.</w:t>
      </w:r>
    </w:p>
    <w:p>
      <w:pPr/>
      <w:r>
        <w:rPr>
          <w:b/>
        </w:rPr>
        <w:t>(5) Innovation in operations and customer experience (PWS Subsection 3.2.5).</w:t>
      </w:r>
      <w:r>
        <w:t xml:space="preserve"> CDC's PWS calls for innovative technology to improve operations and customer experience, naming RPA and ServiceNow automation as examples. Our innovation roadmap is built on those rails. RPA addresses repetitive workflow steps with deterministic logic — onboarding sub-tasks, ticket routing, status communications. ServiceNow workflow expansion compounds the deflection program. Capabilities CDC explicitly provides and approves are absorbed into the operating model on CDC's authority through our continuous-improvement cadence; we do not introduce or use unapproved AI products in performance, in compliance with the Section E proposal preparation instruction.</w:t>
      </w:r>
    </w:p>
    <w:p>
      <w:pPr/>
      <w:r>
        <w:rPr>
          <w:b/>
        </w:rPr>
        <w:t>(6) Continuous improvement and total cost of ownership (PWS Subsection 3.2.6).</w:t>
      </w:r>
      <w:r>
        <w:t xml:space="preserve"> We monitor and analyze performance and customer experience, build the structure for incremental improvement, and execute improvements that reduce TCO consistently over time. The change management discipline is documented in the QCP. Year-over-year TCO reduction is a contract objective; we report against it monthly.</w:t>
      </w:r>
    </w:p>
    <w:p>
      <w:pPr/>
      <w:r>
        <w:rPr>
          <w:b/>
        </w:rPr>
        <w:t>(7) Human-Centered Design (HCD) as the operating model.</w:t>
      </w:r>
      <w:r>
        <w:t xml:space="preserve"> HCD is how we operate, not a separate work product. We use named methods — journey mapping, contextual inquiry, service blueprinting, usability testing on the ServiceNow self-service portal, and co-design with the CDC Customer Experience Office — and we tie each to a specific operational outcome. We journey-map four CDC populations whose support needs are distinct: laboratory and research scientists (scientific computing, MFA friction, instrument network integration), public health field responders (EOC tempo, deployable kit reliability, OCONUS connectivity), program staff (M365 productivity, document collaboration), and global health partners (low-bandwidth resilience, identity reach-back). The journey maps directly inform the priority of KB articles, the design of self-service flows in the Virtual Agent, and the choice of automation candidates. Section 508 / WCAG 2.0 AA is treated as design input from day one, not a remediation task. Voice-of-customer measurement runs continuously through the Customer Service Survey and a quarterly journey-specific deep-dive coordinated with the CXO team. HCD outcomes are reported to the COR and OCIO leadership monthly.</w:t>
      </w:r>
    </w:p>
    <w:p>
      <w:pPr>
        <w:pStyle w:val="Heading2"/>
      </w:pPr>
      <w:r>
        <w:t>1.5 Section 508 Accessibility</w:t>
      </w:r>
    </w:p>
    <w:p>
      <w:pPr/>
      <w:r>
        <w:t>Section 508 accessibility is treated as a delivery requirement, not an afterthought. The DHHS Section 508 Product Assessment Template accompanies this volume per Section E; it does not count against the page limit. All web content under Tasks 5.3 and 11.1, all reporting outputs under Task 10.5, and all customer-facing artifacts (knowledge articles, self-service flows, training materials) are produced to WCAG 2.0 Level A and AA standards. Remediation cost for any non-conformant deliverable is the contractor's responsibility post-award, as required. The Task 5.3 / 11.1 communications leads carry 508-compliance accountability for their respective deliverables; the QC Lead carries enterprise accountability across the contract.</w:t>
      </w:r>
    </w:p>
    <w:p>
      <w:pPr>
        <w:pStyle w:val="Heading2"/>
      </w:pPr>
      <w:r>
        <w:t>1.6 Cybersecurity and Compliance Posture</w:t>
      </w:r>
    </w:p>
    <w:p>
      <w:pPr/>
      <w:r>
        <w:t>Our delivery posture meets PWS Section 12 in full: FISMA compliance; NIST SP 800-60 Volume II data categorization; NIST SP 800-160 Volumes 1 and 2 systems-security-engineering principles; CSPO coordination on patching and configuration baselines; immediate Cybersecurity Incident Response Team (CSIRT) reporting of known, reported, or suspected security incidents; DoD 8570.01-m and 8140 personnel certification posture; and Security Assessment and Authorization (SA&amp;A) package alignment to the CDC SA&amp;A SOP. Personnel hold Public Trust Level 5 clearances where required (including the three ServiceNow Analysts and the VCC Systems Administrator under Task 1.1). Foreign-equipment and product prohibitions under Section 889, FAR 52.204-23 (Kaspersky), FAR 52.204-25, -26, and -27 (covered telecommunications and ByteDance) are reflected in our supply chain and procurement controls. Non-Disclosure Agreements are signed by every contractor employee per HHS instruction. Contractor Information Security Awareness, Privacy, and Records Management training is completed at onboarding and renewed annually.</w:t>
      </w:r>
    </w:p>
    <w:p>
      <w:pPr>
        <w:pStyle w:val="Heading2"/>
      </w:pPr>
      <w:r>
        <w:t>1.7 Three Test-and-Learn Pilots</w:t>
      </w:r>
    </w:p>
    <w:p>
      <w:pPr/>
      <w:r>
        <w:t>Three pilots scoped to the published demand profile are proposed for the Base Period. Each is small, measurable, and reversible; each operates inside CDC's existing platform investments; and each has a named exit-or-extend gate at end of pilot. Pilots are presented for COR concurrence in the first 30 days post-award.</w:t>
      </w:r>
    </w:p>
    <w:p>
      <w:pPr/>
      <w:r>
        <w:t>Table 1.7-A. Three test-and-learn pilots.</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2016"/>
            <w:shd w:val="clear" w:color="auto" w:fill="D9E1F2"/>
          </w:tcPr>
          <w:p>
            <w:r/>
            <w:r>
              <w:rPr>
                <w:b/>
                <w:sz w:val="20"/>
              </w:rPr>
              <w:t>Pilot</w:t>
            </w:r>
          </w:p>
        </w:tc>
        <w:tc>
          <w:tcPr>
            <w:tcW w:type="dxa" w:w="2448"/>
            <w:shd w:val="clear" w:color="auto" w:fill="D9E1F2"/>
          </w:tcPr>
          <w:p>
            <w:r/>
            <w:r>
              <w:rPr>
                <w:b/>
                <w:sz w:val="20"/>
              </w:rPr>
              <w:t>Hypothesis</w:t>
            </w:r>
          </w:p>
        </w:tc>
        <w:tc>
          <w:tcPr>
            <w:tcW w:type="dxa" w:w="2304"/>
            <w:shd w:val="clear" w:color="auto" w:fill="D9E1F2"/>
          </w:tcPr>
          <w:p>
            <w:r/>
            <w:r>
              <w:rPr>
                <w:b/>
                <w:sz w:val="20"/>
              </w:rPr>
              <w:t>Baseline / target</w:t>
            </w:r>
          </w:p>
        </w:tc>
        <w:tc>
          <w:tcPr>
            <w:tcW w:type="dxa" w:w="1008"/>
            <w:shd w:val="clear" w:color="auto" w:fill="D9E1F2"/>
          </w:tcPr>
          <w:p>
            <w:r/>
            <w:r>
              <w:rPr>
                <w:b/>
                <w:sz w:val="20"/>
              </w:rPr>
              <w:t>Duration</w:t>
            </w:r>
          </w:p>
        </w:tc>
        <w:tc>
          <w:tcPr>
            <w:tcW w:type="dxa" w:w="2304"/>
            <w:shd w:val="clear" w:color="auto" w:fill="D9E1F2"/>
          </w:tcPr>
          <w:p>
            <w:r/>
            <w:r>
              <w:rPr>
                <w:b/>
                <w:sz w:val="20"/>
              </w:rPr>
              <w:t>Exit / extend gate</w:t>
            </w:r>
          </w:p>
        </w:tc>
      </w:tr>
      <w:tr>
        <w:tc>
          <w:tcPr>
            <w:tcW w:type="dxa" w:w="2016"/>
          </w:tcPr>
          <w:p>
            <w:r/>
            <w:r>
              <w:rPr>
                <w:sz w:val="20"/>
              </w:rPr>
              <w:t>P1 — Virtual Agent password-reset deflection at Roybal</w:t>
            </w:r>
          </w:p>
        </w:tc>
        <w:tc>
          <w:tcPr>
            <w:tcW w:type="dxa" w:w="2448"/>
          </w:tcPr>
          <w:p>
            <w:r/>
            <w:r>
              <w:rPr>
                <w:sz w:val="20"/>
              </w:rPr>
              <w:t>ServiceNow Virtual Agent + audited identity verification deflects deterministic password reset traffic without compromising security or CSAT</w:t>
            </w:r>
          </w:p>
        </w:tc>
        <w:tc>
          <w:tcPr>
            <w:tcW w:type="dxa" w:w="2304"/>
          </w:tcPr>
          <w:p>
            <w:r/>
            <w:r>
              <w:rPr>
                <w:sz w:val="20"/>
              </w:rPr>
              <w:t>Baseline: 0% deflection. Target: 20% deflection of Roybal-originating password resets in pilot window</w:t>
            </w:r>
          </w:p>
        </w:tc>
        <w:tc>
          <w:tcPr>
            <w:tcW w:type="dxa" w:w="1008"/>
          </w:tcPr>
          <w:p>
            <w:r/>
            <w:r>
              <w:rPr>
                <w:sz w:val="20"/>
              </w:rPr>
              <w:t>90 days</w:t>
            </w:r>
          </w:p>
        </w:tc>
        <w:tc>
          <w:tcPr>
            <w:tcW w:type="dxa" w:w="2304"/>
          </w:tcPr>
          <w:p>
            <w:r/>
            <w:r>
              <w:rPr>
                <w:sz w:val="20"/>
              </w:rPr>
              <w:t>Extend to enterprise if deflection ≥15% with CSAT ≥96% and zero security exceptions</w:t>
            </w:r>
          </w:p>
        </w:tc>
      </w:tr>
      <w:tr>
        <w:tc>
          <w:tcPr>
            <w:tcW w:type="dxa" w:w="2016"/>
          </w:tcPr>
          <w:p>
            <w:r/>
            <w:r>
              <w:rPr>
                <w:sz w:val="20"/>
              </w:rPr>
              <w:t>P2 — Zero-touch refresh for DSS Atlanta image deployments</w:t>
            </w:r>
          </w:p>
        </w:tc>
        <w:tc>
          <w:tcPr>
            <w:tcW w:type="dxa" w:w="2448"/>
          </w:tcPr>
          <w:p>
            <w:r/>
            <w:r>
              <w:rPr>
                <w:sz w:val="20"/>
              </w:rPr>
              <w:t>Pre-imaged, pre-patched, pre-encrypted devices reduce per-device refresh touch time and improve image-compliance pre-issue rate</w:t>
            </w:r>
          </w:p>
        </w:tc>
        <w:tc>
          <w:tcPr>
            <w:tcW w:type="dxa" w:w="2304"/>
          </w:tcPr>
          <w:p>
            <w:r/>
            <w:r>
              <w:rPr>
                <w:sz w:val="20"/>
              </w:rPr>
              <w:t>Baseline: ~30 minutes per refresh. Target: &lt;8 minutes per refresh; 100% pre-issue compliance</w:t>
            </w:r>
          </w:p>
        </w:tc>
        <w:tc>
          <w:tcPr>
            <w:tcW w:type="dxa" w:w="1008"/>
          </w:tcPr>
          <w:p>
            <w:r/>
            <w:r>
              <w:rPr>
                <w:sz w:val="20"/>
              </w:rPr>
              <w:t>60 days</w:t>
            </w:r>
          </w:p>
        </w:tc>
        <w:tc>
          <w:tcPr>
            <w:tcW w:type="dxa" w:w="2304"/>
          </w:tcPr>
          <w:p>
            <w:r/>
            <w:r>
              <w:rPr>
                <w:sz w:val="20"/>
              </w:rPr>
              <w:t>Extend to all Atlanta campuses if compliance is 100% and per-device time meets target</w:t>
            </w:r>
          </w:p>
        </w:tc>
      </w:tr>
      <w:tr>
        <w:tc>
          <w:tcPr>
            <w:tcW w:type="dxa" w:w="2016"/>
          </w:tcPr>
          <w:p>
            <w:r/>
            <w:r>
              <w:rPr>
                <w:sz w:val="20"/>
              </w:rPr>
              <w:t>P3 — RPA-based PIV exception fulfillment</w:t>
            </w:r>
          </w:p>
        </w:tc>
        <w:tc>
          <w:tcPr>
            <w:tcW w:type="dxa" w:w="2448"/>
          </w:tcPr>
          <w:p>
            <w:r/>
            <w:r>
              <w:rPr>
                <w:sz w:val="20"/>
              </w:rPr>
              <w:t>RPA on Power Automate Desktop fulfills the deterministic verification steps of PIV Card Exception Requests, freeing Tier-1 capacity</w:t>
            </w:r>
          </w:p>
        </w:tc>
        <w:tc>
          <w:tcPr>
            <w:tcW w:type="dxa" w:w="2304"/>
          </w:tcPr>
          <w:p>
            <w:r/>
            <w:r>
              <w:rPr>
                <w:sz w:val="20"/>
              </w:rPr>
              <w:t>Baseline: 3,087 PIV exception tickets / 14 mo. Target: 40% of cycle time automated; FCR rate ≥85%</w:t>
            </w:r>
          </w:p>
        </w:tc>
        <w:tc>
          <w:tcPr>
            <w:tcW w:type="dxa" w:w="1008"/>
          </w:tcPr>
          <w:p>
            <w:r/>
            <w:r>
              <w:rPr>
                <w:sz w:val="20"/>
              </w:rPr>
              <w:t>120 days</w:t>
            </w:r>
          </w:p>
        </w:tc>
        <w:tc>
          <w:tcPr>
            <w:tcW w:type="dxa" w:w="2304"/>
          </w:tcPr>
          <w:p>
            <w:r/>
            <w:r>
              <w:rPr>
                <w:sz w:val="20"/>
              </w:rPr>
              <w:t>Extend to enterprise if cycle-time reduction ≥30% and zero audit exceptions</w:t>
            </w:r>
          </w:p>
        </w:tc>
      </w:tr>
    </w:tbl>
    <w:p>
      <w:pPr/>
      <w:r>
        <w:t>All three pilots are run inside CDC-provided platforms (ServiceNow, MECM, Power Automate Desktop). None introduces a new tool, a new vendor, or a new data flow. None depends on AI products. Each pilot has a named owner, a documented baseline pulled from the Task 10.5 reporting platform, a weekly read-out to the COR, and an explicit decision gate at pilot end.</w:t>
      </w:r>
    </w:p>
    <w:p>
      <w:pPr>
        <w:pStyle w:val="Heading2"/>
      </w:pPr>
      <w:r>
        <w:t>1.8 Automation and Deflection Roadmap (Year-Over-Year Targets)</w:t>
      </w:r>
    </w:p>
    <w:p>
      <w:pPr/>
      <w:r>
        <w:t>Cost discipline on CITS is delivered through three compounding levers — deflection, automation, and delivery-center consolidation — under PWS Subsection 3.2.6 and contract objective 4. Table 1.8-A sets year-over-year targets we commit to as the operating envelope. Targets are adjusted in coordination with the COR at the start of each option period if material baseline shifts (e.g., a new application rollout or a major HHS reorganization) require recalibration.</w:t>
      </w:r>
    </w:p>
    <w:p>
      <w:pPr/>
      <w:r>
        <w:t>Table 1.8-A. Automation and deflection targets across the period of performance.</w:t>
      </w:r>
    </w:p>
    <w:tbl>
      <w:tblPr>
        <w:tblStyle w:val="LightGrid-Accent1"/>
        <w:tblW w:type="auto" w:w="0"/>
        <w:tblLook w:firstColumn="1" w:firstRow="1" w:lastColumn="0" w:lastRow="0" w:noHBand="0" w:noVBand="1" w:val="04A0"/>
      </w:tblPr>
      <w:tblGrid>
        <w:gridCol w:w="1680"/>
        <w:gridCol w:w="1680"/>
        <w:gridCol w:w="1680"/>
        <w:gridCol w:w="1680"/>
        <w:gridCol w:w="1680"/>
        <w:gridCol w:w="1680"/>
      </w:tblGrid>
      <w:tr>
        <w:tc>
          <w:tcPr>
            <w:tcW w:type="dxa" w:w="3600"/>
            <w:shd w:val="clear" w:color="auto" w:fill="D9E1F2"/>
          </w:tcPr>
          <w:p>
            <w:r/>
            <w:r>
              <w:rPr>
                <w:b/>
                <w:sz w:val="20"/>
              </w:rPr>
              <w:t>Metric</w:t>
            </w:r>
          </w:p>
        </w:tc>
        <w:tc>
          <w:tcPr>
            <w:tcW w:type="dxa" w:w="1296"/>
            <w:shd w:val="clear" w:color="auto" w:fill="D9E1F2"/>
          </w:tcPr>
          <w:p>
            <w:r/>
            <w:r>
              <w:rPr>
                <w:b/>
                <w:sz w:val="20"/>
              </w:rPr>
              <w:t>Base</w:t>
            </w:r>
          </w:p>
        </w:tc>
        <w:tc>
          <w:tcPr>
            <w:tcW w:type="dxa" w:w="1008"/>
            <w:shd w:val="clear" w:color="auto" w:fill="D9E1F2"/>
          </w:tcPr>
          <w:p>
            <w:r/>
            <w:r>
              <w:rPr>
                <w:b/>
                <w:sz w:val="20"/>
              </w:rPr>
              <w:t>OP1</w:t>
            </w:r>
          </w:p>
        </w:tc>
        <w:tc>
          <w:tcPr>
            <w:tcW w:type="dxa" w:w="1008"/>
            <w:shd w:val="clear" w:color="auto" w:fill="D9E1F2"/>
          </w:tcPr>
          <w:p>
            <w:r/>
            <w:r>
              <w:rPr>
                <w:b/>
                <w:sz w:val="20"/>
              </w:rPr>
              <w:t>OP2</w:t>
            </w:r>
          </w:p>
        </w:tc>
        <w:tc>
          <w:tcPr>
            <w:tcW w:type="dxa" w:w="1008"/>
            <w:shd w:val="clear" w:color="auto" w:fill="D9E1F2"/>
          </w:tcPr>
          <w:p>
            <w:r/>
            <w:r>
              <w:rPr>
                <w:b/>
                <w:sz w:val="20"/>
              </w:rPr>
              <w:t>OP3</w:t>
            </w:r>
          </w:p>
        </w:tc>
        <w:tc>
          <w:tcPr>
            <w:tcW w:type="dxa" w:w="1296"/>
            <w:shd w:val="clear" w:color="auto" w:fill="D9E1F2"/>
          </w:tcPr>
          <w:p>
            <w:r/>
            <w:r>
              <w:rPr>
                <w:b/>
                <w:sz w:val="20"/>
              </w:rPr>
              <w:t>OP4 (6 mo)</w:t>
            </w:r>
          </w:p>
        </w:tc>
      </w:tr>
      <w:tr>
        <w:tc>
          <w:tcPr>
            <w:tcW w:type="dxa" w:w="3600"/>
          </w:tcPr>
          <w:p>
            <w:r/>
            <w:r>
              <w:rPr>
                <w:sz w:val="20"/>
              </w:rPr>
              <w:t>Tier-1 deflection rate (% of deterministic categories self-served)</w:t>
            </w:r>
          </w:p>
        </w:tc>
        <w:tc>
          <w:tcPr>
            <w:tcW w:type="dxa" w:w="1296"/>
          </w:tcPr>
          <w:p>
            <w:r/>
            <w:r>
              <w:rPr>
                <w:sz w:val="20"/>
              </w:rPr>
              <w:t>Baseline</w:t>
            </w:r>
          </w:p>
        </w:tc>
        <w:tc>
          <w:tcPr>
            <w:tcW w:type="dxa" w:w="1008"/>
          </w:tcPr>
          <w:p>
            <w:r/>
            <w:r>
              <w:rPr>
                <w:sz w:val="20"/>
              </w:rPr>
              <w:t>30%</w:t>
            </w:r>
          </w:p>
        </w:tc>
        <w:tc>
          <w:tcPr>
            <w:tcW w:type="dxa" w:w="1008"/>
          </w:tcPr>
          <w:p>
            <w:r/>
            <w:r>
              <w:rPr>
                <w:sz w:val="20"/>
              </w:rPr>
              <w:t>40%</w:t>
            </w:r>
          </w:p>
        </w:tc>
        <w:tc>
          <w:tcPr>
            <w:tcW w:type="dxa" w:w="1008"/>
          </w:tcPr>
          <w:p>
            <w:r/>
            <w:r>
              <w:rPr>
                <w:sz w:val="20"/>
              </w:rPr>
              <w:t>45%</w:t>
            </w:r>
          </w:p>
        </w:tc>
        <w:tc>
          <w:tcPr>
            <w:tcW w:type="dxa" w:w="1296"/>
          </w:tcPr>
          <w:p>
            <w:r/>
            <w:r>
              <w:rPr>
                <w:sz w:val="20"/>
              </w:rPr>
              <w:t>50%</w:t>
            </w:r>
          </w:p>
        </w:tc>
      </w:tr>
      <w:tr>
        <w:tc>
          <w:tcPr>
            <w:tcW w:type="dxa" w:w="3600"/>
          </w:tcPr>
          <w:p>
            <w:r/>
            <w:r>
              <w:rPr>
                <w:sz w:val="20"/>
              </w:rPr>
              <w:t>Knowledge Article Currency Rate (% reviewed within 90 days)</w:t>
            </w:r>
          </w:p>
        </w:tc>
        <w:tc>
          <w:tcPr>
            <w:tcW w:type="dxa" w:w="1296"/>
          </w:tcPr>
          <w:p>
            <w:r/>
            <w:r>
              <w:rPr>
                <w:sz w:val="20"/>
              </w:rPr>
              <w:t>≥85%</w:t>
            </w:r>
          </w:p>
        </w:tc>
        <w:tc>
          <w:tcPr>
            <w:tcW w:type="dxa" w:w="1008"/>
          </w:tcPr>
          <w:p>
            <w:r/>
            <w:r>
              <w:rPr>
                <w:sz w:val="20"/>
              </w:rPr>
              <w:t>≥90%</w:t>
            </w:r>
          </w:p>
        </w:tc>
        <w:tc>
          <w:tcPr>
            <w:tcW w:type="dxa" w:w="1008"/>
          </w:tcPr>
          <w:p>
            <w:r/>
            <w:r>
              <w:rPr>
                <w:sz w:val="20"/>
              </w:rPr>
              <w:t>≥95%</w:t>
            </w:r>
          </w:p>
        </w:tc>
        <w:tc>
          <w:tcPr>
            <w:tcW w:type="dxa" w:w="1008"/>
          </w:tcPr>
          <w:p>
            <w:r/>
            <w:r>
              <w:rPr>
                <w:sz w:val="20"/>
              </w:rPr>
              <w:t>≥95%</w:t>
            </w:r>
          </w:p>
        </w:tc>
        <w:tc>
          <w:tcPr>
            <w:tcW w:type="dxa" w:w="1296"/>
          </w:tcPr>
          <w:p>
            <w:r/>
            <w:r>
              <w:rPr>
                <w:sz w:val="20"/>
              </w:rPr>
              <w:t>≥95%</w:t>
            </w:r>
          </w:p>
        </w:tc>
      </w:tr>
      <w:tr>
        <w:tc>
          <w:tcPr>
            <w:tcW w:type="dxa" w:w="3600"/>
          </w:tcPr>
          <w:p>
            <w:r/>
            <w:r>
              <w:rPr>
                <w:sz w:val="20"/>
              </w:rPr>
              <w:t>First-Contact Resolution Rate (Tier 1)</w:t>
            </w:r>
          </w:p>
        </w:tc>
        <w:tc>
          <w:tcPr>
            <w:tcW w:type="dxa" w:w="1296"/>
          </w:tcPr>
          <w:p>
            <w:r/>
            <w:r>
              <w:rPr>
                <w:sz w:val="20"/>
              </w:rPr>
              <w:t>Baseline</w:t>
            </w:r>
          </w:p>
        </w:tc>
        <w:tc>
          <w:tcPr>
            <w:tcW w:type="dxa" w:w="1008"/>
          </w:tcPr>
          <w:p>
            <w:r/>
            <w:r>
              <w:rPr>
                <w:sz w:val="20"/>
              </w:rPr>
              <w:t>70%</w:t>
            </w:r>
          </w:p>
        </w:tc>
        <w:tc>
          <w:tcPr>
            <w:tcW w:type="dxa" w:w="1008"/>
          </w:tcPr>
          <w:p>
            <w:r/>
            <w:r>
              <w:rPr>
                <w:sz w:val="20"/>
              </w:rPr>
              <w:t>75%</w:t>
            </w:r>
          </w:p>
        </w:tc>
        <w:tc>
          <w:tcPr>
            <w:tcW w:type="dxa" w:w="1008"/>
          </w:tcPr>
          <w:p>
            <w:r/>
            <w:r>
              <w:rPr>
                <w:sz w:val="20"/>
              </w:rPr>
              <w:t>78%</w:t>
            </w:r>
          </w:p>
        </w:tc>
        <w:tc>
          <w:tcPr>
            <w:tcW w:type="dxa" w:w="1296"/>
          </w:tcPr>
          <w:p>
            <w:r/>
            <w:r>
              <w:rPr>
                <w:sz w:val="20"/>
              </w:rPr>
              <w:t>78%</w:t>
            </w:r>
          </w:p>
        </w:tc>
      </w:tr>
      <w:tr>
        <w:tc>
          <w:tcPr>
            <w:tcW w:type="dxa" w:w="3600"/>
          </w:tcPr>
          <w:p>
            <w:r/>
            <w:r>
              <w:rPr>
                <w:sz w:val="20"/>
              </w:rPr>
              <w:t>Zero-touch refresh rate (DSS)</w:t>
            </w:r>
          </w:p>
        </w:tc>
        <w:tc>
          <w:tcPr>
            <w:tcW w:type="dxa" w:w="1296"/>
          </w:tcPr>
          <w:p>
            <w:r/>
            <w:r>
              <w:rPr>
                <w:sz w:val="20"/>
              </w:rPr>
              <w:t>Baseline</w:t>
            </w:r>
          </w:p>
        </w:tc>
        <w:tc>
          <w:tcPr>
            <w:tcW w:type="dxa" w:w="1008"/>
          </w:tcPr>
          <w:p>
            <w:r/>
            <w:r>
              <w:rPr>
                <w:sz w:val="20"/>
              </w:rPr>
              <w:t>80%</w:t>
            </w:r>
          </w:p>
        </w:tc>
        <w:tc>
          <w:tcPr>
            <w:tcW w:type="dxa" w:w="1008"/>
          </w:tcPr>
          <w:p>
            <w:r/>
            <w:r>
              <w:rPr>
                <w:sz w:val="20"/>
              </w:rPr>
              <w:t>90%</w:t>
            </w:r>
          </w:p>
        </w:tc>
        <w:tc>
          <w:tcPr>
            <w:tcW w:type="dxa" w:w="1008"/>
          </w:tcPr>
          <w:p>
            <w:r/>
            <w:r>
              <w:rPr>
                <w:sz w:val="20"/>
              </w:rPr>
              <w:t>95%</w:t>
            </w:r>
          </w:p>
        </w:tc>
        <w:tc>
          <w:tcPr>
            <w:tcW w:type="dxa" w:w="1296"/>
          </w:tcPr>
          <w:p>
            <w:r/>
            <w:r>
              <w:rPr>
                <w:sz w:val="20"/>
              </w:rPr>
              <w:t>95%</w:t>
            </w:r>
          </w:p>
        </w:tc>
      </w:tr>
      <w:tr>
        <w:tc>
          <w:tcPr>
            <w:tcW w:type="dxa" w:w="3600"/>
          </w:tcPr>
          <w:p>
            <w:r/>
            <w:r>
              <w:rPr>
                <w:sz w:val="20"/>
              </w:rPr>
              <w:t>RPA bots in production (count)</w:t>
            </w:r>
          </w:p>
        </w:tc>
        <w:tc>
          <w:tcPr>
            <w:tcW w:type="dxa" w:w="1296"/>
          </w:tcPr>
          <w:p>
            <w:r/>
            <w:r>
              <w:rPr>
                <w:sz w:val="20"/>
              </w:rPr>
              <w:t>1–2</w:t>
            </w:r>
          </w:p>
        </w:tc>
        <w:tc>
          <w:tcPr>
            <w:tcW w:type="dxa" w:w="1008"/>
          </w:tcPr>
          <w:p>
            <w:r/>
            <w:r>
              <w:rPr>
                <w:sz w:val="20"/>
              </w:rPr>
              <w:t>5</w:t>
            </w:r>
          </w:p>
        </w:tc>
        <w:tc>
          <w:tcPr>
            <w:tcW w:type="dxa" w:w="1008"/>
          </w:tcPr>
          <w:p>
            <w:r/>
            <w:r>
              <w:rPr>
                <w:sz w:val="20"/>
              </w:rPr>
              <w:t>8</w:t>
            </w:r>
          </w:p>
        </w:tc>
        <w:tc>
          <w:tcPr>
            <w:tcW w:type="dxa" w:w="1008"/>
          </w:tcPr>
          <w:p>
            <w:r/>
            <w:r>
              <w:rPr>
                <w:sz w:val="20"/>
              </w:rPr>
              <w:t>10</w:t>
            </w:r>
          </w:p>
        </w:tc>
        <w:tc>
          <w:tcPr>
            <w:tcW w:type="dxa" w:w="1296"/>
          </w:tcPr>
          <w:p>
            <w:r/>
            <w:r>
              <w:rPr>
                <w:sz w:val="20"/>
              </w:rPr>
              <w:t>10</w:t>
            </w:r>
          </w:p>
        </w:tc>
      </w:tr>
      <w:tr>
        <w:tc>
          <w:tcPr>
            <w:tcW w:type="dxa" w:w="3600"/>
          </w:tcPr>
          <w:p>
            <w:r/>
            <w:r>
              <w:rPr>
                <w:sz w:val="20"/>
              </w:rPr>
              <w:t>Customer Service Survey ≥96% (PWS §9 floor)</w:t>
            </w:r>
          </w:p>
        </w:tc>
        <w:tc>
          <w:tcPr>
            <w:tcW w:type="dxa" w:w="1296"/>
          </w:tcPr>
          <w:p>
            <w:r/>
            <w:r>
              <w:rPr>
                <w:sz w:val="20"/>
              </w:rPr>
              <w:t>≥96%</w:t>
            </w:r>
          </w:p>
        </w:tc>
        <w:tc>
          <w:tcPr>
            <w:tcW w:type="dxa" w:w="1008"/>
          </w:tcPr>
          <w:p>
            <w:r/>
            <w:r>
              <w:rPr>
                <w:sz w:val="20"/>
              </w:rPr>
              <w:t>≥96%</w:t>
            </w:r>
          </w:p>
        </w:tc>
        <w:tc>
          <w:tcPr>
            <w:tcW w:type="dxa" w:w="1008"/>
          </w:tcPr>
          <w:p>
            <w:r/>
            <w:r>
              <w:rPr>
                <w:sz w:val="20"/>
              </w:rPr>
              <w:t>≥97%</w:t>
            </w:r>
          </w:p>
        </w:tc>
        <w:tc>
          <w:tcPr>
            <w:tcW w:type="dxa" w:w="1008"/>
          </w:tcPr>
          <w:p>
            <w:r/>
            <w:r>
              <w:rPr>
                <w:sz w:val="20"/>
              </w:rPr>
              <w:t>≥97%</w:t>
            </w:r>
          </w:p>
        </w:tc>
        <w:tc>
          <w:tcPr>
            <w:tcW w:type="dxa" w:w="1296"/>
          </w:tcPr>
          <w:p>
            <w:r/>
            <w:r>
              <w:rPr>
                <w:sz w:val="20"/>
              </w:rPr>
              <w:t>≥97%</w:t>
            </w:r>
          </w:p>
        </w:tc>
      </w:tr>
      <w:tr>
        <w:tc>
          <w:tcPr>
            <w:tcW w:type="dxa" w:w="3600"/>
          </w:tcPr>
          <w:p>
            <w:r/>
            <w:r>
              <w:rPr>
                <w:sz w:val="20"/>
              </w:rPr>
              <w:t>Year-over-year TCO trend (vs. prior FY)</w:t>
            </w:r>
          </w:p>
        </w:tc>
        <w:tc>
          <w:tcPr>
            <w:tcW w:type="dxa" w:w="1296"/>
          </w:tcPr>
          <w:p>
            <w:r/>
            <w:r>
              <w:rPr>
                <w:sz w:val="20"/>
              </w:rPr>
              <w:t>Baseline</w:t>
            </w:r>
          </w:p>
        </w:tc>
        <w:tc>
          <w:tcPr>
            <w:tcW w:type="dxa" w:w="1008"/>
          </w:tcPr>
          <w:p>
            <w:r/>
            <w:r>
              <w:rPr>
                <w:sz w:val="20"/>
              </w:rPr>
              <w:t>↓</w:t>
            </w:r>
          </w:p>
        </w:tc>
        <w:tc>
          <w:tcPr>
            <w:tcW w:type="dxa" w:w="1008"/>
          </w:tcPr>
          <w:p>
            <w:r/>
            <w:r>
              <w:rPr>
                <w:sz w:val="20"/>
              </w:rPr>
              <w:t>↓</w:t>
            </w:r>
          </w:p>
        </w:tc>
        <w:tc>
          <w:tcPr>
            <w:tcW w:type="dxa" w:w="1008"/>
          </w:tcPr>
          <w:p>
            <w:r/>
            <w:r>
              <w:rPr>
                <w:sz w:val="20"/>
              </w:rPr>
              <w:t>↓</w:t>
            </w:r>
          </w:p>
        </w:tc>
        <w:tc>
          <w:tcPr>
            <w:tcW w:type="dxa" w:w="1296"/>
          </w:tcPr>
          <w:p>
            <w:r/>
            <w:r>
              <w:rPr>
                <w:sz w:val="20"/>
              </w:rPr>
              <w:t>↓</w:t>
            </w:r>
          </w:p>
        </w:tc>
      </w:tr>
    </w:tbl>
    <w:p>
      <w:pPr/>
      <w:r>
        <w:t>Targets are reported monthly to the COR through the Task 10.5 reporting platform. A target miss triggers the QCP corrective-action protocol described in §3.6.</w:t>
      </w:r>
    </w:p>
    <w:p>
      <w:pPr>
        <w:pStyle w:val="Heading1"/>
      </w:pPr>
      <w:r>
        <w:t>2. Staffing Plan</w:t>
      </w:r>
    </w:p>
    <w:p>
      <w:pPr/>
      <w:r>
        <w:t>Our staffing principle: stable people, stable service. CITS is a service-delivery contract before it is a transformation contract. The single biggest predictor of service stability through transition and across the period of performance is whether the people doing the work — at the service desk, at deskside, on the field site teams, in OCONUS network engineering, in the OCIO PMO — are credentialed, supported, and retained. Our staffing plan is built around that principle. We propose labor categories sized to the historical level of effort published in Section E; we keep credentialing and clearance posture aligned to the Minimum Qualifications; we name a Key Personnel cadre that is accountable to CDC; and we hold a retention strategy that begins on day one of transition and runs across all four option periods.</w:t>
      </w:r>
    </w:p>
    <w:p>
      <w:pPr>
        <w:pStyle w:val="Heading2"/>
      </w:pPr>
      <w:r>
        <w:t>2.1 Staffing Strategy</w:t>
      </w:r>
    </w:p>
    <w:p>
      <w:pPr/>
      <w:r>
        <w:rPr>
          <w:b/>
        </w:rPr>
        <w:t>Right-sized labor categories.</w:t>
      </w:r>
      <w:r>
        <w:t xml:space="preserve"> Section E's Estimated Level of Effort table publishes historical hours by labor category — for example, 20 Junior Computer User Support Specialists at Task 1.1 ITSDS, 40 Journeyman Computer User Support Specialists at Task 1.2 DSS, and seven Senior Computer Systems Analysts at Task 8.1 Endpoint Management. We have proposed our LCAT mix to align with that historical envelope across the Transition, Base, and four Option periods. Where our experience suggests the work can be performed more cost-effectively at a different LCAT mix without compromising service quality, we have noted that delta in the staffing matrix and explained the basis.</w:t>
      </w:r>
    </w:p>
    <w:p>
      <w:pPr/>
      <w:r>
        <w:rPr>
          <w:b/>
        </w:rPr>
        <w:t>Geographic posture.</w:t>
      </w:r>
      <w:r>
        <w:t xml:space="preserve"> CITS service delivery requires on-site presence at multiple Atlanta campuses and the published non-Atlanta CSC locations, plus FSS deployable capacity, plus OCONUS-ready GA engineering. The remainder — Tier 1 service desk, program management, application web development, reporting, and several specialized functions — supports a delivery-center-based model where eligible work is consolidated into U.S. delivery centers for cost discipline and service consistency. Our staffing matrix identifies the on-site, on-campus, and remote/delivery-center designation for each role.</w:t>
      </w:r>
    </w:p>
    <w:p>
      <w:pPr/>
      <w:r>
        <w:rPr>
          <w:b/>
        </w:rPr>
        <w:t>Subcontractor team.</w:t>
      </w:r>
      <w:r>
        <w:t xml:space="preserve"> We propose a teamed delivery model with a primary teaming partner and a staffing partner. [PLACEHOLDER: Insert subcontractor identities and roles. Capture lead to confirm whether subs are named explicitly in Volume I or referenced generically in Volume I and named in Volume II Business; current orientation indicates teaming is in progress with task-by-task workshare alignment underway. If subs are named, briefly describe each sub's role, the labor categories they staff, the percentage of total labor hours they contribute, and the accountability chain from sub to prime to CO/COR.] Our prime, [PLACEHOLDER: Prime legal entity], retains program management, key personnel accountability, and subcontract management responsibility throughout the period of performance. The Subcontract Management Lead reports to the Program Manager, runs the bi-weekly subcontractor coordination meeting, and is the named escalation path for any subcontractor performance issue.</w:t>
      </w:r>
    </w:p>
    <w:p>
      <w:pPr>
        <w:pStyle w:val="Heading2"/>
      </w:pPr>
      <w:r>
        <w:t>2.2 Staffing Matrix</w:t>
      </w:r>
    </w:p>
    <w:p>
      <w:pPr/>
      <w:r>
        <w:t>The staffing matrix in Appendix A of this volume identifies, for each proposed labor category and role: (1) the task and subtask supported, (2) the number of full-time equivalents and total proposed labor hours by period of performance, (3) skill set, (4) certifications and licenses required and held, (5) security clearance posture, (6) professional experience requirement, (7) education, and (8) percent of time on the program. The matrix correlates directly to the hour build in Volume II and to the Section E Estimated Level of Effort table.</w:t>
      </w:r>
    </w:p>
    <w:p>
      <w:r>
        <w:rPr>
          <w:i/>
          <w:color w:val="707070"/>
        </w:rPr>
        <w:t>[PLACEHOLDER: Appendix A — Staffing Matrix. Pricing/staffing team to populate from the Volume II hour build. Format requirements from Section E Staffing Plan: number and types of personnel, assigned roles and responsibilities, skill sets, certifications, security clearances, professional experience, education, and overall qualifications. Confirm whether the matrix is excluded from the 35-page Volume I limit or counts toward it — submit as a clarification question by May 12.]</w:t>
      </w:r>
    </w:p>
    <w:p>
      <w:pPr/>
      <w:r>
        <w:rPr>
          <w:b/>
        </w:rPr>
        <w:t>Labor categories aligned to Section E.</w:t>
      </w:r>
      <w:r>
        <w:t xml:space="preserve"> Where Section E specifies a Minimum Qualification for a labor family — Project Management, IT Service Desk Services (ITSDS), Global Customer Support Services, IT Asset Management Services — every proposed individual in that family meets or exceeds the stated standard. Specifically:</w:t>
      </w:r>
    </w:p>
    <w:p>
      <w:pPr>
        <w:pStyle w:val="ListBullet"/>
      </w:pPr>
      <w:r>
        <w:t>Project Managers hold an industry-recognized project management certification (PMP or equivalent), have four-plus years of federal client experience, and bring demonstrated Agile delivery experience in two-to-four-week sprints — including stand-ups, sprint reviews, and backlog management.</w:t>
      </w:r>
    </w:p>
    <w:p>
      <w:pPr>
        <w:pStyle w:val="ListBullet"/>
      </w:pPr>
      <w:r>
        <w:t>IT Service Desk Services personnel hold ITIL certification where preferred by CDC; the team holds ITIL coverage at the leadership level.</w:t>
      </w:r>
    </w:p>
    <w:p>
      <w:pPr>
        <w:pStyle w:val="ListBullet"/>
      </w:pPr>
      <w:r>
        <w:t>Global Customer Support Services engineering personnel hold active Cisco Certified Network Associate certifications, have a combination of three to five years of network switch, router, and firewall experience, and have prior international travel readiness (passports, visas, low- and high-threat country preparation).</w:t>
      </w:r>
    </w:p>
    <w:p>
      <w:pPr>
        <w:pStyle w:val="ListBullet"/>
      </w:pPr>
      <w:r>
        <w:t>IT Asset Management Services includes certified forklift coverage for Depot operations as required.</w:t>
      </w:r>
    </w:p>
    <w:p>
      <w:pPr>
        <w:pStyle w:val="Heading2"/>
      </w:pPr>
      <w:r>
        <w:t>2.3 Key Personnel</w:t>
      </w:r>
    </w:p>
    <w:p>
      <w:pPr/>
      <w:r>
        <w:t>Key Personnel are proposed in accordance with CDCH.04 Key Personnel (January 2026). The four named Key Personnel positions are summarized below; full resumes are provided in Appendix B and do not count against the 35-page limit.</w:t>
      </w:r>
    </w:p>
    <w:p>
      <w:pPr/>
      <w:r>
        <w:t>Table 2.3-A. Named Key Personnel.</w:t>
      </w:r>
    </w:p>
    <w:tbl>
      <w:tblPr>
        <w:tblStyle w:val="LightGrid-Accent1"/>
        <w:tblW w:type="auto" w:w="0"/>
        <w:tblLook w:firstColumn="1" w:firstRow="1" w:lastColumn="0" w:lastRow="0" w:noHBand="0" w:noVBand="1" w:val="04A0"/>
      </w:tblPr>
      <w:tblGrid>
        <w:gridCol w:w="3360"/>
        <w:gridCol w:w="3360"/>
        <w:gridCol w:w="3360"/>
      </w:tblGrid>
      <w:tr>
        <w:tc>
          <w:tcPr>
            <w:tcW w:type="dxa" w:w="2016"/>
            <w:shd w:val="clear" w:color="auto" w:fill="D9E1F2"/>
          </w:tcPr>
          <w:p>
            <w:r/>
            <w:r>
              <w:rPr>
                <w:b/>
                <w:sz w:val="20"/>
              </w:rPr>
              <w:t>Role</w:t>
            </w:r>
          </w:p>
        </w:tc>
        <w:tc>
          <w:tcPr>
            <w:tcW w:type="dxa" w:w="3888"/>
            <w:shd w:val="clear" w:color="auto" w:fill="D9E1F2"/>
          </w:tcPr>
          <w:p>
            <w:r/>
            <w:r>
              <w:rPr>
                <w:b/>
                <w:sz w:val="20"/>
              </w:rPr>
              <w:t>Primary accountability</w:t>
            </w:r>
          </w:p>
        </w:tc>
        <w:tc>
          <w:tcPr>
            <w:tcW w:type="dxa" w:w="3888"/>
            <w:shd w:val="clear" w:color="auto" w:fill="D9E1F2"/>
          </w:tcPr>
          <w:p>
            <w:r/>
            <w:r>
              <w:rPr>
                <w:b/>
                <w:sz w:val="20"/>
              </w:rPr>
              <w:t>Minimum qualification posture</w:t>
            </w:r>
          </w:p>
        </w:tc>
      </w:tr>
      <w:tr>
        <w:tc>
          <w:tcPr>
            <w:tcW w:type="dxa" w:w="2016"/>
          </w:tcPr>
          <w:p>
            <w:r/>
            <w:r>
              <w:rPr>
                <w:sz w:val="20"/>
              </w:rPr>
              <w:t>Program Manager (PM)</w:t>
            </w:r>
          </w:p>
        </w:tc>
        <w:tc>
          <w:tcPr>
            <w:tcW w:type="dxa" w:w="3888"/>
          </w:tcPr>
          <w:p>
            <w:r/>
            <w:r>
              <w:rPr>
                <w:sz w:val="20"/>
              </w:rPr>
              <w:t>Primary technical and managerial interface to the CO and COR; QASP alignment; PMO governance</w:t>
            </w:r>
          </w:p>
        </w:tc>
        <w:tc>
          <w:tcPr>
            <w:tcW w:type="dxa" w:w="3888"/>
          </w:tcPr>
          <w:p>
            <w:r/>
            <w:r>
              <w:rPr>
                <w:sz w:val="20"/>
              </w:rPr>
              <w:t>PMP or equivalent; 10+ years federal IT services PM; Agile sprint delivery; Public Trust</w:t>
            </w:r>
          </w:p>
        </w:tc>
      </w:tr>
      <w:tr>
        <w:tc>
          <w:tcPr>
            <w:tcW w:type="dxa" w:w="2016"/>
          </w:tcPr>
          <w:p>
            <w:r/>
            <w:r>
              <w:rPr>
                <w:sz w:val="20"/>
              </w:rPr>
              <w:t>Deputy PM / Quality Control Lead</w:t>
            </w:r>
          </w:p>
        </w:tc>
        <w:tc>
          <w:tcPr>
            <w:tcW w:type="dxa" w:w="3888"/>
          </w:tcPr>
          <w:p>
            <w:r/>
            <w:r>
              <w:rPr>
                <w:sz w:val="20"/>
              </w:rPr>
              <w:t>QCP ownership; QASP performance reporting; corrective-action protocol; PM alternate per PWS 3.1</w:t>
            </w:r>
          </w:p>
        </w:tc>
        <w:tc>
          <w:tcPr>
            <w:tcW w:type="dxa" w:w="3888"/>
          </w:tcPr>
          <w:p>
            <w:r/>
            <w:r>
              <w:rPr>
                <w:sz w:val="20"/>
              </w:rPr>
              <w:t>PMP or equivalent; 7+ years federal QA; ITIL Foundation</w:t>
            </w:r>
          </w:p>
        </w:tc>
      </w:tr>
      <w:tr>
        <w:tc>
          <w:tcPr>
            <w:tcW w:type="dxa" w:w="2016"/>
          </w:tcPr>
          <w:p>
            <w:r/>
            <w:r>
              <w:rPr>
                <w:sz w:val="20"/>
              </w:rPr>
              <w:t>Service Desk Lead (Task 1.1)</w:t>
            </w:r>
          </w:p>
        </w:tc>
        <w:tc>
          <w:tcPr>
            <w:tcW w:type="dxa" w:w="3888"/>
          </w:tcPr>
          <w:p>
            <w:r/>
            <w:r>
              <w:rPr>
                <w:sz w:val="20"/>
              </w:rPr>
              <w:t>Tier-1 service operations; deflection program; KB &amp; Virtual Agent ownership</w:t>
            </w:r>
          </w:p>
        </w:tc>
        <w:tc>
          <w:tcPr>
            <w:tcW w:type="dxa" w:w="3888"/>
          </w:tcPr>
          <w:p>
            <w:r/>
            <w:r>
              <w:rPr>
                <w:sz w:val="20"/>
              </w:rPr>
              <w:t>ITIL Foundation; 7+ years federal Tier-1 leadership; experience with NICE VCC or equivalent</w:t>
            </w:r>
          </w:p>
        </w:tc>
      </w:tr>
      <w:tr>
        <w:tc>
          <w:tcPr>
            <w:tcW w:type="dxa" w:w="2016"/>
          </w:tcPr>
          <w:p>
            <w:r/>
            <w:r>
              <w:rPr>
                <w:sz w:val="20"/>
              </w:rPr>
              <w:t>Global Activities Lead (Task 2.1)</w:t>
            </w:r>
          </w:p>
        </w:tc>
        <w:tc>
          <w:tcPr>
            <w:tcW w:type="dxa" w:w="3888"/>
          </w:tcPr>
          <w:p>
            <w:r/>
            <w:r>
              <w:rPr>
                <w:sz w:val="20"/>
              </w:rPr>
              <w:t>OCONUS engineering; deployment readiness; regional engineer accountability</w:t>
            </w:r>
          </w:p>
        </w:tc>
        <w:tc>
          <w:tcPr>
            <w:tcW w:type="dxa" w:w="3888"/>
          </w:tcPr>
          <w:p>
            <w:r/>
            <w:r>
              <w:rPr>
                <w:sz w:val="20"/>
              </w:rPr>
              <w:t>Active CCNA; 8+ years OCONUS network engineering; FACT-current; international travel readiness</w:t>
            </w:r>
          </w:p>
        </w:tc>
      </w:tr>
    </w:tbl>
    <w:p>
      <w:r>
        <w:rPr>
          <w:i/>
          <w:color w:val="707070"/>
        </w:rPr>
        <w:t>[PLACEHOLDER: Appendix B — Key Personnel Resumes. Capture lead to confirm named individuals; resumes inserted in the appendix and excluded from the 35-page count consistent with prior practice. Each resume to address: education, certifications, security clearance, federal CDC/HHS experience, demonstrated performance against comparable SLAs, and references.]</w:t>
      </w:r>
    </w:p>
    <w:p>
      <w:pPr>
        <w:pStyle w:val="Heading2"/>
      </w:pPr>
      <w:r>
        <w:t>2.4 Approach to Recruit, Hire, and Retain</w:t>
      </w:r>
    </w:p>
    <w:p>
      <w:pPr/>
      <w:r>
        <w:rPr>
          <w:b/>
        </w:rPr>
        <w:t>Recruit and hire.</w:t>
      </w:r>
      <w:r>
        <w:t xml:space="preserve"> Per PWS Section 9, qualified staff are available within seven days of a task order or option period start. We meet this through three mechanisms: (1) a pre-cleared and pre-credentialed bench inside the prime and subcontractor team that is available for direct assignment; (2) a documented hiring funnel with named recruiting partners that targets ITIL-certified, CCNA-certified, and federal-experienced candidates; (3) for urgent or surge demand under Task 4.1, an Insight Global-led [PLACEHOLDER: confirm whether to name staffing partner in Volume I or treat generically as 'staffing partner'] staffing channel that lets us scale by city, by labor category, and by clearance posture without ad hoc mobilization.</w:t>
      </w:r>
    </w:p>
    <w:p>
      <w:pPr/>
      <w:r>
        <w:rPr>
          <w:b/>
        </w:rPr>
        <w:t>Replacement velocity.</w:t>
      </w:r>
      <w:r>
        <w:t xml:space="preserve"> If a Key Personnel position becomes vacant, we identify a qualified replacement and propose to CDC within 10 business days. For non-Key positions, the replacement target is consistent with the Section 9 seven-day standard for new task orders, with backfill from the pre-cleared bench during recruitment. Fingerprinting timeliness is treated as a managed metric, not an administrative checkpoint — we coordinate with HHS to schedule within the published windows to avoid invoice deductions for delay (PWS Section 9 disincentive structure).</w:t>
      </w:r>
    </w:p>
    <w:p>
      <w:pPr/>
      <w:r>
        <w:rPr>
          <w:b/>
        </w:rPr>
        <w:t>Retention.</w:t>
      </w:r>
      <w:r>
        <w:t xml:space="preserve"> Three retention levers carry the most weight on this contract. (1) Role clarity and career progression — staff who see a path advance and stay. (2) Training currency — every contractor employee has access to trainings and certifications relevant to their role; certification renewal is tracked and contractor-funded for required certifications (ITIL, CCNA, PMP). (3) Performance recognition tied to operational outcomes — service desk technicians and SDLs whose teams deliver against SLA see that performance reflected in evaluations and growth opportunities. We sustain 360-degree feedback at annual cycle and pulse-survey at quarterly cadence to read engagement before it reads as turnover.</w:t>
      </w:r>
    </w:p>
    <w:p>
      <w:pPr/>
      <w:r>
        <w:rPr>
          <w:b/>
        </w:rPr>
        <w:t>Continuity of trusted talent.</w:t>
      </w:r>
      <w:r>
        <w:t xml:space="preserve"> Continuity of trusted talent is one of our executive win themes. During transition, we engage exclusively through CDC-coordinated channels and the staffing-partner pathway to avoid any conduct that could be characterized as direct outreach for solicitation of incumbent staff. Where incumbent personnel are interested in continued CITS engagement under our team, we route those expressions of interest through the staffing channel rather than through prime-to-individual contact, in keeping with sound procurement-integrity practice. This protocol is documented in §3.7 transition plan.</w:t>
      </w:r>
    </w:p>
    <w:p>
      <w:pPr>
        <w:pStyle w:val="Heading2"/>
      </w:pPr>
      <w:r>
        <w:t>2.5 Employee Turnover Rates</w:t>
      </w:r>
    </w:p>
    <w:p>
      <w:pPr/>
      <w:r>
        <w:t>Per Section E Staffing Plan instruction, prime and named subcontractor turnover rates for the past two years are shown below. Turnover is reported as percentage of separations against average headcount on comparable federal IT services portfolios.</w:t>
      </w:r>
    </w:p>
    <w:tbl>
      <w:tblPr>
        <w:tblStyle w:val="LightGrid-Accent1"/>
        <w:tblW w:type="auto" w:w="0"/>
        <w:tblLook w:firstColumn="1" w:firstRow="1" w:lastColumn="0" w:lastRow="0" w:noHBand="0" w:noVBand="1" w:val="04A0"/>
      </w:tblPr>
      <w:tblGrid>
        <w:gridCol w:w="2520"/>
        <w:gridCol w:w="2520"/>
        <w:gridCol w:w="2520"/>
        <w:gridCol w:w="2520"/>
      </w:tblGrid>
      <w:tr>
        <w:tc>
          <w:tcPr>
            <w:tcW w:type="dxa" w:w="3456"/>
            <w:shd w:val="clear" w:color="auto" w:fill="D9E1F2"/>
          </w:tcPr>
          <w:p>
            <w:r/>
            <w:r>
              <w:rPr>
                <w:b/>
                <w:sz w:val="20"/>
              </w:rPr>
              <w:t>Entity</w:t>
            </w:r>
          </w:p>
        </w:tc>
        <w:tc>
          <w:tcPr>
            <w:tcW w:type="dxa" w:w="1728"/>
            <w:shd w:val="clear" w:color="auto" w:fill="D9E1F2"/>
          </w:tcPr>
          <w:p>
            <w:r/>
            <w:r>
              <w:rPr>
                <w:b/>
                <w:sz w:val="20"/>
              </w:rPr>
              <w:t>FY24 turnover</w:t>
            </w:r>
          </w:p>
        </w:tc>
        <w:tc>
          <w:tcPr>
            <w:tcW w:type="dxa" w:w="1728"/>
            <w:shd w:val="clear" w:color="auto" w:fill="D9E1F2"/>
          </w:tcPr>
          <w:p>
            <w:r/>
            <w:r>
              <w:rPr>
                <w:b/>
                <w:sz w:val="20"/>
              </w:rPr>
              <w:t>FY25 turnover</w:t>
            </w:r>
          </w:p>
        </w:tc>
        <w:tc>
          <w:tcPr>
            <w:tcW w:type="dxa" w:w="2880"/>
            <w:shd w:val="clear" w:color="auto" w:fill="D9E1F2"/>
          </w:tcPr>
          <w:p>
            <w:r/>
            <w:r>
              <w:rPr>
                <w:b/>
                <w:sz w:val="20"/>
              </w:rPr>
              <w:t>Notes</w:t>
            </w:r>
          </w:p>
        </w:tc>
      </w:tr>
      <w:tr>
        <w:tc>
          <w:tcPr>
            <w:tcW w:type="dxa" w:w="3456"/>
          </w:tcPr>
          <w:p>
            <w:r/>
            <w:r>
              <w:rPr>
                <w:sz w:val="20"/>
              </w:rPr>
              <w:t>[Prime]</w:t>
            </w:r>
          </w:p>
        </w:tc>
        <w:tc>
          <w:tcPr>
            <w:tcW w:type="dxa" w:w="1728"/>
          </w:tcPr>
          <w:p>
            <w:r/>
            <w:r>
              <w:rPr>
                <w:sz w:val="20"/>
              </w:rPr>
              <w:t>[PLACEHOLDER %]</w:t>
            </w:r>
          </w:p>
        </w:tc>
        <w:tc>
          <w:tcPr>
            <w:tcW w:type="dxa" w:w="1728"/>
          </w:tcPr>
          <w:p>
            <w:r/>
            <w:r>
              <w:rPr>
                <w:sz w:val="20"/>
              </w:rPr>
              <w:t>[PLACEHOLDER %]</w:t>
            </w:r>
          </w:p>
        </w:tc>
        <w:tc>
          <w:tcPr>
            <w:tcW w:type="dxa" w:w="2880"/>
          </w:tcPr>
          <w:p>
            <w:r/>
            <w:r>
              <w:rPr>
                <w:sz w:val="20"/>
              </w:rPr>
              <w:t>Prime federal IT services portfolio (comparable)</w:t>
            </w:r>
          </w:p>
        </w:tc>
      </w:tr>
      <w:tr>
        <w:tc>
          <w:tcPr>
            <w:tcW w:type="dxa" w:w="3456"/>
          </w:tcPr>
          <w:p>
            <w:r/>
            <w:r>
              <w:rPr>
                <w:sz w:val="20"/>
              </w:rPr>
              <w:t>[Primary teaming partner]</w:t>
            </w:r>
          </w:p>
        </w:tc>
        <w:tc>
          <w:tcPr>
            <w:tcW w:type="dxa" w:w="1728"/>
          </w:tcPr>
          <w:p>
            <w:r/>
            <w:r>
              <w:rPr>
                <w:sz w:val="20"/>
              </w:rPr>
              <w:t>[PLACEHOLDER %]</w:t>
            </w:r>
          </w:p>
        </w:tc>
        <w:tc>
          <w:tcPr>
            <w:tcW w:type="dxa" w:w="1728"/>
          </w:tcPr>
          <w:p>
            <w:r/>
            <w:r>
              <w:rPr>
                <w:sz w:val="20"/>
              </w:rPr>
              <w:t>[PLACEHOLDER %]</w:t>
            </w:r>
          </w:p>
        </w:tc>
        <w:tc>
          <w:tcPr>
            <w:tcW w:type="dxa" w:w="2880"/>
          </w:tcPr>
          <w:p>
            <w:r/>
            <w:r>
              <w:rPr>
                <w:sz w:val="20"/>
              </w:rPr>
              <w:t>Federal IT services book of business</w:t>
            </w:r>
          </w:p>
        </w:tc>
      </w:tr>
      <w:tr>
        <w:tc>
          <w:tcPr>
            <w:tcW w:type="dxa" w:w="3456"/>
          </w:tcPr>
          <w:p>
            <w:r/>
            <w:r>
              <w:rPr>
                <w:sz w:val="20"/>
              </w:rPr>
              <w:t>Industry benchmark (federal IT services)</w:t>
            </w:r>
          </w:p>
        </w:tc>
        <w:tc>
          <w:tcPr>
            <w:tcW w:type="dxa" w:w="1728"/>
          </w:tcPr>
          <w:p>
            <w:r/>
            <w:r>
              <w:rPr>
                <w:sz w:val="20"/>
              </w:rPr>
              <w:t>[PLACEHOLDER %]</w:t>
            </w:r>
          </w:p>
        </w:tc>
        <w:tc>
          <w:tcPr>
            <w:tcW w:type="dxa" w:w="1728"/>
          </w:tcPr>
          <w:p>
            <w:r/>
            <w:r>
              <w:rPr>
                <w:sz w:val="20"/>
              </w:rPr>
              <w:t>[PLACEHOLDER %]</w:t>
            </w:r>
          </w:p>
        </w:tc>
        <w:tc>
          <w:tcPr>
            <w:tcW w:type="dxa" w:w="2880"/>
          </w:tcPr>
          <w:p>
            <w:r/>
            <w:r>
              <w:rPr>
                <w:sz w:val="20"/>
              </w:rPr>
              <w:t>Reference benchmark only</w:t>
            </w:r>
          </w:p>
        </w:tc>
      </w:tr>
    </w:tbl>
    <w:p>
      <w:r>
        <w:rPr>
          <w:i/>
          <w:color w:val="707070"/>
        </w:rPr>
        <w:t>[PLACEHOLDER: Capture lead and HR analytics to provide actual two-year turnover percentages for prime and named subs before submission. Industry benchmark figure to come from a citable public source (e.g., Computer Economics or BLS).]</w:t>
      </w:r>
    </w:p>
    <w:p>
      <w:pPr>
        <w:pStyle w:val="Heading2"/>
      </w:pPr>
      <w:r>
        <w:t>2.6 Subcontracting Plan</w:t>
      </w:r>
    </w:p>
    <w:p>
      <w:pPr/>
      <w:r>
        <w:t>Per Section E item (c)(5) of the Volume II business volume instructions, a Small Business Subcontracting Plan accompanies this proposal as required by FAR 52.219-9 (where applicable). [PLACEHOLDER: Insert summary statement of subcontracting plan posture — confirm whether the prime is a small business (in which case 52.219-9 does not apply), or whether we are submitting the DHHS subcontracting plan template. Reference the subcontracting goals by socioeconomic category.] The full plan is in Volume II.</w:t>
      </w:r>
    </w:p>
    <w:p>
      <w:pPr>
        <w:pStyle w:val="Heading2"/>
      </w:pPr>
      <w:r>
        <w:t>2.7 Staffing Risks and Mitigations</w:t>
      </w:r>
    </w:p>
    <w:p>
      <w:pPr/>
      <w:r>
        <w:t>Three staffing risks dominate. We surface them here so the Government can see how our hiring, retention, and surge approach is calibrated to the realities of the federal IT services labor market.</w:t>
      </w:r>
    </w:p>
    <w:tbl>
      <w:tblPr>
        <w:tblStyle w:val="LightGrid-Accent1"/>
        <w:tblW w:type="auto" w:w="0"/>
        <w:tblLook w:firstColumn="1" w:firstRow="1" w:lastColumn="0" w:lastRow="0" w:noHBand="0" w:noVBand="1" w:val="04A0"/>
      </w:tblPr>
      <w:tblGrid>
        <w:gridCol w:w="2520"/>
        <w:gridCol w:w="2520"/>
        <w:gridCol w:w="2520"/>
        <w:gridCol w:w="2520"/>
      </w:tblGrid>
      <w:tr>
        <w:tc>
          <w:tcPr>
            <w:tcW w:type="dxa" w:w="3456"/>
            <w:shd w:val="clear" w:color="auto" w:fill="D9E1F2"/>
          </w:tcPr>
          <w:p>
            <w:r/>
            <w:r>
              <w:rPr>
                <w:b/>
                <w:sz w:val="20"/>
              </w:rPr>
              <w:t>Risk</w:t>
            </w:r>
          </w:p>
        </w:tc>
        <w:tc>
          <w:tcPr>
            <w:tcW w:type="dxa" w:w="1296"/>
            <w:shd w:val="clear" w:color="auto" w:fill="D9E1F2"/>
          </w:tcPr>
          <w:p>
            <w:r/>
            <w:r>
              <w:rPr>
                <w:b/>
                <w:sz w:val="20"/>
              </w:rPr>
              <w:t>Likelihood</w:t>
            </w:r>
          </w:p>
        </w:tc>
        <w:tc>
          <w:tcPr>
            <w:tcW w:type="dxa" w:w="1008"/>
            <w:shd w:val="clear" w:color="auto" w:fill="D9E1F2"/>
          </w:tcPr>
          <w:p>
            <w:r/>
            <w:r>
              <w:rPr>
                <w:b/>
                <w:sz w:val="20"/>
              </w:rPr>
              <w:t>Impact</w:t>
            </w:r>
          </w:p>
        </w:tc>
        <w:tc>
          <w:tcPr>
            <w:tcW w:type="dxa" w:w="3888"/>
            <w:shd w:val="clear" w:color="auto" w:fill="D9E1F2"/>
          </w:tcPr>
          <w:p>
            <w:r/>
            <w:r>
              <w:rPr>
                <w:b/>
                <w:sz w:val="20"/>
              </w:rPr>
              <w:t>Mitigation</w:t>
            </w:r>
          </w:p>
        </w:tc>
      </w:tr>
      <w:tr>
        <w:tc>
          <w:tcPr>
            <w:tcW w:type="dxa" w:w="3456"/>
          </w:tcPr>
          <w:p>
            <w:r/>
            <w:r>
              <w:rPr>
                <w:sz w:val="20"/>
              </w:rPr>
              <w:t>Clearance throughput lag at transition (fingerprinting / Public Trust 5)</w:t>
            </w:r>
          </w:p>
        </w:tc>
        <w:tc>
          <w:tcPr>
            <w:tcW w:type="dxa" w:w="1296"/>
          </w:tcPr>
          <w:p>
            <w:r/>
            <w:r>
              <w:rPr>
                <w:sz w:val="20"/>
              </w:rPr>
              <w:t>Medium</w:t>
            </w:r>
          </w:p>
        </w:tc>
        <w:tc>
          <w:tcPr>
            <w:tcW w:type="dxa" w:w="1008"/>
          </w:tcPr>
          <w:p>
            <w:r/>
            <w:r>
              <w:rPr>
                <w:sz w:val="20"/>
              </w:rPr>
              <w:t>High</w:t>
            </w:r>
          </w:p>
        </w:tc>
        <w:tc>
          <w:tcPr>
            <w:tcW w:type="dxa" w:w="3888"/>
          </w:tcPr>
          <w:p>
            <w:r/>
            <w:r>
              <w:rPr>
                <w:sz w:val="20"/>
              </w:rPr>
              <w:t>Pre-cleared bench inside prime and primary teaming partner; documented HHS scheduling protocol to avoid §9 invoice deductions; staffing-partner pipeline pre-screened for clearance posture.</w:t>
            </w:r>
          </w:p>
        </w:tc>
      </w:tr>
      <w:tr>
        <w:tc>
          <w:tcPr>
            <w:tcW w:type="dxa" w:w="3456"/>
          </w:tcPr>
          <w:p>
            <w:r/>
            <w:r>
              <w:rPr>
                <w:sz w:val="20"/>
              </w:rPr>
              <w:t>CCNA-credentialed engineer shortage in OCONUS-deployable roles</w:t>
            </w:r>
          </w:p>
        </w:tc>
        <w:tc>
          <w:tcPr>
            <w:tcW w:type="dxa" w:w="1296"/>
          </w:tcPr>
          <w:p>
            <w:r/>
            <w:r>
              <w:rPr>
                <w:sz w:val="20"/>
              </w:rPr>
              <w:t>Medium</w:t>
            </w:r>
          </w:p>
        </w:tc>
        <w:tc>
          <w:tcPr>
            <w:tcW w:type="dxa" w:w="1008"/>
          </w:tcPr>
          <w:p>
            <w:r/>
            <w:r>
              <w:rPr>
                <w:sz w:val="20"/>
              </w:rPr>
              <w:t>High</w:t>
            </w:r>
          </w:p>
        </w:tc>
        <w:tc>
          <w:tcPr>
            <w:tcW w:type="dxa" w:w="3888"/>
          </w:tcPr>
          <w:p>
            <w:r/>
            <w:r>
              <w:rPr>
                <w:sz w:val="20"/>
              </w:rPr>
              <w:t>Retention focus on incumbent GA engineers; contractor-funded CCNA renewal; Insight Global pipeline filtered by CCNA + travel readiness; cross-training of Task 9.1 networking staff for CCNA path.</w:t>
            </w:r>
          </w:p>
        </w:tc>
      </w:tr>
      <w:tr>
        <w:tc>
          <w:tcPr>
            <w:tcW w:type="dxa" w:w="3456"/>
          </w:tcPr>
          <w:p>
            <w:r/>
            <w:r>
              <w:rPr>
                <w:sz w:val="20"/>
              </w:rPr>
              <w:t>Surge bench depth during a public health emergency</w:t>
            </w:r>
          </w:p>
        </w:tc>
        <w:tc>
          <w:tcPr>
            <w:tcW w:type="dxa" w:w="1296"/>
          </w:tcPr>
          <w:p>
            <w:r/>
            <w:r>
              <w:rPr>
                <w:sz w:val="20"/>
              </w:rPr>
              <w:t>Medium</w:t>
            </w:r>
          </w:p>
        </w:tc>
        <w:tc>
          <w:tcPr>
            <w:tcW w:type="dxa" w:w="1008"/>
          </w:tcPr>
          <w:p>
            <w:r/>
            <w:r>
              <w:rPr>
                <w:sz w:val="20"/>
              </w:rPr>
              <w:t>Medium</w:t>
            </w:r>
          </w:p>
        </w:tc>
        <w:tc>
          <w:tcPr>
            <w:tcW w:type="dxa" w:w="3888"/>
          </w:tcPr>
          <w:p>
            <w:r/>
            <w:r>
              <w:rPr>
                <w:sz w:val="20"/>
              </w:rPr>
              <w:t>Task 4.1 designated bench rebalanced quarterly; cross-task surge plan; deflection-preserved Tier-1 capacity; Insight Global rapid-deploy LCAT mapping by city and clearance.</w:t>
            </w:r>
          </w:p>
        </w:tc>
      </w:tr>
      <w:tr>
        <w:tc>
          <w:tcPr>
            <w:tcW w:type="dxa" w:w="3456"/>
          </w:tcPr>
          <w:p>
            <w:r/>
            <w:r>
              <w:rPr>
                <w:sz w:val="20"/>
              </w:rPr>
              <w:t>Voluntary attrition of named SDLs / Tier-2 leads at Atlanta campuses</w:t>
            </w:r>
          </w:p>
        </w:tc>
        <w:tc>
          <w:tcPr>
            <w:tcW w:type="dxa" w:w="1296"/>
          </w:tcPr>
          <w:p>
            <w:r/>
            <w:r>
              <w:rPr>
                <w:sz w:val="20"/>
              </w:rPr>
              <w:t>Low–Medium</w:t>
            </w:r>
          </w:p>
        </w:tc>
        <w:tc>
          <w:tcPr>
            <w:tcW w:type="dxa" w:w="1008"/>
          </w:tcPr>
          <w:p>
            <w:r/>
            <w:r>
              <w:rPr>
                <w:sz w:val="20"/>
              </w:rPr>
              <w:t>Medium</w:t>
            </w:r>
          </w:p>
        </w:tc>
        <w:tc>
          <w:tcPr>
            <w:tcW w:type="dxa" w:w="3888"/>
          </w:tcPr>
          <w:p>
            <w:r/>
            <w:r>
              <w:rPr>
                <w:sz w:val="20"/>
              </w:rPr>
              <w:t>SDL career progression path; rotation and shadow programs; quarterly retention pulse; campus-specific knowledge backup roster maintained as Task 1.2 standing artifact.</w:t>
            </w:r>
          </w:p>
        </w:tc>
      </w:tr>
      <w:tr>
        <w:tc>
          <w:tcPr>
            <w:tcW w:type="dxa" w:w="3456"/>
          </w:tcPr>
          <w:p>
            <w:r/>
            <w:r>
              <w:rPr>
                <w:sz w:val="20"/>
              </w:rPr>
              <w:t>Subcontractor performance variance across task families</w:t>
            </w:r>
          </w:p>
        </w:tc>
        <w:tc>
          <w:tcPr>
            <w:tcW w:type="dxa" w:w="1296"/>
          </w:tcPr>
          <w:p>
            <w:r/>
            <w:r>
              <w:rPr>
                <w:sz w:val="20"/>
              </w:rPr>
              <w:t>Low</w:t>
            </w:r>
          </w:p>
        </w:tc>
        <w:tc>
          <w:tcPr>
            <w:tcW w:type="dxa" w:w="1008"/>
          </w:tcPr>
          <w:p>
            <w:r/>
            <w:r>
              <w:rPr>
                <w:sz w:val="20"/>
              </w:rPr>
              <w:t>Medium</w:t>
            </w:r>
          </w:p>
        </w:tc>
        <w:tc>
          <w:tcPr>
            <w:tcW w:type="dxa" w:w="3888"/>
          </w:tcPr>
          <w:p>
            <w:r/>
            <w:r>
              <w:rPr>
                <w:sz w:val="20"/>
              </w:rPr>
              <w:t>Subcontract Management Lead under PM; bi-weekly performance review; SLA flowdown identical to prime obligations; named escalation path to CO.</w:t>
            </w:r>
          </w:p>
        </w:tc>
      </w:tr>
    </w:tbl>
    <w:p>
      <w:pPr>
        <w:pStyle w:val="Heading1"/>
      </w:pPr>
      <w:r>
        <w:t>3. Management Approach</w:t>
      </w:r>
    </w:p>
    <w:p>
      <w:pPr/>
      <w:r>
        <w:t>Our management principle: a single accountable interface, a disciplined cadence, and decisions that get made before they reach the COR. CITS spans 10 PWS tasks, dozens of subtasks, multiple subcontractors, and a delivery footprint that includes Atlanta campuses, non-Atlanta CSC sites, FSS deployments, and approximately 60 OCONUS Global Activities locations. Without a clear management spine, that complexity surfaces as friction at the COR's desk. Our approach pushes accountability and decision-making down to the lowest level where they can be made well, and reserves CDC's leadership attention for the decisions that genuinely require it.</w:t>
      </w:r>
    </w:p>
    <w:p>
      <w:pPr>
        <w:pStyle w:val="Heading2"/>
      </w:pPr>
      <w:r>
        <w:t>3.1 Organizational Structure and Reporting Relationships</w:t>
      </w:r>
    </w:p>
    <w:p>
      <w:pPr/>
      <w:r>
        <w:t>Our organizational structure has four layers and is designed for clarity, not headcount. The Program Manager is the named, primary technical and managerial interface to the CO and the COR per PWS Task 3.1. Reporting to the PM are the named Task Leads for each PWS task family — Service Desk, Deskside, Emergency Preparedness, Global Activities, IAM, Infrastructure, Workplace Productivity, OCIO Communications, Application Development, and DSO Operations — together with the Quality Control Lead, the Cybersecurity and Compliance Lead, and the Subcontract Management Lead. Below the Task Leads are the Service Desk Liaisons, the Campus Leads, the engineering supervisors, and the operating teams. The full org chart and decision-rights matrix is in Appendix C.</w:t>
      </w:r>
    </w:p>
    <w:p>
      <w:r>
        <w:rPr>
          <w:i/>
          <w:color w:val="707070"/>
        </w:rPr>
        <w:t>[PLACEHOLDER: Appendix C — Organizational Chart and Decision-Rights Matrix. Proposal graphics team to render the org chart aligned to the technical approach in Section 1. Decision-rights matrix should specify, for each decision class (operational, change, financial, personnel, escalation), whether authority sits with the COR, the PM, the Task Lead, or the operating team — and the escalation path when authority is exceeded.]</w:t>
      </w:r>
    </w:p>
    <w:p>
      <w:pPr>
        <w:pStyle w:val="Heading2"/>
      </w:pPr>
      <w:r>
        <w:t>3.2 Performance Measurement and Metrics Monitoring</w:t>
      </w:r>
    </w:p>
    <w:p>
      <w:pPr/>
      <w:r>
        <w:t>Performance measurement runs on a single ServiceNow-based reporting platform under Task 10.5 that integrates ticket data, SLA performance, customer satisfaction survey results, deflection metrics, and the QASP performance requirements in PWS Section 9. The platform produces:</w:t>
      </w:r>
    </w:p>
    <w:p>
      <w:pPr>
        <w:pStyle w:val="ListBullet"/>
      </w:pPr>
      <w:r>
        <w:t>Daily operational dashboards for the PM and Task Leads, reflecting real-time SLA position against PWS Table 5 thresholds, Tier-1 contact center performance against Task 1.1 standards, and active P1/P2 incidents.</w:t>
      </w:r>
    </w:p>
    <w:p>
      <w:pPr>
        <w:pStyle w:val="ListBullet"/>
      </w:pPr>
      <w:r>
        <w:t>Weekly Status Reports submitted to the COR and Technical Monitor by 5:00 PM ET each Wednesday per PWS Section 8 deliverables — covering tasks assigned, tasks completed, reasons for delays, work planned for the next period, problems identified and corrective actions, and significant meetings.</w:t>
      </w:r>
    </w:p>
    <w:p>
      <w:pPr>
        <w:pStyle w:val="ListBullet"/>
      </w:pPr>
      <w:r>
        <w:t>Monthly In-Progress Reviews and Monthly Progress Reports submitted by the 15th of each month, presented to OCIO leadership.</w:t>
      </w:r>
    </w:p>
    <w:p>
      <w:pPr>
        <w:pStyle w:val="ListBullet"/>
      </w:pPr>
      <w:r>
        <w:t>Monthly Financial Reports on contract financial status, run rate against budget, and travel against the Section 7 caps ($12K Task 1.3 non-global, $15K Task 5 non-global, $15K Task 9 non-global, $198K Task 2.1 global, base period).</w:t>
      </w:r>
    </w:p>
    <w:p>
      <w:pPr>
        <w:pStyle w:val="ListBullet"/>
      </w:pPr>
      <w:r>
        <w:t>Quarterly performance trend reviews with the COR, framing year-over-year improvement against the contract objective of consistent TCO reduction.</w:t>
      </w:r>
    </w:p>
    <w:p>
      <w:pPr>
        <w:pStyle w:val="ListBullet"/>
      </w:pPr>
      <w:r>
        <w:t>Annual performance retrospective tied to option-period exercise gate; prepares OCIO leadership for informed option-exercise decisions.</w:t>
      </w:r>
    </w:p>
    <w:p>
      <w:pPr>
        <w:pStyle w:val="Heading2"/>
      </w:pPr>
      <w:r>
        <w:t>3.3 Risk Management</w:t>
      </w:r>
    </w:p>
    <w:p>
      <w:pPr/>
      <w:r>
        <w:t>Risk is managed in three loops. The operational risk loop runs daily through the dashboards and is the responsibility of the Task Leads. The program risk loop runs weekly through PMO governance and is the responsibility of the PM, who maintains a single program risk register with named owners, current likelihood and impact assessments, mitigation status, and decision deadlines. The strategic risk loop runs monthly with the COR and surfaces risks that require Government decisions — for example, changes in HHS policy, OCIO modernization direction, or budget posture.</w:t>
      </w:r>
    </w:p>
    <w:p>
      <w:pPr/>
      <w:r>
        <w:rPr>
          <w:b/>
        </w:rPr>
        <w:t>Program risk register.</w:t>
      </w:r>
      <w:r>
        <w:t xml:space="preserve"> Table 3.3-A presents the program-level risk register at proposal time. We update the register weekly and review it monthly with the COR.</w:t>
      </w:r>
    </w:p>
    <w:p>
      <w:pPr/>
      <w:r>
        <w:t>Table 3.3-A. Program-level risk register at proposal time.</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3744"/>
            <w:shd w:val="clear" w:color="auto" w:fill="D9E1F2"/>
          </w:tcPr>
          <w:p>
            <w:r/>
            <w:r>
              <w:rPr>
                <w:b/>
                <w:sz w:val="20"/>
              </w:rPr>
              <w:t>Risk</w:t>
            </w:r>
          </w:p>
        </w:tc>
        <w:tc>
          <w:tcPr>
            <w:tcW w:type="dxa" w:w="576"/>
            <w:shd w:val="clear" w:color="auto" w:fill="D9E1F2"/>
          </w:tcPr>
          <w:p>
            <w:r/>
            <w:r>
              <w:rPr>
                <w:b/>
                <w:sz w:val="20"/>
              </w:rPr>
              <w:t>L</w:t>
            </w:r>
          </w:p>
        </w:tc>
        <w:tc>
          <w:tcPr>
            <w:tcW w:type="dxa" w:w="576"/>
            <w:shd w:val="clear" w:color="auto" w:fill="D9E1F2"/>
          </w:tcPr>
          <w:p>
            <w:r/>
            <w:r>
              <w:rPr>
                <w:b/>
                <w:sz w:val="20"/>
              </w:rPr>
              <w:t>I</w:t>
            </w:r>
          </w:p>
        </w:tc>
        <w:tc>
          <w:tcPr>
            <w:tcW w:type="dxa" w:w="3888"/>
            <w:shd w:val="clear" w:color="auto" w:fill="D9E1F2"/>
          </w:tcPr>
          <w:p>
            <w:r/>
            <w:r>
              <w:rPr>
                <w:b/>
                <w:sz w:val="20"/>
              </w:rPr>
              <w:t>Mitigation</w:t>
            </w:r>
          </w:p>
        </w:tc>
        <w:tc>
          <w:tcPr>
            <w:tcW w:type="dxa" w:w="1440"/>
            <w:shd w:val="clear" w:color="auto" w:fill="D9E1F2"/>
          </w:tcPr>
          <w:p>
            <w:r/>
            <w:r>
              <w:rPr>
                <w:b/>
                <w:sz w:val="20"/>
              </w:rPr>
              <w:t>Owner</w:t>
            </w:r>
          </w:p>
        </w:tc>
      </w:tr>
      <w:tr>
        <w:tc>
          <w:tcPr>
            <w:tcW w:type="dxa" w:w="3744"/>
          </w:tcPr>
          <w:p>
            <w:r/>
            <w:r>
              <w:rPr>
                <w:sz w:val="20"/>
              </w:rPr>
              <w:t>OCONUS network outage cascades during emergency deployment</w:t>
            </w:r>
          </w:p>
        </w:tc>
        <w:tc>
          <w:tcPr>
            <w:tcW w:type="dxa" w:w="576"/>
          </w:tcPr>
          <w:p>
            <w:r/>
            <w:r>
              <w:rPr>
                <w:sz w:val="20"/>
              </w:rPr>
              <w:t>M</w:t>
            </w:r>
          </w:p>
        </w:tc>
        <w:tc>
          <w:tcPr>
            <w:tcW w:type="dxa" w:w="576"/>
          </w:tcPr>
          <w:p>
            <w:r/>
            <w:r>
              <w:rPr>
                <w:sz w:val="20"/>
              </w:rPr>
              <w:t>H</w:t>
            </w:r>
          </w:p>
        </w:tc>
        <w:tc>
          <w:tcPr>
            <w:tcW w:type="dxa" w:w="3888"/>
          </w:tcPr>
          <w:p>
            <w:r/>
            <w:r>
              <w:rPr>
                <w:sz w:val="20"/>
              </w:rPr>
              <w:t>Predictive SD-WAN monitoring; pre-positioned regional spares where logistics permit; CCNA-current regional engineers; 24-48 hour deployment readiness; FACT currency.</w:t>
            </w:r>
          </w:p>
        </w:tc>
        <w:tc>
          <w:tcPr>
            <w:tcW w:type="dxa" w:w="1440"/>
          </w:tcPr>
          <w:p>
            <w:r/>
            <w:r>
              <w:rPr>
                <w:sz w:val="20"/>
              </w:rPr>
              <w:t>GA Lead</w:t>
            </w:r>
          </w:p>
        </w:tc>
      </w:tr>
      <w:tr>
        <w:tc>
          <w:tcPr>
            <w:tcW w:type="dxa" w:w="3744"/>
          </w:tcPr>
          <w:p>
            <w:r/>
            <w:r>
              <w:rPr>
                <w:sz w:val="20"/>
              </w:rPr>
              <w:t>Public-health emergency surge exceeds Tier-1 capacity</w:t>
            </w:r>
          </w:p>
        </w:tc>
        <w:tc>
          <w:tcPr>
            <w:tcW w:type="dxa" w:w="576"/>
          </w:tcPr>
          <w:p>
            <w:r/>
            <w:r>
              <w:rPr>
                <w:sz w:val="20"/>
              </w:rPr>
              <w:t>M</w:t>
            </w:r>
          </w:p>
        </w:tc>
        <w:tc>
          <w:tcPr>
            <w:tcW w:type="dxa" w:w="576"/>
          </w:tcPr>
          <w:p>
            <w:r/>
            <w:r>
              <w:rPr>
                <w:sz w:val="20"/>
              </w:rPr>
              <w:t>H</w:t>
            </w:r>
          </w:p>
        </w:tc>
        <w:tc>
          <w:tcPr>
            <w:tcW w:type="dxa" w:w="3888"/>
          </w:tcPr>
          <w:p>
            <w:r/>
            <w:r>
              <w:rPr>
                <w:sz w:val="20"/>
              </w:rPr>
              <w:t>Deflection program preserves Tier-1 human capacity; Task 4.1 surge bench; Insight Global rapid-deploy channel; cross-task surge runbook activated through PMO.</w:t>
            </w:r>
          </w:p>
        </w:tc>
        <w:tc>
          <w:tcPr>
            <w:tcW w:type="dxa" w:w="1440"/>
          </w:tcPr>
          <w:p>
            <w:r/>
            <w:r>
              <w:rPr>
                <w:sz w:val="20"/>
              </w:rPr>
              <w:t>Service Desk Lead / PM</w:t>
            </w:r>
          </w:p>
        </w:tc>
      </w:tr>
      <w:tr>
        <w:tc>
          <w:tcPr>
            <w:tcW w:type="dxa" w:w="3744"/>
          </w:tcPr>
          <w:p>
            <w:r/>
            <w:r>
              <w:rPr>
                <w:sz w:val="20"/>
              </w:rPr>
              <w:t>Knowledge-base decay erodes deflection over time</w:t>
            </w:r>
          </w:p>
        </w:tc>
        <w:tc>
          <w:tcPr>
            <w:tcW w:type="dxa" w:w="576"/>
          </w:tcPr>
          <w:p>
            <w:r/>
            <w:r>
              <w:rPr>
                <w:sz w:val="20"/>
              </w:rPr>
              <w:t>M</w:t>
            </w:r>
          </w:p>
        </w:tc>
        <w:tc>
          <w:tcPr>
            <w:tcW w:type="dxa" w:w="576"/>
          </w:tcPr>
          <w:p>
            <w:r/>
            <w:r>
              <w:rPr>
                <w:sz w:val="20"/>
              </w:rPr>
              <w:t>M</w:t>
            </w:r>
          </w:p>
        </w:tc>
        <w:tc>
          <w:tcPr>
            <w:tcW w:type="dxa" w:w="3888"/>
          </w:tcPr>
          <w:p>
            <w:r/>
            <w:r>
              <w:rPr>
                <w:sz w:val="20"/>
              </w:rPr>
              <w:t>Named article ownership; quarterly review cadence; 95% Currency Rate metric; deflection-rate visibility surfaces decay early.</w:t>
            </w:r>
          </w:p>
        </w:tc>
        <w:tc>
          <w:tcPr>
            <w:tcW w:type="dxa" w:w="1440"/>
          </w:tcPr>
          <w:p>
            <w:r/>
            <w:r>
              <w:rPr>
                <w:sz w:val="20"/>
              </w:rPr>
              <w:t>QC Lead</w:t>
            </w:r>
          </w:p>
        </w:tc>
      </w:tr>
      <w:tr>
        <w:tc>
          <w:tcPr>
            <w:tcW w:type="dxa" w:w="3744"/>
          </w:tcPr>
          <w:p>
            <w:r/>
            <w:r>
              <w:rPr>
                <w:sz w:val="20"/>
              </w:rPr>
              <w:t>Pricing pressure and TCO commitments require service-quality discipline</w:t>
            </w:r>
          </w:p>
        </w:tc>
        <w:tc>
          <w:tcPr>
            <w:tcW w:type="dxa" w:w="576"/>
          </w:tcPr>
          <w:p>
            <w:r/>
            <w:r>
              <w:rPr>
                <w:sz w:val="20"/>
              </w:rPr>
              <w:t>H</w:t>
            </w:r>
          </w:p>
        </w:tc>
        <w:tc>
          <w:tcPr>
            <w:tcW w:type="dxa" w:w="576"/>
          </w:tcPr>
          <w:p>
            <w:r/>
            <w:r>
              <w:rPr>
                <w:sz w:val="20"/>
              </w:rPr>
              <w:t>M</w:t>
            </w:r>
          </w:p>
        </w:tc>
        <w:tc>
          <w:tcPr>
            <w:tcW w:type="dxa" w:w="3888"/>
          </w:tcPr>
          <w:p>
            <w:r/>
            <w:r>
              <w:rPr>
                <w:sz w:val="20"/>
              </w:rPr>
              <w:t>Year-over-year TCO targets in §1.8; deflection and zero-touch refresh as primary cost levers; delivery-center consolidation for eligible work; transparent monthly financial reporting.</w:t>
            </w:r>
          </w:p>
        </w:tc>
        <w:tc>
          <w:tcPr>
            <w:tcW w:type="dxa" w:w="1440"/>
          </w:tcPr>
          <w:p>
            <w:r/>
            <w:r>
              <w:rPr>
                <w:sz w:val="20"/>
              </w:rPr>
              <w:t>PM</w:t>
            </w:r>
          </w:p>
        </w:tc>
      </w:tr>
      <w:tr>
        <w:tc>
          <w:tcPr>
            <w:tcW w:type="dxa" w:w="3744"/>
          </w:tcPr>
          <w:p>
            <w:r/>
            <w:r>
              <w:rPr>
                <w:sz w:val="20"/>
              </w:rPr>
              <w:t>HHS budget continuity / org disruption</w:t>
            </w:r>
          </w:p>
        </w:tc>
        <w:tc>
          <w:tcPr>
            <w:tcW w:type="dxa" w:w="576"/>
          </w:tcPr>
          <w:p>
            <w:r/>
            <w:r>
              <w:rPr>
                <w:sz w:val="20"/>
              </w:rPr>
              <w:t>M</w:t>
            </w:r>
          </w:p>
        </w:tc>
        <w:tc>
          <w:tcPr>
            <w:tcW w:type="dxa" w:w="576"/>
          </w:tcPr>
          <w:p>
            <w:r/>
            <w:r>
              <w:rPr>
                <w:sz w:val="20"/>
              </w:rPr>
              <w:t>M</w:t>
            </w:r>
          </w:p>
        </w:tc>
        <w:tc>
          <w:tcPr>
            <w:tcW w:type="dxa" w:w="3888"/>
          </w:tcPr>
          <w:p>
            <w:r/>
            <w:r>
              <w:rPr>
                <w:sz w:val="20"/>
              </w:rPr>
              <w:t>Contractual flexibility (T&amp;M structure absorbs scope shifts); strategic risk loop with COR; documented assumptions in §3.10 surface scope-impact items early.</w:t>
            </w:r>
          </w:p>
        </w:tc>
        <w:tc>
          <w:tcPr>
            <w:tcW w:type="dxa" w:w="1440"/>
          </w:tcPr>
          <w:p>
            <w:r/>
            <w:r>
              <w:rPr>
                <w:sz w:val="20"/>
              </w:rPr>
              <w:t>PM</w:t>
            </w:r>
          </w:p>
        </w:tc>
      </w:tr>
      <w:tr>
        <w:tc>
          <w:tcPr>
            <w:tcW w:type="dxa" w:w="3744"/>
          </w:tcPr>
          <w:p>
            <w:r/>
            <w:r>
              <w:rPr>
                <w:sz w:val="20"/>
              </w:rPr>
              <w:t>Protest defensibility — clean transition, named subs, named individuals</w:t>
            </w:r>
          </w:p>
        </w:tc>
        <w:tc>
          <w:tcPr>
            <w:tcW w:type="dxa" w:w="576"/>
          </w:tcPr>
          <w:p>
            <w:r/>
            <w:r>
              <w:rPr>
                <w:sz w:val="20"/>
              </w:rPr>
              <w:t>L</w:t>
            </w:r>
          </w:p>
        </w:tc>
        <w:tc>
          <w:tcPr>
            <w:tcW w:type="dxa" w:w="576"/>
          </w:tcPr>
          <w:p>
            <w:r/>
            <w:r>
              <w:rPr>
                <w:sz w:val="20"/>
              </w:rPr>
              <w:t>H</w:t>
            </w:r>
          </w:p>
        </w:tc>
        <w:tc>
          <w:tcPr>
            <w:tcW w:type="dxa" w:w="3888"/>
          </w:tcPr>
          <w:p>
            <w:r/>
            <w:r>
              <w:rPr>
                <w:sz w:val="20"/>
              </w:rPr>
              <w:t>Zero direct outreach to incumbent staff; staffing-partner-only channel; documented procurement-integrity protocol in §3.7; subcontractor naming approved before submission.</w:t>
            </w:r>
          </w:p>
        </w:tc>
        <w:tc>
          <w:tcPr>
            <w:tcW w:type="dxa" w:w="1440"/>
          </w:tcPr>
          <w:p>
            <w:r/>
            <w:r>
              <w:rPr>
                <w:sz w:val="20"/>
              </w:rPr>
              <w:t>PM / Subcontract Lead</w:t>
            </w:r>
          </w:p>
        </w:tc>
      </w:tr>
      <w:tr>
        <w:tc>
          <w:tcPr>
            <w:tcW w:type="dxa" w:w="3744"/>
          </w:tcPr>
          <w:p>
            <w:r/>
            <w:r>
              <w:rPr>
                <w:sz w:val="20"/>
              </w:rPr>
              <w:t>AI-products restriction interpretation in performance</w:t>
            </w:r>
          </w:p>
        </w:tc>
        <w:tc>
          <w:tcPr>
            <w:tcW w:type="dxa" w:w="576"/>
          </w:tcPr>
          <w:p>
            <w:r/>
            <w:r>
              <w:rPr>
                <w:sz w:val="20"/>
              </w:rPr>
              <w:t>L</w:t>
            </w:r>
          </w:p>
        </w:tc>
        <w:tc>
          <w:tcPr>
            <w:tcW w:type="dxa" w:w="576"/>
          </w:tcPr>
          <w:p>
            <w:r/>
            <w:r>
              <w:rPr>
                <w:sz w:val="20"/>
              </w:rPr>
              <w:t>M</w:t>
            </w:r>
          </w:p>
        </w:tc>
        <w:tc>
          <w:tcPr>
            <w:tcW w:type="dxa" w:w="3888"/>
          </w:tcPr>
          <w:p>
            <w:r/>
            <w:r>
              <w:rPr>
                <w:sz w:val="20"/>
              </w:rPr>
              <w:t>ServiceNow-native automation only; no vendor-introduced AI; absorbed CDC-approved capabilities via CSI cadence; documented change protocol prevents inadvertent introduction.</w:t>
            </w:r>
          </w:p>
        </w:tc>
        <w:tc>
          <w:tcPr>
            <w:tcW w:type="dxa" w:w="1440"/>
          </w:tcPr>
          <w:p>
            <w:r/>
            <w:r>
              <w:rPr>
                <w:sz w:val="20"/>
              </w:rPr>
              <w:t>PM / Cyber Lead</w:t>
            </w:r>
          </w:p>
        </w:tc>
      </w:tr>
      <w:tr>
        <w:tc>
          <w:tcPr>
            <w:tcW w:type="dxa" w:w="3744"/>
          </w:tcPr>
          <w:p>
            <w:r/>
            <w:r>
              <w:rPr>
                <w:sz w:val="20"/>
              </w:rPr>
              <w:t>GFE reconciliation gap during transition</w:t>
            </w:r>
          </w:p>
        </w:tc>
        <w:tc>
          <w:tcPr>
            <w:tcW w:type="dxa" w:w="576"/>
          </w:tcPr>
          <w:p>
            <w:r/>
            <w:r>
              <w:rPr>
                <w:sz w:val="20"/>
              </w:rPr>
              <w:t>L</w:t>
            </w:r>
          </w:p>
        </w:tc>
        <w:tc>
          <w:tcPr>
            <w:tcW w:type="dxa" w:w="576"/>
          </w:tcPr>
          <w:p>
            <w:r/>
            <w:r>
              <w:rPr>
                <w:sz w:val="20"/>
              </w:rPr>
              <w:t>H</w:t>
            </w:r>
          </w:p>
        </w:tc>
        <w:tc>
          <w:tcPr>
            <w:tcW w:type="dxa" w:w="3888"/>
          </w:tcPr>
          <w:p>
            <w:r/>
            <w:r>
              <w:rPr>
                <w:sz w:val="20"/>
              </w:rPr>
              <w:t>Continuous-discipline approach (§3.9); Property Custodial Officer coverage; signed walk-down at transition; ServiceNow asset linkage; 95% on-time delivery metric.</w:t>
            </w:r>
          </w:p>
        </w:tc>
        <w:tc>
          <w:tcPr>
            <w:tcW w:type="dxa" w:w="1440"/>
          </w:tcPr>
          <w:p>
            <w:r/>
            <w:r>
              <w:rPr>
                <w:sz w:val="20"/>
              </w:rPr>
              <w:t>ITAM Lead / PM</w:t>
            </w:r>
          </w:p>
        </w:tc>
      </w:tr>
    </w:tbl>
    <w:p>
      <w:pPr/>
      <w:r>
        <w:rPr>
          <w:b/>
        </w:rPr>
        <w:t>Operational risks managed below the program register.</w:t>
      </w:r>
      <w:r>
        <w:t xml:space="preserve"> Three additional risks are identified during the operational risk loop in PWS Subsection 3.2.6 continuous-improvement cadence and may not appear in the program register at any single time: tooling-license expiration risk, training-currency risk for credentialed roles (CCNA, ITIL, PMP), and vendor case-management dependency for M365 and ServiceNow platform issues. Each is owned by the relevant Task Lead and reported through the standing weekly cadence.</w:t>
      </w:r>
    </w:p>
    <w:p>
      <w:pPr>
        <w:pStyle w:val="Heading2"/>
      </w:pPr>
      <w:r>
        <w:t>3.4 Communications, Telework Oversight, Conflict Management</w:t>
      </w:r>
    </w:p>
    <w:p>
      <w:pPr/>
      <w:r>
        <w:rPr>
          <w:b/>
        </w:rPr>
        <w:t>Communications cadence.</w:t>
      </w:r>
      <w:r>
        <w:t xml:space="preserve"> In addition to the recurring deliverables in PWS Section 8, the PM hosts a weekly status touchpoint with the COR (or as the COR prefers), a monthly leadership touchpoint with the OCIO sponsor, and ad hoc progress meetings as requested. The Continuous Service Improvement (CSI) cadence is published quarterly. All recurring meetings have a documented agenda template, a designated note-taker, and action-item tracking in ServiceNow.</w:t>
      </w:r>
    </w:p>
    <w:p>
      <w:pPr/>
      <w:r>
        <w:rPr>
          <w:b/>
        </w:rPr>
        <w:t>Telework oversight.</w:t>
      </w:r>
      <w:r>
        <w:t xml:space="preserve"> For positions designated as remote or hybrid in the PWS Section 6 Place of Performance table, oversight is built into the daily operating cadence: ServiceNow ticket-level activity logging, Personnel Availability reporting per PWS Section 9, and Task Lead-level oversight of throughput and quality. Telework does not loosen accountability — the Personnel Availability calculation under Section 9 (Talk Time + Hold Time + ACW + Wait Time minus Not Ready Time + Break Time + Lunch Time, divided by Staffed Time) applies to remote contact center personnel identically to on-site staff.</w:t>
      </w:r>
    </w:p>
    <w:p>
      <w:pPr/>
      <w:r>
        <w:rPr>
          <w:b/>
        </w:rPr>
        <w:t>Conflict management.</w:t>
      </w:r>
      <w:r>
        <w:t xml:space="preserve"> Conflicts among team members, between subcontractors, or between the contractor team and CDC stakeholders are surfaced at the lowest appropriate level first. The Task Lead resolves operational disagreements; the PM resolves cross-task or subcontractor-prime disagreements; the CO and contractor executive sponsor resolve contractual or scope disagreements. Mediation through HR or executive escalation is available where required. The full protocol is documented in the QCP.</w:t>
      </w:r>
    </w:p>
    <w:p>
      <w:pPr>
        <w:pStyle w:val="Heading2"/>
      </w:pPr>
      <w:r>
        <w:t>3.5 Fiscal Responsibility and Cost Discipline</w:t>
      </w:r>
    </w:p>
    <w:p>
      <w:pPr/>
      <w:r>
        <w:rPr>
          <w:b/>
        </w:rPr>
        <w:t>Fiscal responsibility.</w:t>
      </w:r>
      <w:r>
        <w:t xml:space="preserve"> Fiscal responsibility is measured monthly in the Monthly Financial Report and reviewed quarterly at the In-Progress Review. Burn-rate against the labor hour build, ODC and travel against the published caps (VCC license $320,826 base period; CEO non-global travel $18,326 base period; CEO global travel $183,326 base period; DSO ISB travel $30,000 base period; hardware/spare parts $137,500 base period), and option-period readiness are tracked as standing items. The PM raises any anticipated cost-impact change with the CO before the change manifests in the financials.</w:t>
      </w:r>
    </w:p>
    <w:p>
      <w:pPr/>
      <w:r>
        <w:rPr>
          <w:b/>
        </w:rPr>
        <w:t>Cost discipline drivers.</w:t>
      </w:r>
      <w:r>
        <w:t xml:space="preserve"> Three drivers reduce TCO across the period of performance, consistent with PWS Subsection 3.2.6 and contract objective 4. (1) Deflection — moving deterministic Tier-1 demand to ServiceNow self-service and the Virtual Agent reduces inbound volume and supports right-sized Tier-1 staffing. (2) Automation — RPA and ServiceNow workflow extension reduce per-ticket handling time on standard requests. (3) Delivery-center consolidation — eligible work consolidated to lower-cost U.S. delivery centers improves consistency and reduces per-hour cost without sacrificing service quality. Year-over-year TCO targets are agreed with the COR at the start of each option period and reported against monthly. The targets in §1.8 are the operating envelope.</w:t>
      </w:r>
    </w:p>
    <w:p>
      <w:pPr>
        <w:pStyle w:val="Heading2"/>
      </w:pPr>
      <w:r>
        <w:t>3.6 Draft Quality Control Plan (QCP)</w:t>
      </w:r>
    </w:p>
    <w:p>
      <w:pPr/>
      <w:r>
        <w:t>A draft Quality Control Plan is summarized below; the full QCP will be submitted to the CO within 30 calendar days after award per PWS Subsection 9.1, refined in coordination with the COR, and maintained throughout all periods of performance. Per Section E Management Approach item (iii)(d), the QCP includes performance measures beyond those in the PWS — meaningful, measurable, and challenging.</w:t>
      </w:r>
    </w:p>
    <w:p>
      <w:pPr/>
      <w:r>
        <w:t>Table 3.6-A. QCP performance measures (PWS thresholds plus QCP additions).</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2448"/>
            <w:shd w:val="clear" w:color="auto" w:fill="D9E1F2"/>
          </w:tcPr>
          <w:p>
            <w:r/>
            <w:r>
              <w:rPr>
                <w:b/>
                <w:sz w:val="20"/>
              </w:rPr>
              <w:t>Measure</w:t>
            </w:r>
          </w:p>
        </w:tc>
        <w:tc>
          <w:tcPr>
            <w:tcW w:type="dxa" w:w="2448"/>
            <w:shd w:val="clear" w:color="auto" w:fill="D9E1F2"/>
          </w:tcPr>
          <w:p>
            <w:r/>
            <w:r>
              <w:rPr>
                <w:b/>
                <w:sz w:val="20"/>
              </w:rPr>
              <w:t>Definition</w:t>
            </w:r>
          </w:p>
        </w:tc>
        <w:tc>
          <w:tcPr>
            <w:tcW w:type="dxa" w:w="1296"/>
            <w:shd w:val="clear" w:color="auto" w:fill="D9E1F2"/>
          </w:tcPr>
          <w:p>
            <w:r/>
            <w:r>
              <w:rPr>
                <w:b/>
                <w:sz w:val="20"/>
              </w:rPr>
              <w:t>Target</w:t>
            </w:r>
          </w:p>
        </w:tc>
        <w:tc>
          <w:tcPr>
            <w:tcW w:type="dxa" w:w="2304"/>
            <w:shd w:val="clear" w:color="auto" w:fill="D9E1F2"/>
          </w:tcPr>
          <w:p>
            <w:r/>
            <w:r>
              <w:rPr>
                <w:b/>
                <w:sz w:val="20"/>
              </w:rPr>
              <w:t>Surveillance method</w:t>
            </w:r>
          </w:p>
        </w:tc>
        <w:tc>
          <w:tcPr>
            <w:tcW w:type="dxa" w:w="1152"/>
            <w:shd w:val="clear" w:color="auto" w:fill="D9E1F2"/>
          </w:tcPr>
          <w:p>
            <w:r/>
            <w:r>
              <w:rPr>
                <w:b/>
                <w:sz w:val="20"/>
              </w:rPr>
              <w:t>Cadence</w:t>
            </w:r>
          </w:p>
        </w:tc>
      </w:tr>
      <w:tr>
        <w:tc>
          <w:tcPr>
            <w:tcW w:type="dxa" w:w="2448"/>
          </w:tcPr>
          <w:p>
            <w:r/>
            <w:r>
              <w:rPr>
                <w:sz w:val="20"/>
              </w:rPr>
              <w:t>Customer Service Survey (PWS)</w:t>
            </w:r>
          </w:p>
        </w:tc>
        <w:tc>
          <w:tcPr>
            <w:tcW w:type="dxa" w:w="2448"/>
          </w:tcPr>
          <w:p>
            <w:r/>
            <w:r>
              <w:rPr>
                <w:sz w:val="20"/>
              </w:rPr>
              <w:t>% positive customer survey responses</w:t>
            </w:r>
          </w:p>
        </w:tc>
        <w:tc>
          <w:tcPr>
            <w:tcW w:type="dxa" w:w="1296"/>
          </w:tcPr>
          <w:p>
            <w:r/>
            <w:r>
              <w:rPr>
                <w:sz w:val="20"/>
              </w:rPr>
              <w:t>≥96%</w:t>
            </w:r>
          </w:p>
        </w:tc>
        <w:tc>
          <w:tcPr>
            <w:tcW w:type="dxa" w:w="2304"/>
          </w:tcPr>
          <w:p>
            <w:r/>
            <w:r>
              <w:rPr>
                <w:sz w:val="20"/>
              </w:rPr>
              <w:t>100% sampling of completed surveys</w:t>
            </w:r>
          </w:p>
        </w:tc>
        <w:tc>
          <w:tcPr>
            <w:tcW w:type="dxa" w:w="1152"/>
          </w:tcPr>
          <w:p>
            <w:r/>
            <w:r>
              <w:rPr>
                <w:sz w:val="20"/>
              </w:rPr>
              <w:t>Monthly</w:t>
            </w:r>
          </w:p>
        </w:tc>
      </w:tr>
      <w:tr>
        <w:tc>
          <w:tcPr>
            <w:tcW w:type="dxa" w:w="2448"/>
          </w:tcPr>
          <w:p>
            <w:r/>
            <w:r>
              <w:rPr>
                <w:sz w:val="20"/>
              </w:rPr>
              <w:t>Personnel Availability (PWS)</w:t>
            </w:r>
          </w:p>
        </w:tc>
        <w:tc>
          <w:tcPr>
            <w:tcW w:type="dxa" w:w="2448"/>
          </w:tcPr>
          <w:p>
            <w:r/>
            <w:r>
              <w:rPr>
                <w:sz w:val="20"/>
              </w:rPr>
              <w:t>Per §9 formula</w:t>
            </w:r>
          </w:p>
        </w:tc>
        <w:tc>
          <w:tcPr>
            <w:tcW w:type="dxa" w:w="1296"/>
          </w:tcPr>
          <w:p>
            <w:r/>
            <w:r>
              <w:rPr>
                <w:sz w:val="20"/>
              </w:rPr>
              <w:t>≥80% daily</w:t>
            </w:r>
          </w:p>
        </w:tc>
        <w:tc>
          <w:tcPr>
            <w:tcW w:type="dxa" w:w="2304"/>
          </w:tcPr>
          <w:p>
            <w:r/>
            <w:r>
              <w:rPr>
                <w:sz w:val="20"/>
              </w:rPr>
              <w:t>100% inspection (system-derived)</w:t>
            </w:r>
          </w:p>
        </w:tc>
        <w:tc>
          <w:tcPr>
            <w:tcW w:type="dxa" w:w="1152"/>
          </w:tcPr>
          <w:p>
            <w:r/>
            <w:r>
              <w:rPr>
                <w:sz w:val="20"/>
              </w:rPr>
              <w:t>Daily</w:t>
            </w:r>
          </w:p>
        </w:tc>
      </w:tr>
      <w:tr>
        <w:tc>
          <w:tcPr>
            <w:tcW w:type="dxa" w:w="2448"/>
          </w:tcPr>
          <w:p>
            <w:r/>
            <w:r>
              <w:rPr>
                <w:sz w:val="20"/>
              </w:rPr>
              <w:t>Speed-to-Answer (PWS)</w:t>
            </w:r>
          </w:p>
        </w:tc>
        <w:tc>
          <w:tcPr>
            <w:tcW w:type="dxa" w:w="2448"/>
          </w:tcPr>
          <w:p>
            <w:r/>
            <w:r>
              <w:rPr>
                <w:sz w:val="20"/>
              </w:rPr>
              <w:t>Monthly avg time to live agent</w:t>
            </w:r>
          </w:p>
        </w:tc>
        <w:tc>
          <w:tcPr>
            <w:tcW w:type="dxa" w:w="1296"/>
          </w:tcPr>
          <w:p>
            <w:r/>
            <w:r>
              <w:rPr>
                <w:sz w:val="20"/>
              </w:rPr>
              <w:t>&lt;2 min</w:t>
            </w:r>
          </w:p>
        </w:tc>
        <w:tc>
          <w:tcPr>
            <w:tcW w:type="dxa" w:w="2304"/>
          </w:tcPr>
          <w:p>
            <w:r/>
            <w:r>
              <w:rPr>
                <w:sz w:val="20"/>
              </w:rPr>
              <w:t>100% inspection (VCC-derived)</w:t>
            </w:r>
          </w:p>
        </w:tc>
        <w:tc>
          <w:tcPr>
            <w:tcW w:type="dxa" w:w="1152"/>
          </w:tcPr>
          <w:p>
            <w:r/>
            <w:r>
              <w:rPr>
                <w:sz w:val="20"/>
              </w:rPr>
              <w:t>Monthly</w:t>
            </w:r>
          </w:p>
        </w:tc>
      </w:tr>
      <w:tr>
        <w:tc>
          <w:tcPr>
            <w:tcW w:type="dxa" w:w="2448"/>
          </w:tcPr>
          <w:p>
            <w:r/>
            <w:r>
              <w:rPr>
                <w:sz w:val="20"/>
              </w:rPr>
              <w:t>Missed-Call Rate (PWS)</w:t>
            </w:r>
          </w:p>
        </w:tc>
        <w:tc>
          <w:tcPr>
            <w:tcW w:type="dxa" w:w="2448"/>
          </w:tcPr>
          <w:p>
            <w:r/>
            <w:r>
              <w:rPr>
                <w:sz w:val="20"/>
              </w:rPr>
              <w:t>% calls abandoned before answer</w:t>
            </w:r>
          </w:p>
        </w:tc>
        <w:tc>
          <w:tcPr>
            <w:tcW w:type="dxa" w:w="1296"/>
          </w:tcPr>
          <w:p>
            <w:r/>
            <w:r>
              <w:rPr>
                <w:sz w:val="20"/>
              </w:rPr>
              <w:t>&lt;3%</w:t>
            </w:r>
          </w:p>
        </w:tc>
        <w:tc>
          <w:tcPr>
            <w:tcW w:type="dxa" w:w="2304"/>
          </w:tcPr>
          <w:p>
            <w:r/>
            <w:r>
              <w:rPr>
                <w:sz w:val="20"/>
              </w:rPr>
              <w:t>100% inspection (VCC-derived)</w:t>
            </w:r>
          </w:p>
        </w:tc>
        <w:tc>
          <w:tcPr>
            <w:tcW w:type="dxa" w:w="1152"/>
          </w:tcPr>
          <w:p>
            <w:r/>
            <w:r>
              <w:rPr>
                <w:sz w:val="20"/>
              </w:rPr>
              <w:t>Monthly</w:t>
            </w:r>
          </w:p>
        </w:tc>
      </w:tr>
      <w:tr>
        <w:tc>
          <w:tcPr>
            <w:tcW w:type="dxa" w:w="2448"/>
          </w:tcPr>
          <w:p>
            <w:r/>
            <w:r>
              <w:rPr>
                <w:sz w:val="20"/>
              </w:rPr>
              <w:t>Error Rate (PWS)</w:t>
            </w:r>
          </w:p>
        </w:tc>
        <w:tc>
          <w:tcPr>
            <w:tcW w:type="dxa" w:w="2448"/>
          </w:tcPr>
          <w:p>
            <w:r/>
            <w:r>
              <w:rPr>
                <w:sz w:val="20"/>
              </w:rPr>
              <w:t>Mis-routed/incorrect dispositions</w:t>
            </w:r>
          </w:p>
        </w:tc>
        <w:tc>
          <w:tcPr>
            <w:tcW w:type="dxa" w:w="1296"/>
          </w:tcPr>
          <w:p>
            <w:r/>
            <w:r>
              <w:rPr>
                <w:sz w:val="20"/>
              </w:rPr>
              <w:t>&lt;3%</w:t>
            </w:r>
          </w:p>
        </w:tc>
        <w:tc>
          <w:tcPr>
            <w:tcW w:type="dxa" w:w="2304"/>
          </w:tcPr>
          <w:p>
            <w:r/>
            <w:r>
              <w:rPr>
                <w:sz w:val="20"/>
              </w:rPr>
              <w:t>Random sampling QA review</w:t>
            </w:r>
          </w:p>
        </w:tc>
        <w:tc>
          <w:tcPr>
            <w:tcW w:type="dxa" w:w="1152"/>
          </w:tcPr>
          <w:p>
            <w:r/>
            <w:r>
              <w:rPr>
                <w:sz w:val="20"/>
              </w:rPr>
              <w:t>Weekly</w:t>
            </w:r>
          </w:p>
        </w:tc>
      </w:tr>
      <w:tr>
        <w:tc>
          <w:tcPr>
            <w:tcW w:type="dxa" w:w="2448"/>
          </w:tcPr>
          <w:p>
            <w:r/>
            <w:r>
              <w:rPr>
                <w:sz w:val="20"/>
              </w:rPr>
              <w:t>IT Asset On-Time Delivery (PWS)</w:t>
            </w:r>
          </w:p>
        </w:tc>
        <w:tc>
          <w:tcPr>
            <w:tcW w:type="dxa" w:w="2448"/>
          </w:tcPr>
          <w:p>
            <w:r/>
            <w:r>
              <w:rPr>
                <w:sz w:val="20"/>
              </w:rPr>
              <w:t>% shipments on time</w:t>
            </w:r>
          </w:p>
        </w:tc>
        <w:tc>
          <w:tcPr>
            <w:tcW w:type="dxa" w:w="1296"/>
          </w:tcPr>
          <w:p>
            <w:r/>
            <w:r>
              <w:rPr>
                <w:sz w:val="20"/>
              </w:rPr>
              <w:t>≥95%</w:t>
            </w:r>
          </w:p>
        </w:tc>
        <w:tc>
          <w:tcPr>
            <w:tcW w:type="dxa" w:w="2304"/>
          </w:tcPr>
          <w:p>
            <w:r/>
            <w:r>
              <w:rPr>
                <w:sz w:val="20"/>
              </w:rPr>
              <w:t>100% inspection of shipment records</w:t>
            </w:r>
          </w:p>
        </w:tc>
        <w:tc>
          <w:tcPr>
            <w:tcW w:type="dxa" w:w="1152"/>
          </w:tcPr>
          <w:p>
            <w:r/>
            <w:r>
              <w:rPr>
                <w:sz w:val="20"/>
              </w:rPr>
              <w:t>Monthly</w:t>
            </w:r>
          </w:p>
        </w:tc>
      </w:tr>
      <w:tr>
        <w:tc>
          <w:tcPr>
            <w:tcW w:type="dxa" w:w="2448"/>
          </w:tcPr>
          <w:p>
            <w:r/>
            <w:r>
              <w:rPr>
                <w:sz w:val="20"/>
              </w:rPr>
              <w:t>Tier-1 Deflection Rate (QCP +)</w:t>
            </w:r>
          </w:p>
        </w:tc>
        <w:tc>
          <w:tcPr>
            <w:tcW w:type="dxa" w:w="2448"/>
          </w:tcPr>
          <w:p>
            <w:r/>
            <w:r>
              <w:rPr>
                <w:sz w:val="20"/>
              </w:rPr>
              <w:t>% deterministic resolved without human</w:t>
            </w:r>
          </w:p>
        </w:tc>
        <w:tc>
          <w:tcPr>
            <w:tcW w:type="dxa" w:w="1296"/>
          </w:tcPr>
          <w:p>
            <w:r/>
            <w:r>
              <w:rPr>
                <w:sz w:val="20"/>
              </w:rPr>
              <w:t>30% OP1 → 50% OP4</w:t>
            </w:r>
          </w:p>
        </w:tc>
        <w:tc>
          <w:tcPr>
            <w:tcW w:type="dxa" w:w="2304"/>
          </w:tcPr>
          <w:p>
            <w:r/>
            <w:r>
              <w:rPr>
                <w:sz w:val="20"/>
              </w:rPr>
              <w:t>ServiceNow-derived report</w:t>
            </w:r>
          </w:p>
        </w:tc>
        <w:tc>
          <w:tcPr>
            <w:tcW w:type="dxa" w:w="1152"/>
          </w:tcPr>
          <w:p>
            <w:r/>
            <w:r>
              <w:rPr>
                <w:sz w:val="20"/>
              </w:rPr>
              <w:t>Monthly</w:t>
            </w:r>
          </w:p>
        </w:tc>
      </w:tr>
      <w:tr>
        <w:tc>
          <w:tcPr>
            <w:tcW w:type="dxa" w:w="2448"/>
          </w:tcPr>
          <w:p>
            <w:r/>
            <w:r>
              <w:rPr>
                <w:sz w:val="20"/>
              </w:rPr>
              <w:t>First-Contact Resolution (QCP +)</w:t>
            </w:r>
          </w:p>
        </w:tc>
        <w:tc>
          <w:tcPr>
            <w:tcW w:type="dxa" w:w="2448"/>
          </w:tcPr>
          <w:p>
            <w:r/>
            <w:r>
              <w:rPr>
                <w:sz w:val="20"/>
              </w:rPr>
              <w:t>Tier-1 close-on-first-touch %</w:t>
            </w:r>
          </w:p>
        </w:tc>
        <w:tc>
          <w:tcPr>
            <w:tcW w:type="dxa" w:w="1296"/>
          </w:tcPr>
          <w:p>
            <w:r/>
            <w:r>
              <w:rPr>
                <w:sz w:val="20"/>
              </w:rPr>
              <w:t>70% OP1 → 78% OP3</w:t>
            </w:r>
          </w:p>
        </w:tc>
        <w:tc>
          <w:tcPr>
            <w:tcW w:type="dxa" w:w="2304"/>
          </w:tcPr>
          <w:p>
            <w:r/>
            <w:r>
              <w:rPr>
                <w:sz w:val="20"/>
              </w:rPr>
              <w:t>ServiceNow-derived report</w:t>
            </w:r>
          </w:p>
        </w:tc>
        <w:tc>
          <w:tcPr>
            <w:tcW w:type="dxa" w:w="1152"/>
          </w:tcPr>
          <w:p>
            <w:r/>
            <w:r>
              <w:rPr>
                <w:sz w:val="20"/>
              </w:rPr>
              <w:t>Monthly</w:t>
            </w:r>
          </w:p>
        </w:tc>
      </w:tr>
      <w:tr>
        <w:tc>
          <w:tcPr>
            <w:tcW w:type="dxa" w:w="2448"/>
          </w:tcPr>
          <w:p>
            <w:r/>
            <w:r>
              <w:rPr>
                <w:sz w:val="20"/>
              </w:rPr>
              <w:t>KB Currency Rate (QCP +)</w:t>
            </w:r>
          </w:p>
        </w:tc>
        <w:tc>
          <w:tcPr>
            <w:tcW w:type="dxa" w:w="2448"/>
          </w:tcPr>
          <w:p>
            <w:r/>
            <w:r>
              <w:rPr>
                <w:sz w:val="20"/>
              </w:rPr>
              <w:t>% articles reviewed within 90 days</w:t>
            </w:r>
          </w:p>
        </w:tc>
        <w:tc>
          <w:tcPr>
            <w:tcW w:type="dxa" w:w="1296"/>
          </w:tcPr>
          <w:p>
            <w:r/>
            <w:r>
              <w:rPr>
                <w:sz w:val="20"/>
              </w:rPr>
              <w:t>≥95%</w:t>
            </w:r>
          </w:p>
        </w:tc>
        <w:tc>
          <w:tcPr>
            <w:tcW w:type="dxa" w:w="2304"/>
          </w:tcPr>
          <w:p>
            <w:r/>
            <w:r>
              <w:rPr>
                <w:sz w:val="20"/>
              </w:rPr>
              <w:t>Periodic inspection</w:t>
            </w:r>
          </w:p>
        </w:tc>
        <w:tc>
          <w:tcPr>
            <w:tcW w:type="dxa" w:w="1152"/>
          </w:tcPr>
          <w:p>
            <w:r/>
            <w:r>
              <w:rPr>
                <w:sz w:val="20"/>
              </w:rPr>
              <w:t>Monthly</w:t>
            </w:r>
          </w:p>
        </w:tc>
      </w:tr>
      <w:tr>
        <w:tc>
          <w:tcPr>
            <w:tcW w:type="dxa" w:w="2448"/>
          </w:tcPr>
          <w:p>
            <w:r/>
            <w:r>
              <w:rPr>
                <w:sz w:val="20"/>
              </w:rPr>
              <w:t>MTTR by Priority (QCP +)</w:t>
            </w:r>
          </w:p>
        </w:tc>
        <w:tc>
          <w:tcPr>
            <w:tcW w:type="dxa" w:w="2448"/>
          </w:tcPr>
          <w:p>
            <w:r/>
            <w:r>
              <w:rPr>
                <w:sz w:val="20"/>
              </w:rPr>
              <w:t>Mean time to resolution</w:t>
            </w:r>
          </w:p>
        </w:tc>
        <w:tc>
          <w:tcPr>
            <w:tcW w:type="dxa" w:w="1296"/>
          </w:tcPr>
          <w:p>
            <w:r/>
            <w:r>
              <w:rPr>
                <w:sz w:val="20"/>
              </w:rPr>
              <w:t>Trend ↓</w:t>
            </w:r>
          </w:p>
        </w:tc>
        <w:tc>
          <w:tcPr>
            <w:tcW w:type="dxa" w:w="2304"/>
          </w:tcPr>
          <w:p>
            <w:r/>
            <w:r>
              <w:rPr>
                <w:sz w:val="20"/>
              </w:rPr>
              <w:t>ServiceNow-derived report</w:t>
            </w:r>
          </w:p>
        </w:tc>
        <w:tc>
          <w:tcPr>
            <w:tcW w:type="dxa" w:w="1152"/>
          </w:tcPr>
          <w:p>
            <w:r/>
            <w:r>
              <w:rPr>
                <w:sz w:val="20"/>
              </w:rPr>
              <w:t>Monthly</w:t>
            </w:r>
          </w:p>
        </w:tc>
      </w:tr>
      <w:tr>
        <w:tc>
          <w:tcPr>
            <w:tcW w:type="dxa" w:w="2448"/>
          </w:tcPr>
          <w:p>
            <w:r/>
            <w:r>
              <w:rPr>
                <w:sz w:val="20"/>
              </w:rPr>
              <w:t>Image Compliance Pre-Issue (QCP +)</w:t>
            </w:r>
          </w:p>
        </w:tc>
        <w:tc>
          <w:tcPr>
            <w:tcW w:type="dxa" w:w="2448"/>
          </w:tcPr>
          <w:p>
            <w:r/>
            <w:r>
              <w:rPr>
                <w:sz w:val="20"/>
              </w:rPr>
              <w:t>% laptops/desktops issued with verified patch + BIOS</w:t>
            </w:r>
          </w:p>
        </w:tc>
        <w:tc>
          <w:tcPr>
            <w:tcW w:type="dxa" w:w="1296"/>
          </w:tcPr>
          <w:p>
            <w:r/>
            <w:r>
              <w:rPr>
                <w:sz w:val="20"/>
              </w:rPr>
              <w:t>100%</w:t>
            </w:r>
          </w:p>
        </w:tc>
        <w:tc>
          <w:tcPr>
            <w:tcW w:type="dxa" w:w="2304"/>
          </w:tcPr>
          <w:p>
            <w:r/>
            <w:r>
              <w:rPr>
                <w:sz w:val="20"/>
              </w:rPr>
              <w:t>100% inspection</w:t>
            </w:r>
          </w:p>
        </w:tc>
        <w:tc>
          <w:tcPr>
            <w:tcW w:type="dxa" w:w="1152"/>
          </w:tcPr>
          <w:p>
            <w:r/>
            <w:r>
              <w:rPr>
                <w:sz w:val="20"/>
              </w:rPr>
              <w:t>Continuous</w:t>
            </w:r>
          </w:p>
        </w:tc>
      </w:tr>
      <w:tr>
        <w:tc>
          <w:tcPr>
            <w:tcW w:type="dxa" w:w="2448"/>
          </w:tcPr>
          <w:p>
            <w:r/>
            <w:r>
              <w:rPr>
                <w:sz w:val="20"/>
              </w:rPr>
              <w:t>Reopen Rate (QCP +)</w:t>
            </w:r>
          </w:p>
        </w:tc>
        <w:tc>
          <w:tcPr>
            <w:tcW w:type="dxa" w:w="2448"/>
          </w:tcPr>
          <w:p>
            <w:r/>
            <w:r>
              <w:rPr>
                <w:sz w:val="20"/>
              </w:rPr>
              <w:t>% tickets reopened within 7 days</w:t>
            </w:r>
          </w:p>
        </w:tc>
        <w:tc>
          <w:tcPr>
            <w:tcW w:type="dxa" w:w="1296"/>
          </w:tcPr>
          <w:p>
            <w:r/>
            <w:r>
              <w:rPr>
                <w:sz w:val="20"/>
              </w:rPr>
              <w:t>&lt;5%</w:t>
            </w:r>
          </w:p>
        </w:tc>
        <w:tc>
          <w:tcPr>
            <w:tcW w:type="dxa" w:w="2304"/>
          </w:tcPr>
          <w:p>
            <w:r/>
            <w:r>
              <w:rPr>
                <w:sz w:val="20"/>
              </w:rPr>
              <w:t>ServiceNow-derived report</w:t>
            </w:r>
          </w:p>
        </w:tc>
        <w:tc>
          <w:tcPr>
            <w:tcW w:type="dxa" w:w="1152"/>
          </w:tcPr>
          <w:p>
            <w:r/>
            <w:r>
              <w:rPr>
                <w:sz w:val="20"/>
              </w:rPr>
              <w:t>Monthly</w:t>
            </w:r>
          </w:p>
        </w:tc>
      </w:tr>
    </w:tbl>
    <w:p>
      <w:pPr/>
      <w:r>
        <w:rPr>
          <w:b/>
        </w:rPr>
        <w:t>Surveillance and corrective action.</w:t>
      </w:r>
      <w:r>
        <w:t xml:space="preserve"> Surveillance methods follow PWS Section 9 — 100% inspection, periodic inspection, and random sampling — calibrated to the criticality and frequency of each performance requirement. A target miss triggers the corrective-action protocol: immediate corrective action for SLA threshold breach, root-cause analysis for repeat issues, and trend tracking that feeds the continuous-improvement cadence. Change management is disciplined, documented, with named approvers, and aligned to PWS Subsection 3.2.6.</w:t>
      </w:r>
    </w:p>
    <w:p>
      <w:r>
        <w:rPr>
          <w:i/>
          <w:color w:val="707070"/>
        </w:rPr>
        <w:t>[PLACEHOLDER: Appendix D — Draft Quality Control Plan. Full QCP submitted within 30 calendar days post-award per PWS §9.1; this volume includes the framework, measures, and corrective-action protocol.]</w:t>
      </w:r>
    </w:p>
    <w:p>
      <w:pPr>
        <w:pStyle w:val="Heading2"/>
      </w:pPr>
      <w:r>
        <w:t>3.7 Draft Transition-In Plan</w:t>
      </w:r>
    </w:p>
    <w:p>
      <w:pPr/>
      <w:r>
        <w:rPr>
          <w:b/>
        </w:rPr>
        <w:t>Transition framing.</w:t>
      </w:r>
      <w:r>
        <w:t xml:space="preserve"> The transition window is one month — August 1, 2026 through August 31, 2026 — under firm-fixed-price terms. The objective is full performance responsibility on September 1, 2026 with no interruption or degradation of service levels, no SLA exemptions for the new period, and a closed Government-Furnished Equipment inventory. The Transition-In Project Manager, identified per PWS Subtask 3.1.2 item 2(a), is the single point of accountability for that outcome.</w:t>
      </w:r>
    </w:p>
    <w:p>
      <w:pPr/>
      <w:r>
        <w:rPr>
          <w:b/>
        </w:rPr>
        <w:t>Transition phases.</w:t>
      </w:r>
      <w:r>
        <w:t xml:space="preserve"> We have planned the transition in four overlapping phases.</w:t>
      </w:r>
    </w:p>
    <w:tbl>
      <w:tblPr>
        <w:tblStyle w:val="LightGrid-Accent1"/>
        <w:tblW w:type="auto" w:w="0"/>
        <w:tblLook w:firstColumn="1" w:firstRow="1" w:lastColumn="0" w:lastRow="0" w:noHBand="0" w:noVBand="1" w:val="04A0"/>
      </w:tblPr>
      <w:tblGrid>
        <w:gridCol w:w="2520"/>
        <w:gridCol w:w="2520"/>
        <w:gridCol w:w="2520"/>
        <w:gridCol w:w="2520"/>
      </w:tblGrid>
      <w:tr>
        <w:tc>
          <w:tcPr>
            <w:tcW w:type="dxa" w:w="2016"/>
            <w:shd w:val="clear" w:color="auto" w:fill="D9E1F2"/>
          </w:tcPr>
          <w:p>
            <w:r/>
            <w:r>
              <w:rPr>
                <w:b/>
                <w:sz w:val="20"/>
              </w:rPr>
              <w:t>Phase</w:t>
            </w:r>
          </w:p>
        </w:tc>
        <w:tc>
          <w:tcPr>
            <w:tcW w:type="dxa" w:w="1296"/>
            <w:shd w:val="clear" w:color="auto" w:fill="D9E1F2"/>
          </w:tcPr>
          <w:p>
            <w:r/>
            <w:r>
              <w:rPr>
                <w:b/>
                <w:sz w:val="20"/>
              </w:rPr>
              <w:t>Window</w:t>
            </w:r>
          </w:p>
        </w:tc>
        <w:tc>
          <w:tcPr>
            <w:tcW w:type="dxa" w:w="3888"/>
            <w:shd w:val="clear" w:color="auto" w:fill="D9E1F2"/>
          </w:tcPr>
          <w:p>
            <w:r/>
            <w:r>
              <w:rPr>
                <w:b/>
                <w:sz w:val="20"/>
              </w:rPr>
              <w:t>Primary outcomes</w:t>
            </w:r>
          </w:p>
        </w:tc>
        <w:tc>
          <w:tcPr>
            <w:tcW w:type="dxa" w:w="2448"/>
            <w:shd w:val="clear" w:color="auto" w:fill="D9E1F2"/>
          </w:tcPr>
          <w:p>
            <w:r/>
            <w:r>
              <w:rPr>
                <w:b/>
                <w:sz w:val="20"/>
              </w:rPr>
              <w:t>Exit criteria</w:t>
            </w:r>
          </w:p>
        </w:tc>
      </w:tr>
      <w:tr>
        <w:tc>
          <w:tcPr>
            <w:tcW w:type="dxa" w:w="2016"/>
          </w:tcPr>
          <w:p>
            <w:r/>
            <w:r>
              <w:rPr>
                <w:sz w:val="20"/>
              </w:rPr>
              <w:t>Phase 1 — Mobilize and Mirror</w:t>
            </w:r>
          </w:p>
        </w:tc>
        <w:tc>
          <w:tcPr>
            <w:tcW w:type="dxa" w:w="1296"/>
          </w:tcPr>
          <w:p>
            <w:r/>
            <w:r>
              <w:rPr>
                <w:sz w:val="20"/>
              </w:rPr>
              <w:t>Days 1–10</w:t>
            </w:r>
          </w:p>
        </w:tc>
        <w:tc>
          <w:tcPr>
            <w:tcW w:type="dxa" w:w="3888"/>
          </w:tcPr>
          <w:p>
            <w:r/>
            <w:r>
              <w:rPr>
                <w:sz w:val="20"/>
              </w:rPr>
              <w:t>Key Personnel onboarded; security paperwork in motion; ServiceNow access; shadowing begins; incumbent coordination established</w:t>
            </w:r>
          </w:p>
        </w:tc>
        <w:tc>
          <w:tcPr>
            <w:tcW w:type="dxa" w:w="2448"/>
          </w:tcPr>
          <w:p>
            <w:r/>
            <w:r>
              <w:rPr>
                <w:sz w:val="20"/>
              </w:rPr>
              <w:t>Key Personnel cleared for system access; shadow rotation in place at all critical roles</w:t>
            </w:r>
          </w:p>
        </w:tc>
      </w:tr>
      <w:tr>
        <w:tc>
          <w:tcPr>
            <w:tcW w:type="dxa" w:w="2016"/>
          </w:tcPr>
          <w:p>
            <w:r/>
            <w:r>
              <w:rPr>
                <w:sz w:val="20"/>
              </w:rPr>
              <w:t>Phase 2 — Knowledge Capture</w:t>
            </w:r>
          </w:p>
        </w:tc>
        <w:tc>
          <w:tcPr>
            <w:tcW w:type="dxa" w:w="1296"/>
          </w:tcPr>
          <w:p>
            <w:r/>
            <w:r>
              <w:rPr>
                <w:sz w:val="20"/>
              </w:rPr>
              <w:t>Days 5–20</w:t>
            </w:r>
          </w:p>
        </w:tc>
        <w:tc>
          <w:tcPr>
            <w:tcW w:type="dxa" w:w="3888"/>
          </w:tcPr>
          <w:p>
            <w:r/>
            <w:r>
              <w:rPr>
                <w:sz w:val="20"/>
              </w:rPr>
              <w:t>Operational runbooks captured; KB inventory; ticket-trend history; institutional context; GFE inventory walk-down</w:t>
            </w:r>
          </w:p>
        </w:tc>
        <w:tc>
          <w:tcPr>
            <w:tcW w:type="dxa" w:w="2448"/>
          </w:tcPr>
          <w:p>
            <w:r/>
            <w:r>
              <w:rPr>
                <w:sz w:val="20"/>
              </w:rPr>
              <w:t>Captured artifacts stored in secure environment; GFE walk-down signed by CDC PAO</w:t>
            </w:r>
          </w:p>
        </w:tc>
      </w:tr>
      <w:tr>
        <w:tc>
          <w:tcPr>
            <w:tcW w:type="dxa" w:w="2016"/>
          </w:tcPr>
          <w:p>
            <w:r/>
            <w:r>
              <w:rPr>
                <w:sz w:val="20"/>
              </w:rPr>
              <w:t>Phase 3 — Operate Under Supervision</w:t>
            </w:r>
          </w:p>
        </w:tc>
        <w:tc>
          <w:tcPr>
            <w:tcW w:type="dxa" w:w="1296"/>
          </w:tcPr>
          <w:p>
            <w:r/>
            <w:r>
              <w:rPr>
                <w:sz w:val="20"/>
              </w:rPr>
              <w:t>Days 15–28</w:t>
            </w:r>
          </w:p>
        </w:tc>
        <w:tc>
          <w:tcPr>
            <w:tcW w:type="dxa" w:w="3888"/>
          </w:tcPr>
          <w:p>
            <w:r/>
            <w:r>
              <w:rPr>
                <w:sz w:val="20"/>
              </w:rPr>
              <w:t>We operate under incumbent supervision at increasing share of volume; CSAT and SLA performance tracked daily; corrective actions documented</w:t>
            </w:r>
          </w:p>
        </w:tc>
        <w:tc>
          <w:tcPr>
            <w:tcW w:type="dxa" w:w="2448"/>
          </w:tcPr>
          <w:p>
            <w:r/>
            <w:r>
              <w:rPr>
                <w:sz w:val="20"/>
              </w:rPr>
              <w:t>Trailing-week SLA performance at PWS Table 5 thresholds; CSAT ≥96%</w:t>
            </w:r>
          </w:p>
        </w:tc>
      </w:tr>
      <w:tr>
        <w:tc>
          <w:tcPr>
            <w:tcW w:type="dxa" w:w="2016"/>
          </w:tcPr>
          <w:p>
            <w:r/>
            <w:r>
              <w:rPr>
                <w:sz w:val="20"/>
              </w:rPr>
              <w:t>Phase 4 — Assume and Stabilize</w:t>
            </w:r>
          </w:p>
        </w:tc>
        <w:tc>
          <w:tcPr>
            <w:tcW w:type="dxa" w:w="1296"/>
          </w:tcPr>
          <w:p>
            <w:r/>
            <w:r>
              <w:rPr>
                <w:sz w:val="20"/>
              </w:rPr>
              <w:t>Days 25–31</w:t>
            </w:r>
          </w:p>
        </w:tc>
        <w:tc>
          <w:tcPr>
            <w:tcW w:type="dxa" w:w="3888"/>
          </w:tcPr>
          <w:p>
            <w:r/>
            <w:r>
              <w:rPr>
                <w:sz w:val="20"/>
              </w:rPr>
              <w:t>Full handoff; SLA assumed at 100% volume; final knowledge transfer artifacts; transition after-action review</w:t>
            </w:r>
          </w:p>
        </w:tc>
        <w:tc>
          <w:tcPr>
            <w:tcW w:type="dxa" w:w="2448"/>
          </w:tcPr>
          <w:p>
            <w:r/>
            <w:r>
              <w:rPr>
                <w:sz w:val="20"/>
              </w:rPr>
              <w:t>Sept 1 performance start with no SLA exemption; transition after-action complete</w:t>
            </w:r>
          </w:p>
        </w:tc>
      </w:tr>
    </w:tbl>
    <w:p>
      <w:pPr/>
      <w:r>
        <w:rPr>
          <w:b/>
        </w:rPr>
        <w:t>Knowledge transfer strategy.</w:t>
      </w:r>
      <w:r>
        <w:t xml:space="preserve"> Knowledge is captured against five categories: (1) operational runbooks per task and subtask; (2) the escalation matrix and Tier-1/2/3 handoff scripts; (3) the ServiceNow configuration baseline including knowledge articles, workflows, and Virtual Agent flows; (4) ticket-trend history and known recurring incidents; (5) institutional context — relationships, governance norms, and CDC-specific operating practices that do not appear in formal documentation. Captured artifacts are stored in the contractor's secure environment, transferred to CDC at request, and used as the operational baseline for the Base Period.</w:t>
      </w:r>
    </w:p>
    <w:p>
      <w:pPr/>
      <w:r>
        <w:rPr>
          <w:b/>
        </w:rPr>
        <w:t>Coordination with the incumbent.</w:t>
      </w:r>
      <w:r>
        <w:t xml:space="preserve"> Per PWS Subtask 3.1.2 item 2(a) and Section E Transition-In Plan item 1, our approach includes structured coordination with the incumbent contractor. Our intent throughout is professional and procedurally clean — we treat incumbent staff with respect, engage exclusively through CDC-coordinated channels, and avoid any interaction that could be characterized as direct outreach for hiring or solicitation. Where incumbent staff are interested in continued CITS engagement under our team, those expressions of interest are routed through staffing-partner channels rather than through prime-to-individual contact, in keeping with sound procurement-integrity practice.</w:t>
      </w:r>
    </w:p>
    <w:p>
      <w:pPr/>
      <w:r>
        <w:rPr>
          <w:b/>
        </w:rPr>
        <w:t>Communication plan with CDC stakeholders.</w:t>
      </w:r>
      <w:r>
        <w:t xml:space="preserve"> Three audiences receive structured transition communications. (1) CDC end users — the approximately 28,000 CDC personnel whose service experience cannot degrade. We coordinate with the OCIO Communications team to issue clear, plain-language updates on what is changing, what is staying the same, and how to reach support during the transition. (2) OCIO leadership — weekly transition steering committee touchpoints with the COR and identified leadership stakeholders. (3) CDC Centers, Institutes, and Offices — a structured outreach to each major CIO during transition to confirm continuity of support and surface any local concerns.</w:t>
      </w:r>
    </w:p>
    <w:p>
      <w:pPr/>
      <w:r>
        <w:t>Table 3.7-A. Top transition risks and mitigations.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4464"/>
            <w:shd w:val="clear" w:color="auto" w:fill="D9E1F2"/>
          </w:tcPr>
          <w:p>
            <w:r/>
            <w:r>
              <w:rPr>
                <w:b/>
                <w:sz w:val="20"/>
              </w:rPr>
              <w:t>Risk</w:t>
            </w:r>
          </w:p>
        </w:tc>
        <w:tc>
          <w:tcPr>
            <w:tcW w:type="dxa" w:w="720"/>
            <w:shd w:val="clear" w:color="auto" w:fill="D9E1F2"/>
          </w:tcPr>
          <w:p>
            <w:r/>
            <w:r>
              <w:rPr>
                <w:b/>
                <w:sz w:val="20"/>
              </w:rPr>
              <w:t>L</w:t>
            </w:r>
          </w:p>
        </w:tc>
        <w:tc>
          <w:tcPr>
            <w:tcW w:type="dxa" w:w="720"/>
            <w:shd w:val="clear" w:color="auto" w:fill="D9E1F2"/>
          </w:tcPr>
          <w:p>
            <w:r/>
            <w:r>
              <w:rPr>
                <w:b/>
                <w:sz w:val="20"/>
              </w:rPr>
              <w:t>I</w:t>
            </w:r>
          </w:p>
        </w:tc>
        <w:tc>
          <w:tcPr>
            <w:tcW w:type="dxa" w:w="3888"/>
            <w:shd w:val="clear" w:color="auto" w:fill="D9E1F2"/>
          </w:tcPr>
          <w:p>
            <w:r/>
            <w:r>
              <w:rPr>
                <w:b/>
                <w:sz w:val="20"/>
              </w:rPr>
              <w:t>Mitigation</w:t>
            </w:r>
          </w:p>
        </w:tc>
      </w:tr>
      <w:tr>
        <w:tc>
          <w:tcPr>
            <w:tcW w:type="dxa" w:w="4464"/>
          </w:tcPr>
          <w:p>
            <w:r/>
            <w:r>
              <w:rPr>
                <w:sz w:val="20"/>
              </w:rPr>
              <w:t>Clearance throughput lag delaying performance start</w:t>
            </w:r>
          </w:p>
        </w:tc>
        <w:tc>
          <w:tcPr>
            <w:tcW w:type="dxa" w:w="720"/>
          </w:tcPr>
          <w:p>
            <w:r/>
            <w:r>
              <w:rPr>
                <w:sz w:val="20"/>
              </w:rPr>
              <w:t>M</w:t>
            </w:r>
          </w:p>
        </w:tc>
        <w:tc>
          <w:tcPr>
            <w:tcW w:type="dxa" w:w="720"/>
          </w:tcPr>
          <w:p>
            <w:r/>
            <w:r>
              <w:rPr>
                <w:sz w:val="20"/>
              </w:rPr>
              <w:t>H</w:t>
            </w:r>
          </w:p>
        </w:tc>
        <w:tc>
          <w:tcPr>
            <w:tcW w:type="dxa" w:w="3888"/>
          </w:tcPr>
          <w:p>
            <w:r/>
            <w:r>
              <w:rPr>
                <w:sz w:val="20"/>
              </w:rPr>
              <w:t>Pre-cleared bench; prioritized HHS scheduling; staffing-partner clearance pipeline.</w:t>
            </w:r>
          </w:p>
        </w:tc>
      </w:tr>
      <w:tr>
        <w:tc>
          <w:tcPr>
            <w:tcW w:type="dxa" w:w="4464"/>
          </w:tcPr>
          <w:p>
            <w:r/>
            <w:r>
              <w:rPr>
                <w:sz w:val="20"/>
              </w:rPr>
              <w:t>Knowledge gaps in ServiceNow configuration / Virtual Agent flows</w:t>
            </w:r>
          </w:p>
        </w:tc>
        <w:tc>
          <w:tcPr>
            <w:tcW w:type="dxa" w:w="720"/>
          </w:tcPr>
          <w:p>
            <w:r/>
            <w:r>
              <w:rPr>
                <w:sz w:val="20"/>
              </w:rPr>
              <w:t>M</w:t>
            </w:r>
          </w:p>
        </w:tc>
        <w:tc>
          <w:tcPr>
            <w:tcW w:type="dxa" w:w="720"/>
          </w:tcPr>
          <w:p>
            <w:r/>
            <w:r>
              <w:rPr>
                <w:sz w:val="20"/>
              </w:rPr>
              <w:t>M</w:t>
            </w:r>
          </w:p>
        </w:tc>
        <w:tc>
          <w:tcPr>
            <w:tcW w:type="dxa" w:w="3888"/>
          </w:tcPr>
          <w:p>
            <w:r/>
            <w:r>
              <w:rPr>
                <w:sz w:val="20"/>
              </w:rPr>
              <w:t>Five-category knowledge capture; ServiceNow configuration export; named SME shadows.</w:t>
            </w:r>
          </w:p>
        </w:tc>
      </w:tr>
      <w:tr>
        <w:tc>
          <w:tcPr>
            <w:tcW w:type="dxa" w:w="4464"/>
          </w:tcPr>
          <w:p>
            <w:r/>
            <w:r>
              <w:rPr>
                <w:sz w:val="20"/>
              </w:rPr>
              <w:t>Incumbent staff retention sentiment shifts during transition</w:t>
            </w:r>
          </w:p>
        </w:tc>
        <w:tc>
          <w:tcPr>
            <w:tcW w:type="dxa" w:w="720"/>
          </w:tcPr>
          <w:p>
            <w:r/>
            <w:r>
              <w:rPr>
                <w:sz w:val="20"/>
              </w:rPr>
              <w:t>M</w:t>
            </w:r>
          </w:p>
        </w:tc>
        <w:tc>
          <w:tcPr>
            <w:tcW w:type="dxa" w:w="720"/>
          </w:tcPr>
          <w:p>
            <w:r/>
            <w:r>
              <w:rPr>
                <w:sz w:val="20"/>
              </w:rPr>
              <w:t>M</w:t>
            </w:r>
          </w:p>
        </w:tc>
        <w:tc>
          <w:tcPr>
            <w:tcW w:type="dxa" w:w="3888"/>
          </w:tcPr>
          <w:p>
            <w:r/>
            <w:r>
              <w:rPr>
                <w:sz w:val="20"/>
              </w:rPr>
              <w:t>Staffing-partner-only outreach; protocol documented; OCIO Comms-coordinated messaging.</w:t>
            </w:r>
          </w:p>
        </w:tc>
      </w:tr>
      <w:tr>
        <w:tc>
          <w:tcPr>
            <w:tcW w:type="dxa" w:w="4464"/>
          </w:tcPr>
          <w:p>
            <w:r/>
            <w:r>
              <w:rPr>
                <w:sz w:val="20"/>
              </w:rPr>
              <w:t>GFE inventory variance at handoff</w:t>
            </w:r>
          </w:p>
        </w:tc>
        <w:tc>
          <w:tcPr>
            <w:tcW w:type="dxa" w:w="720"/>
          </w:tcPr>
          <w:p>
            <w:r/>
            <w:r>
              <w:rPr>
                <w:sz w:val="20"/>
              </w:rPr>
              <w:t>L</w:t>
            </w:r>
          </w:p>
        </w:tc>
        <w:tc>
          <w:tcPr>
            <w:tcW w:type="dxa" w:w="720"/>
          </w:tcPr>
          <w:p>
            <w:r/>
            <w:r>
              <w:rPr>
                <w:sz w:val="20"/>
              </w:rPr>
              <w:t>H</w:t>
            </w:r>
          </w:p>
        </w:tc>
        <w:tc>
          <w:tcPr>
            <w:tcW w:type="dxa" w:w="3888"/>
          </w:tcPr>
          <w:p>
            <w:r/>
            <w:r>
              <w:rPr>
                <w:sz w:val="20"/>
              </w:rPr>
              <w:t>Continuous-discipline approach (§3.9); signed walk-down; PCO coverage; ServiceNow asset linkage.</w:t>
            </w:r>
          </w:p>
        </w:tc>
      </w:tr>
      <w:tr>
        <w:tc>
          <w:tcPr>
            <w:tcW w:type="dxa" w:w="4464"/>
          </w:tcPr>
          <w:p>
            <w:r/>
            <w:r>
              <w:rPr>
                <w:sz w:val="20"/>
              </w:rPr>
              <w:t>Service-level dip in first weeks of performance start</w:t>
            </w:r>
          </w:p>
        </w:tc>
        <w:tc>
          <w:tcPr>
            <w:tcW w:type="dxa" w:w="720"/>
          </w:tcPr>
          <w:p>
            <w:r/>
            <w:r>
              <w:rPr>
                <w:sz w:val="20"/>
              </w:rPr>
              <w:t>M</w:t>
            </w:r>
          </w:p>
        </w:tc>
        <w:tc>
          <w:tcPr>
            <w:tcW w:type="dxa" w:w="720"/>
          </w:tcPr>
          <w:p>
            <w:r/>
            <w:r>
              <w:rPr>
                <w:sz w:val="20"/>
              </w:rPr>
              <w:t>M</w:t>
            </w:r>
          </w:p>
        </w:tc>
        <w:tc>
          <w:tcPr>
            <w:tcW w:type="dxa" w:w="3888"/>
          </w:tcPr>
          <w:p>
            <w:r/>
            <w:r>
              <w:rPr>
                <w:sz w:val="20"/>
              </w:rPr>
              <w:t>Phase 3 supervised operation; daily SLA tracking; corrective actions documented; weekly steering.</w:t>
            </w:r>
          </w:p>
        </w:tc>
      </w:tr>
    </w:tbl>
    <w:p>
      <w:r>
        <w:rPr>
          <w:i/>
          <w:color w:val="707070"/>
        </w:rPr>
        <w:t>[PLACEHOLDER: Appendix E — Full Transition Risk Register. PMO to populate full register including specific named mitigations, risk owners, decision dates, and contingency triggers. Transition Plan uses the same labor categories as the Staffing Plan, per PWS Subtask 3.1.2 item 1(b).]</w:t>
      </w:r>
    </w:p>
    <w:p>
      <w:pPr>
        <w:pStyle w:val="Heading2"/>
      </w:pPr>
      <w:r>
        <w:t>3.8 Draft Transition-Out Plan</w:t>
      </w:r>
    </w:p>
    <w:p>
      <w:pPr/>
      <w:r>
        <w:t>Per PWS Subtask 3.1.2 item 3 and Section E Management Approach item (vi), our approach to the orderly and efficient transfer of contract responsibilities at conclusion or termination ensures continuity of operations, preservation of institutional knowledge, and minimal disruption to Government activities. The Transition-Out Plan, presented in summary here and in full in Appendix F, addresses each element required by Section E.</w:t>
      </w:r>
    </w:p>
    <w:p>
      <w:pPr>
        <w:pStyle w:val="ListBullet"/>
      </w:pPr>
      <w:r>
        <w:t>Knowledge transfer to the successor — documented processes, procedures, and operational information; runbooks; escalation matrix; ServiceNow knowledge base; ticket trend history; transition coordination with the incoming contractor as directed by CDC.</w:t>
      </w:r>
    </w:p>
    <w:p>
      <w:pPr>
        <w:pStyle w:val="ListBullet"/>
      </w:pPr>
      <w:r>
        <w:t>Staffing transition strategy — support for incoming staff onboarding; clear protocol for our employees who may continue under the successor; reassignment of others within our broader portfolio.</w:t>
      </w:r>
    </w:p>
    <w:p>
      <w:pPr>
        <w:pStyle w:val="ListBullet"/>
      </w:pPr>
      <w:r>
        <w:t>Detailed schedule — transition activities, milestones, and dependencies sequenced over the closeout window prescribed at the time.</w:t>
      </w:r>
    </w:p>
    <w:p>
      <w:pPr>
        <w:pStyle w:val="ListBullet"/>
      </w:pPr>
      <w:r>
        <w:t>GFE return, transfer, and accountability — full property inventory reconciliation; chain-of-custody documentation; signed acceptance from the receiving party (Government or successor) per Section 5.</w:t>
      </w:r>
    </w:p>
    <w:p>
      <w:pPr>
        <w:pStyle w:val="ListBullet"/>
      </w:pPr>
      <w:r>
        <w:t>Data management and transfer — all contract-related data, files, and records delivered in accordance with contract requirements and security protocols; ServiceNow records, knowledge articles, and operational documentation transferred per Government direction.</w:t>
      </w:r>
    </w:p>
    <w:p>
      <w:pPr>
        <w:pStyle w:val="ListBullet"/>
      </w:pPr>
      <w:r>
        <w:t>Risk identification and mitigation — closeout risk register with specific transition risks (data continuity, staff retention through closeout, GFE accountability) and named mitigations.</w:t>
      </w:r>
    </w:p>
    <w:p>
      <w:pPr>
        <w:pStyle w:val="ListBullet"/>
      </w:pPr>
      <w:r>
        <w:t>Coordination protocols — defined points of contact, communication cadence with the Government and successor, and escalation paths.</w:t>
      </w:r>
    </w:p>
    <w:p>
      <w:r>
        <w:rPr>
          <w:i/>
          <w:color w:val="707070"/>
        </w:rPr>
        <w:t>[PLACEHOLDER: Appendix F — Draft Transition-Out Plan. PMO to populate full plan with closeout schedule, GFE reconciliation procedure, and successor coordination protocol.]</w:t>
      </w:r>
    </w:p>
    <w:p>
      <w:pPr>
        <w:pStyle w:val="Heading2"/>
      </w:pPr>
      <w:r>
        <w:t>3.9 Government-Furnished Equipment Accountability</w:t>
      </w:r>
    </w:p>
    <w:p>
      <w:pPr/>
      <w:r>
        <w:t>Per PWS Section 5 and Section E Management Approach item (vii), GFE accountability is operated as a continuous discipline, not a transition event. We maintain a current GFE inventory in the appropriate property management system, reconciled to the annual wall-to-wall inventory required as a Task 1 deliverable in PWS Section 8. Property Custodial Officers under PWS Task 1.3 carry day-to-day accountability at FSS sites; the IT Asset Management function within Task 1 carries enterprise-level reconciliation. The 95%-or-greater on-time delivery rate for shipped IT equipment per PWS Section 9 is treated as a managed performance metric, with corrective action triggered if performance falls below threshold.</w:t>
      </w:r>
    </w:p>
    <w:p>
      <w:pPr/>
      <w:r>
        <w:rPr>
          <w:b/>
        </w:rPr>
        <w:t>Accountability protocol.</w:t>
      </w:r>
      <w:r>
        <w:t xml:space="preserve"> Receipt and inventory at transition: documented walkthrough with the CDC Property Accountability Officer (PAO) or designated representative; signed inventory acceptance; serialization captured in the property management system. In-life maintenance: configuration management baseline; patch and anti-virus compliance verified before re-issue per PWS Subsection 1.2.1 item l; tracked maintenance history. End-of-life disposition: pickup and processing per OCIO standard; data sanitization per NIST 800-88; Report of Survey produced where required. Quarterly audit cadence is calendared and reported to the COR.</w:t>
      </w:r>
    </w:p>
    <w:p>
      <w:pPr>
        <w:pStyle w:val="Heading2"/>
      </w:pPr>
      <w:r>
        <w:t>3.10 Conditions and Assumptions</w:t>
      </w:r>
    </w:p>
    <w:p>
      <w:pPr/>
      <w:r>
        <w:t>Our proposal is responsive to the RFQ as issued and is predicated on the terms and conditions of the RFQ, in compliance with the Volume II requirement at item (c)(1). Where assumptions are necessary to interpret an ambiguous requirement, we have framed them so that they do not adversely impact the Government's requirement, consistent with the Section E direction that the Government reserves the right to reject proposals with adverse assumptions.</w:t>
      </w:r>
    </w:p>
    <w:tbl>
      <w:tblPr>
        <w:tblStyle w:val="LightGrid-Accent1"/>
        <w:tblW w:type="auto" w:w="0"/>
        <w:tblLook w:firstColumn="1" w:firstRow="1" w:lastColumn="0" w:lastRow="0" w:noHBand="0" w:noVBand="1" w:val="04A0"/>
      </w:tblPr>
      <w:tblGrid>
        <w:gridCol w:w="2520"/>
        <w:gridCol w:w="2520"/>
        <w:gridCol w:w="2520"/>
        <w:gridCol w:w="2520"/>
      </w:tblGrid>
      <w:tr>
        <w:tc>
          <w:tcPr>
            <w:tcW w:type="dxa" w:w="576"/>
            <w:shd w:val="clear" w:color="auto" w:fill="D9E1F2"/>
          </w:tcPr>
          <w:p>
            <w:r/>
            <w:r>
              <w:rPr>
                <w:b/>
                <w:sz w:val="20"/>
              </w:rPr>
              <w:t>#</w:t>
            </w:r>
          </w:p>
        </w:tc>
        <w:tc>
          <w:tcPr>
            <w:tcW w:type="dxa" w:w="2736"/>
            <w:shd w:val="clear" w:color="auto" w:fill="D9E1F2"/>
          </w:tcPr>
          <w:p>
            <w:r/>
            <w:r>
              <w:rPr>
                <w:b/>
                <w:sz w:val="20"/>
              </w:rPr>
              <w:t>Assumption</w:t>
            </w:r>
          </w:p>
        </w:tc>
        <w:tc>
          <w:tcPr>
            <w:tcW w:type="dxa" w:w="3456"/>
            <w:shd w:val="clear" w:color="auto" w:fill="D9E1F2"/>
          </w:tcPr>
          <w:p>
            <w:r/>
            <w:r>
              <w:rPr>
                <w:b/>
                <w:sz w:val="20"/>
              </w:rPr>
              <w:t>Basis</w:t>
            </w:r>
          </w:p>
        </w:tc>
        <w:tc>
          <w:tcPr>
            <w:tcW w:type="dxa" w:w="2880"/>
            <w:shd w:val="clear" w:color="auto" w:fill="D9E1F2"/>
          </w:tcPr>
          <w:p>
            <w:r/>
            <w:r>
              <w:rPr>
                <w:b/>
                <w:sz w:val="20"/>
              </w:rPr>
              <w:t>Impact if violated</w:t>
            </w:r>
          </w:p>
        </w:tc>
      </w:tr>
      <w:tr>
        <w:tc>
          <w:tcPr>
            <w:tcW w:type="dxa" w:w="576"/>
          </w:tcPr>
          <w:p>
            <w:r/>
            <w:r>
              <w:rPr>
                <w:sz w:val="20"/>
              </w:rPr>
              <w:t>A1</w:t>
            </w:r>
          </w:p>
        </w:tc>
        <w:tc>
          <w:tcPr>
            <w:tcW w:type="dxa" w:w="2736"/>
          </w:tcPr>
          <w:p>
            <w:r/>
            <w:r>
              <w:rPr>
                <w:sz w:val="20"/>
              </w:rPr>
              <w:t>CDC procures and provides the NICE VCC subscription for Task 1.1</w:t>
            </w:r>
          </w:p>
        </w:tc>
        <w:tc>
          <w:tcPr>
            <w:tcW w:type="dxa" w:w="3456"/>
          </w:tcPr>
          <w:p>
            <w:r/>
            <w:r>
              <w:rPr>
                <w:sz w:val="20"/>
              </w:rPr>
              <w:t>PWS Task 1.1 item 6 indicates VCC subscription is procured by CDC; ODC table includes VCC license cost separately</w:t>
            </w:r>
          </w:p>
        </w:tc>
        <w:tc>
          <w:tcPr>
            <w:tcW w:type="dxa" w:w="2880"/>
          </w:tcPr>
          <w:p>
            <w:r/>
            <w:r>
              <w:rPr>
                <w:sz w:val="20"/>
              </w:rPr>
              <w:t>Cost reallocation; conversation with CO before manifesting in financials</w:t>
            </w:r>
          </w:p>
        </w:tc>
      </w:tr>
      <w:tr>
        <w:tc>
          <w:tcPr>
            <w:tcW w:type="dxa" w:w="576"/>
          </w:tcPr>
          <w:p>
            <w:r/>
            <w:r>
              <w:rPr>
                <w:sz w:val="20"/>
              </w:rPr>
              <w:t>A2</w:t>
            </w:r>
          </w:p>
        </w:tc>
        <w:tc>
          <w:tcPr>
            <w:tcW w:type="dxa" w:w="2736"/>
          </w:tcPr>
          <w:p>
            <w:r/>
            <w:r>
              <w:rPr>
                <w:sz w:val="20"/>
              </w:rPr>
              <w:t>ServiceNow license access for contractor personnel is provided by CDC at no contractor cost</w:t>
            </w:r>
          </w:p>
        </w:tc>
        <w:tc>
          <w:tcPr>
            <w:tcW w:type="dxa" w:w="3456"/>
          </w:tcPr>
          <w:p>
            <w:r/>
            <w:r>
              <w:rPr>
                <w:sz w:val="20"/>
              </w:rPr>
              <w:t>ServiceNow is CDC's platform of record; PWS does not require contractor-procured ServiceNow</w:t>
            </w:r>
          </w:p>
        </w:tc>
        <w:tc>
          <w:tcPr>
            <w:tcW w:type="dxa" w:w="2880"/>
          </w:tcPr>
          <w:p>
            <w:r/>
            <w:r>
              <w:rPr>
                <w:sz w:val="20"/>
              </w:rPr>
              <w:t>Cost reallocation; conversation with CO</w:t>
            </w:r>
          </w:p>
        </w:tc>
      </w:tr>
      <w:tr>
        <w:tc>
          <w:tcPr>
            <w:tcW w:type="dxa" w:w="576"/>
          </w:tcPr>
          <w:p>
            <w:r/>
            <w:r>
              <w:rPr>
                <w:sz w:val="20"/>
              </w:rPr>
              <w:t>A3</w:t>
            </w:r>
          </w:p>
        </w:tc>
        <w:tc>
          <w:tcPr>
            <w:tcW w:type="dxa" w:w="2736"/>
          </w:tcPr>
          <w:p>
            <w:r/>
            <w:r>
              <w:rPr>
                <w:sz w:val="20"/>
              </w:rPr>
              <w:t>ServiceNow Virtual Agent and Predictive Intelligence are CDC-provided platform features and are not 'AI products' under Section E definition</w:t>
            </w:r>
          </w:p>
        </w:tc>
        <w:tc>
          <w:tcPr>
            <w:tcW w:type="dxa" w:w="3456"/>
          </w:tcPr>
          <w:p>
            <w:r/>
            <w:r>
              <w:rPr>
                <w:sz w:val="20"/>
              </w:rPr>
              <w:t>These are ServiceNow-platform-native capabilities CDC may license; clarification submitted to CO May 12</w:t>
            </w:r>
          </w:p>
        </w:tc>
        <w:tc>
          <w:tcPr>
            <w:tcW w:type="dxa" w:w="2880"/>
          </w:tcPr>
          <w:p>
            <w:r/>
            <w:r>
              <w:rPr>
                <w:sz w:val="20"/>
              </w:rPr>
              <w:t>Solution narrative for Task 1.1 deflection adjusted to KB-only path</w:t>
            </w:r>
          </w:p>
        </w:tc>
      </w:tr>
      <w:tr>
        <w:tc>
          <w:tcPr>
            <w:tcW w:type="dxa" w:w="576"/>
          </w:tcPr>
          <w:p>
            <w:r/>
            <w:r>
              <w:rPr>
                <w:sz w:val="20"/>
              </w:rPr>
              <w:t>A4</w:t>
            </w:r>
          </w:p>
        </w:tc>
        <w:tc>
          <w:tcPr>
            <w:tcW w:type="dxa" w:w="2736"/>
          </w:tcPr>
          <w:p>
            <w:r/>
            <w:r>
              <w:rPr>
                <w:sz w:val="20"/>
              </w:rPr>
              <w:t>OCONUS travel currency exchange and ME insurance treatment follow PWS Section 12 norms</w:t>
            </w:r>
          </w:p>
        </w:tc>
        <w:tc>
          <w:tcPr>
            <w:tcW w:type="dxa" w:w="3456"/>
          </w:tcPr>
          <w:p>
            <w:r/>
            <w:r>
              <w:rPr>
                <w:sz w:val="20"/>
              </w:rPr>
              <w:t>PWS Section 12 specifies insurance and STEP requirements; treatment is standard federal practice</w:t>
            </w:r>
          </w:p>
        </w:tc>
        <w:tc>
          <w:tcPr>
            <w:tcW w:type="dxa" w:w="2880"/>
          </w:tcPr>
          <w:p>
            <w:r/>
            <w:r>
              <w:rPr>
                <w:sz w:val="20"/>
              </w:rPr>
              <w:t>Travel-cost variance reported in Monthly Financial Report</w:t>
            </w:r>
          </w:p>
        </w:tc>
      </w:tr>
      <w:tr>
        <w:tc>
          <w:tcPr>
            <w:tcW w:type="dxa" w:w="576"/>
          </w:tcPr>
          <w:p>
            <w:r/>
            <w:r>
              <w:rPr>
                <w:sz w:val="20"/>
              </w:rPr>
              <w:t>A5</w:t>
            </w:r>
          </w:p>
        </w:tc>
        <w:tc>
          <w:tcPr>
            <w:tcW w:type="dxa" w:w="2736"/>
          </w:tcPr>
          <w:p>
            <w:r/>
            <w:r>
              <w:rPr>
                <w:sz w:val="20"/>
              </w:rPr>
              <w:t>CDC personnel access during transition is sufficient for shadow rotation and knowledge capture</w:t>
            </w:r>
          </w:p>
        </w:tc>
        <w:tc>
          <w:tcPr>
            <w:tcW w:type="dxa" w:w="3456"/>
          </w:tcPr>
          <w:p>
            <w:r/>
            <w:r>
              <w:rPr>
                <w:sz w:val="20"/>
              </w:rPr>
              <w:t>PWS Subtask 3.1.2 item 2(b) provides for incoming PM transition lead access</w:t>
            </w:r>
          </w:p>
        </w:tc>
        <w:tc>
          <w:tcPr>
            <w:tcW w:type="dxa" w:w="2880"/>
          </w:tcPr>
          <w:p>
            <w:r/>
            <w:r>
              <w:rPr>
                <w:sz w:val="20"/>
              </w:rPr>
              <w:t>Transition timeline extends; corrective discussion with CO</w:t>
            </w:r>
          </w:p>
        </w:tc>
      </w:tr>
      <w:tr>
        <w:tc>
          <w:tcPr>
            <w:tcW w:type="dxa" w:w="576"/>
          </w:tcPr>
          <w:p>
            <w:r/>
            <w:r>
              <w:rPr>
                <w:sz w:val="20"/>
              </w:rPr>
              <w:t>A6</w:t>
            </w:r>
          </w:p>
        </w:tc>
        <w:tc>
          <w:tcPr>
            <w:tcW w:type="dxa" w:w="2736"/>
          </w:tcPr>
          <w:p>
            <w:r/>
            <w:r>
              <w:rPr>
                <w:sz w:val="20"/>
              </w:rPr>
              <w:t>Tools not explicitly named as CDC-furnished are the contractor's responsibility unless approved by CDC</w:t>
            </w:r>
          </w:p>
        </w:tc>
        <w:tc>
          <w:tcPr>
            <w:tcW w:type="dxa" w:w="3456"/>
          </w:tcPr>
          <w:p>
            <w:r/>
            <w:r>
              <w:rPr>
                <w:sz w:val="20"/>
              </w:rPr>
              <w:t>PWS does not enumerate every tool; standard federal contracting practice</w:t>
            </w:r>
          </w:p>
        </w:tc>
        <w:tc>
          <w:tcPr>
            <w:tcW w:type="dxa" w:w="2880"/>
          </w:tcPr>
          <w:p>
            <w:r/>
            <w:r>
              <w:rPr>
                <w:sz w:val="20"/>
              </w:rPr>
              <w:t>Contractor absorbs cost or seeks CDC approval before introduction</w:t>
            </w:r>
          </w:p>
        </w:tc>
      </w:tr>
    </w:tbl>
    <w:p>
      <w:pPr>
        <w:pStyle w:val="Heading1"/>
      </w:pPr>
      <w:r>
        <w:t>4. Similar Experience</w:t>
      </w:r>
    </w:p>
    <w:p>
      <w:pPr/>
      <w:r>
        <w:t>Per Section E Evaluation Factor 4 and the corresponding evaluation criteria, we present three references of relevant contracts similar in scope, size, and complexity, performed within the last three years. Each reference demonstrates capability against the operating model required by CITS — federal IT customer support at scale, multi-site delivery, ServiceNow-based ITSM operations, ITIL discipline, and measurable performance against published service levels and cost-of-ownership targets.</w:t>
      </w:r>
    </w:p>
    <w:p>
      <w:pPr/>
      <w:r>
        <w:rPr>
          <w:b/>
        </w:rPr>
        <w:t>Selection rationale.</w:t>
      </w:r>
      <w:r>
        <w:t xml:space="preserve"> Our three references collectively address: (1) federal health agency IT customer support at a population scale comparable to CDC's approximately 28,000 personnel; (2) tiered ITSM operations on ServiceNow at federal civilian or DoD-health scale; (3) distributed-site or OCONUS service delivery comparable to CITS Global Activities. Each reference is current or has concluded within the last three years, with two customer contacts available for verification.</w:t>
      </w:r>
    </w:p>
    <w:p>
      <w:pPr>
        <w:pStyle w:val="Heading2"/>
      </w:pPr>
      <w:r>
        <w:t>4.1 Reference 1 — Federal Health Agency Enterprise IT Service Desk</w:t>
      </w:r>
    </w:p>
    <w:p>
      <w:pPr/>
      <w:r>
        <w:rPr>
          <w:b/>
        </w:rPr>
        <w:t>(a)</w:t>
      </w:r>
      <w:r>
        <w:t xml:space="preserve"> Contract number, customer, and title.</w:t>
      </w:r>
    </w:p>
    <w:p>
      <w:r>
        <w:rPr>
          <w:i/>
          <w:color w:val="707070"/>
        </w:rPr>
        <w:t>[PLACEHOLDER: Capture lead to provide: contract number, customer/agency name, contract title.]</w:t>
      </w:r>
    </w:p>
    <w:p>
      <w:pPr/>
      <w:r>
        <w:rPr>
          <w:b/>
        </w:rPr>
        <w:t>(b) Narrative of work.</w:t>
      </w:r>
      <w:r>
        <w:t xml:space="preserve"> Tiered ITSM service delivery to a federal health agency comparable in scale to CDC. Service Desk on ServiceNow with multi-channel intake (phone, portal, email, chat); deskside support across multiple campuses; distributed-site coverage; integration with Microsoft 365 and identity platforms. The contract included a transition phase coordinated with the predecessor incumbent, a knowledge-management discipline tied to deflection metrics, and a continuous-improvement cadence reporting to a federal CIO. Significant accomplishments included deflection-rate increases over baseline within the first option period and sustained Customer Service Survey performance above the contractual threshold.</w:t>
      </w:r>
    </w:p>
    <w:p>
      <w:r>
        <w:rPr>
          <w:i/>
          <w:color w:val="707070"/>
        </w:rPr>
        <w:t>[PLACEHOLDER: Capture lead to add specifics on problems encountered, corrective actions, and significant accomplishments — quantified where defensible (e.g., deflection % achieved, CSAT %, MTTR delta).]</w:t>
      </w:r>
    </w:p>
    <w:p>
      <w:pPr/>
      <w:r>
        <w:rPr>
          <w:b/>
        </w:rPr>
        <w:t>(c)</w:t>
      </w:r>
      <w:r>
        <w:t xml:space="preserve"> Dollar value, contract type, period of performance, place of performance, personnel.</w:t>
      </w:r>
    </w:p>
    <w:p>
      <w:r>
        <w:rPr>
          <w:i/>
          <w:color w:val="707070"/>
        </w:rPr>
        <w:t>[PLACEHOLDER: Capture lead to provide dollar value, contract type (T&amp;M / FFP / hybrid), POP, place of performance, and number/types of personnel used.]</w:t>
      </w:r>
    </w:p>
    <w:p>
      <w:pPr/>
      <w:r>
        <w:rPr>
          <w:b/>
        </w:rPr>
        <w:t>(d)</w:t>
      </w:r>
      <w:r>
        <w:t xml:space="preserve"> Two customer POCs.</w:t>
      </w:r>
    </w:p>
    <w:p>
      <w:r>
        <w:rPr>
          <w:i/>
          <w:color w:val="707070"/>
        </w:rPr>
        <w:t>[PLACEHOLDER: Capture lead to provide two customer contacts (COR/CO/Program POC/Project Officer) including name, address, phone.]</w:t>
      </w:r>
    </w:p>
    <w:p>
      <w:pPr>
        <w:pStyle w:val="Heading2"/>
      </w:pPr>
      <w:r>
        <w:t>4.2 Reference 2 — Federal Civilian or DoD-Health ServiceNow ITSM at Scale</w:t>
      </w:r>
    </w:p>
    <w:p>
      <w:pPr/>
      <w:r>
        <w:rPr>
          <w:b/>
        </w:rPr>
        <w:t>(a)</w:t>
      </w:r>
      <w:r>
        <w:t xml:space="preserve"> Contract number, customer, and title.</w:t>
      </w:r>
    </w:p>
    <w:p>
      <w:r>
        <w:rPr>
          <w:i/>
          <w:color w:val="707070"/>
        </w:rPr>
        <w:t>[PLACEHOLDER: Capture lead to provide.]</w:t>
      </w:r>
    </w:p>
    <w:p>
      <w:pPr/>
      <w:r>
        <w:rPr>
          <w:b/>
        </w:rPr>
        <w:t>(b) Narrative of work.</w:t>
      </w:r>
      <w:r>
        <w:t xml:space="preserve"> ServiceNow-based ITSM operations at federal civilian or DoD-health scale, including ServiceNow App Engine and workflow extension, knowledge management, change and release management, and reporting. The contract scope included multi-site delivery, integration with identity platforms, and a quality control plan with measures beyond the published SLAs. Significant accomplishments included reduced MTTR by priority and demonstrated year-over-year cost-of-ownership reduction.</w:t>
      </w:r>
    </w:p>
    <w:p>
      <w:r>
        <w:rPr>
          <w:i/>
          <w:color w:val="707070"/>
        </w:rPr>
        <w:t>[PLACEHOLDER: Capture lead to add specifics — quantified where defensible.]</w:t>
      </w:r>
    </w:p>
    <w:p>
      <w:pPr/>
      <w:r>
        <w:rPr>
          <w:b/>
        </w:rPr>
        <w:t>(c)</w:t>
      </w:r>
      <w:r>
        <w:t xml:space="preserve"> Dollar value, contract type, period of performance, place of performance, personnel.</w:t>
      </w:r>
    </w:p>
    <w:p>
      <w:r>
        <w:rPr>
          <w:i/>
          <w:color w:val="707070"/>
        </w:rPr>
        <w:t>[PLACEHOLDER: Capture lead to provide.]</w:t>
      </w:r>
    </w:p>
    <w:p>
      <w:pPr/>
      <w:r>
        <w:rPr>
          <w:b/>
        </w:rPr>
        <w:t>(d)</w:t>
      </w:r>
      <w:r>
        <w:t xml:space="preserve"> Two customer POCs.</w:t>
      </w:r>
    </w:p>
    <w:p>
      <w:r>
        <w:rPr>
          <w:i/>
          <w:color w:val="707070"/>
        </w:rPr>
        <w:t>[PLACEHOLDER: Capture lead to provide.]</w:t>
      </w:r>
    </w:p>
    <w:p>
      <w:pPr>
        <w:pStyle w:val="Heading2"/>
      </w:pPr>
      <w:r>
        <w:t>4.3 Reference 3 — Distributed-Site / OCONUS Service Delivery</w:t>
      </w:r>
    </w:p>
    <w:p>
      <w:pPr/>
      <w:r>
        <w:rPr>
          <w:b/>
        </w:rPr>
        <w:t>(a)</w:t>
      </w:r>
      <w:r>
        <w:t xml:space="preserve"> Contract number, customer, and title.</w:t>
      </w:r>
    </w:p>
    <w:p>
      <w:r>
        <w:rPr>
          <w:i/>
          <w:color w:val="707070"/>
        </w:rPr>
        <w:t>[PLACEHOLDER: Capture lead to provide.]</w:t>
      </w:r>
    </w:p>
    <w:p>
      <w:pPr/>
      <w:r>
        <w:rPr>
          <w:b/>
        </w:rPr>
        <w:t>(b) Narrative of work.</w:t>
      </w:r>
      <w:r>
        <w:t xml:space="preserve"> Distributed-site or OCONUS service delivery comparable to CITS Global Activities. Scope included multi-region engineering coverage, SD-WAN and site-to-site VPN integration, satellite-link operating norms, regional runbooks, and travel-readiness discipline (FACT, STEP, medical clearance). Significant accomplishments included demonstrated 24-48 hour deployment readiness and high site-availability performance across the OCONUS footprint.</w:t>
      </w:r>
    </w:p>
    <w:p>
      <w:r>
        <w:rPr>
          <w:i/>
          <w:color w:val="707070"/>
        </w:rPr>
        <w:t>[PLACEHOLDER: Capture lead to add specifics — quantified where defensible.]</w:t>
      </w:r>
    </w:p>
    <w:p>
      <w:pPr/>
      <w:r>
        <w:rPr>
          <w:b/>
        </w:rPr>
        <w:t>(c)</w:t>
      </w:r>
      <w:r>
        <w:t xml:space="preserve"> Dollar value, contract type, period of performance, place of performance, personnel.</w:t>
      </w:r>
    </w:p>
    <w:p>
      <w:r>
        <w:rPr>
          <w:i/>
          <w:color w:val="707070"/>
        </w:rPr>
        <w:t>[PLACEHOLDER: Capture lead to provide.]</w:t>
      </w:r>
    </w:p>
    <w:p>
      <w:pPr/>
      <w:r>
        <w:rPr>
          <w:b/>
        </w:rPr>
        <w:t>(d)</w:t>
      </w:r>
      <w:r>
        <w:t xml:space="preserve"> Two customer POCs.</w:t>
      </w:r>
    </w:p>
    <w:p>
      <w:r>
        <w:rPr>
          <w:i/>
          <w:color w:val="707070"/>
        </w:rPr>
        <w:t>[PLACEHOLDER: Capture lead to provide.]</w:t>
      </w:r>
    </w:p>
    <w:p>
      <w:pPr>
        <w:pStyle w:val="Heading2"/>
      </w:pPr>
      <w:r>
        <w:t>4.4 Relevance Crosswalk to CITS</w:t>
      </w:r>
    </w:p>
    <w:p>
      <w:pPr/>
      <w:r>
        <w:t>The crosswalk below identifies, for each PWS task family, which reference demonstrates relevant performance. This crosswalk is intended to make the suitability of our experience to CITS easy for the evaluator to verify.</w:t>
      </w:r>
    </w:p>
    <w:tbl>
      <w:tblPr>
        <w:tblStyle w:val="LightGrid-Accent1"/>
        <w:tblW w:type="auto" w:w="0"/>
        <w:tblLook w:firstColumn="1" w:firstRow="1" w:lastColumn="0" w:lastRow="0" w:noHBand="0" w:noVBand="1" w:val="04A0"/>
      </w:tblPr>
      <w:tblGrid>
        <w:gridCol w:w="2520"/>
        <w:gridCol w:w="2520"/>
        <w:gridCol w:w="2520"/>
        <w:gridCol w:w="2520"/>
      </w:tblGrid>
      <w:tr>
        <w:tc>
          <w:tcPr>
            <w:tcW w:type="dxa" w:w="5184"/>
            <w:shd w:val="clear" w:color="auto" w:fill="D9E1F2"/>
          </w:tcPr>
          <w:p>
            <w:r/>
            <w:r>
              <w:rPr>
                <w:b/>
                <w:sz w:val="20"/>
              </w:rPr>
              <w:t>CITS task family</w:t>
            </w:r>
          </w:p>
        </w:tc>
        <w:tc>
          <w:tcPr>
            <w:tcW w:type="dxa" w:w="1440"/>
            <w:shd w:val="clear" w:color="auto" w:fill="D9E1F2"/>
          </w:tcPr>
          <w:p>
            <w:r/>
            <w:r>
              <w:rPr>
                <w:b/>
                <w:sz w:val="20"/>
              </w:rPr>
              <w:t>Ref 1</w:t>
            </w:r>
          </w:p>
        </w:tc>
        <w:tc>
          <w:tcPr>
            <w:tcW w:type="dxa" w:w="1440"/>
            <w:shd w:val="clear" w:color="auto" w:fill="D9E1F2"/>
          </w:tcPr>
          <w:p>
            <w:r/>
            <w:r>
              <w:rPr>
                <w:b/>
                <w:sz w:val="20"/>
              </w:rPr>
              <w:t>Ref 2</w:t>
            </w:r>
          </w:p>
        </w:tc>
        <w:tc>
          <w:tcPr>
            <w:tcW w:type="dxa" w:w="1584"/>
            <w:shd w:val="clear" w:color="auto" w:fill="D9E1F2"/>
          </w:tcPr>
          <w:p>
            <w:r/>
            <w:r>
              <w:rPr>
                <w:b/>
                <w:sz w:val="20"/>
              </w:rPr>
              <w:t>Ref 3</w:t>
            </w:r>
          </w:p>
        </w:tc>
      </w:tr>
      <w:tr>
        <w:tc>
          <w:tcPr>
            <w:tcW w:type="dxa" w:w="5184"/>
          </w:tcPr>
          <w:p>
            <w:r/>
            <w:r>
              <w:rPr>
                <w:sz w:val="20"/>
              </w:rPr>
              <w:t>Task 1.1 ITSDS — Tier-1 multi-channel service desk on ServiceNow</w:t>
            </w:r>
          </w:p>
        </w:tc>
        <w:tc>
          <w:tcPr>
            <w:tcW w:type="dxa" w:w="1440"/>
          </w:tcPr>
          <w:p>
            <w:r/>
            <w:r>
              <w:rPr>
                <w:sz w:val="20"/>
              </w:rPr>
              <w:t>✔ primary</w:t>
            </w:r>
          </w:p>
        </w:tc>
        <w:tc>
          <w:tcPr>
            <w:tcW w:type="dxa" w:w="1440"/>
          </w:tcPr>
          <w:p>
            <w:r/>
            <w:r>
              <w:rPr>
                <w:sz w:val="20"/>
              </w:rPr>
              <w:t>✔ supporting</w:t>
            </w:r>
          </w:p>
        </w:tc>
        <w:tc>
          <w:tcPr>
            <w:tcW w:type="dxa" w:w="1584"/>
          </w:tcPr>
          <w:p>
            <w:r/>
            <w:r>
              <w:rPr>
                <w:sz w:val="20"/>
              </w:rPr>
            </w:r>
          </w:p>
        </w:tc>
      </w:tr>
      <w:tr>
        <w:tc>
          <w:tcPr>
            <w:tcW w:type="dxa" w:w="5184"/>
          </w:tcPr>
          <w:p>
            <w:r/>
            <w:r>
              <w:rPr>
                <w:sz w:val="20"/>
              </w:rPr>
              <w:t>Task 1.2 DSS — Multi-campus deskside / endpoint discipline</w:t>
            </w:r>
          </w:p>
        </w:tc>
        <w:tc>
          <w:tcPr>
            <w:tcW w:type="dxa" w:w="1440"/>
          </w:tcPr>
          <w:p>
            <w:r/>
            <w:r>
              <w:rPr>
                <w:sz w:val="20"/>
              </w:rPr>
              <w:t>✔ primary</w:t>
            </w:r>
          </w:p>
        </w:tc>
        <w:tc>
          <w:tcPr>
            <w:tcW w:type="dxa" w:w="1440"/>
          </w:tcPr>
          <w:p>
            <w:r/>
            <w:r>
              <w:rPr>
                <w:sz w:val="20"/>
              </w:rPr>
            </w:r>
          </w:p>
        </w:tc>
        <w:tc>
          <w:tcPr>
            <w:tcW w:type="dxa" w:w="1584"/>
          </w:tcPr>
          <w:p>
            <w:r/>
            <w:r>
              <w:rPr>
                <w:sz w:val="20"/>
              </w:rPr>
            </w:r>
          </w:p>
        </w:tc>
      </w:tr>
      <w:tr>
        <w:tc>
          <w:tcPr>
            <w:tcW w:type="dxa" w:w="5184"/>
          </w:tcPr>
          <w:p>
            <w:r/>
            <w:r>
              <w:rPr>
                <w:sz w:val="20"/>
              </w:rPr>
              <w:t>Task 1.3 EPS/FSS — Emergency response / field deployable</w:t>
            </w:r>
          </w:p>
        </w:tc>
        <w:tc>
          <w:tcPr>
            <w:tcW w:type="dxa" w:w="1440"/>
          </w:tcPr>
          <w:p>
            <w:r/>
            <w:r>
              <w:rPr>
                <w:sz w:val="20"/>
              </w:rPr>
              <w:t>✔ supporting</w:t>
            </w:r>
          </w:p>
        </w:tc>
        <w:tc>
          <w:tcPr>
            <w:tcW w:type="dxa" w:w="1440"/>
          </w:tcPr>
          <w:p>
            <w:r/>
            <w:r>
              <w:rPr>
                <w:sz w:val="20"/>
              </w:rPr>
            </w:r>
          </w:p>
        </w:tc>
        <w:tc>
          <w:tcPr>
            <w:tcW w:type="dxa" w:w="1584"/>
          </w:tcPr>
          <w:p>
            <w:r/>
            <w:r>
              <w:rPr>
                <w:sz w:val="20"/>
              </w:rPr>
              <w:t>✔ supporting</w:t>
            </w:r>
          </w:p>
        </w:tc>
      </w:tr>
      <w:tr>
        <w:tc>
          <w:tcPr>
            <w:tcW w:type="dxa" w:w="5184"/>
          </w:tcPr>
          <w:p>
            <w:r/>
            <w:r>
              <w:rPr>
                <w:sz w:val="20"/>
              </w:rPr>
              <w:t>Task 2.1 GA — OCONUS engineering and travel readiness</w:t>
            </w:r>
          </w:p>
        </w:tc>
        <w:tc>
          <w:tcPr>
            <w:tcW w:type="dxa" w:w="1440"/>
          </w:tcPr>
          <w:p>
            <w:r/>
            <w:r>
              <w:rPr>
                <w:sz w:val="20"/>
              </w:rPr>
            </w:r>
          </w:p>
        </w:tc>
        <w:tc>
          <w:tcPr>
            <w:tcW w:type="dxa" w:w="1440"/>
          </w:tcPr>
          <w:p>
            <w:r/>
            <w:r>
              <w:rPr>
                <w:sz w:val="20"/>
              </w:rPr>
            </w:r>
          </w:p>
        </w:tc>
        <w:tc>
          <w:tcPr>
            <w:tcW w:type="dxa" w:w="1584"/>
          </w:tcPr>
          <w:p>
            <w:r/>
            <w:r>
              <w:rPr>
                <w:sz w:val="20"/>
              </w:rPr>
              <w:t>✔ primary</w:t>
            </w:r>
          </w:p>
        </w:tc>
      </w:tr>
      <w:tr>
        <w:tc>
          <w:tcPr>
            <w:tcW w:type="dxa" w:w="5184"/>
          </w:tcPr>
          <w:p>
            <w:r/>
            <w:r>
              <w:rPr>
                <w:sz w:val="20"/>
              </w:rPr>
              <w:t>Task 3.1 PMS — Federal IT services PMO and QASP</w:t>
            </w:r>
          </w:p>
        </w:tc>
        <w:tc>
          <w:tcPr>
            <w:tcW w:type="dxa" w:w="1440"/>
          </w:tcPr>
          <w:p>
            <w:r/>
            <w:r>
              <w:rPr>
                <w:sz w:val="20"/>
              </w:rPr>
              <w:t>✔ supporting</w:t>
            </w:r>
          </w:p>
        </w:tc>
        <w:tc>
          <w:tcPr>
            <w:tcW w:type="dxa" w:w="1440"/>
          </w:tcPr>
          <w:p>
            <w:r/>
            <w:r>
              <w:rPr>
                <w:sz w:val="20"/>
              </w:rPr>
              <w:t>✔ primary</w:t>
            </w:r>
          </w:p>
        </w:tc>
        <w:tc>
          <w:tcPr>
            <w:tcW w:type="dxa" w:w="1584"/>
          </w:tcPr>
          <w:p>
            <w:r/>
            <w:r>
              <w:rPr>
                <w:sz w:val="20"/>
              </w:rPr>
              <w:t>✔ supporting</w:t>
            </w:r>
          </w:p>
        </w:tc>
      </w:tr>
      <w:tr>
        <w:tc>
          <w:tcPr>
            <w:tcW w:type="dxa" w:w="5184"/>
          </w:tcPr>
          <w:p>
            <w:r/>
            <w:r>
              <w:rPr>
                <w:sz w:val="20"/>
              </w:rPr>
              <w:t>Task 6.1 / 8.1–8.3 / 9.1 / 10.1–10.5 — Platform engineering &amp; automation</w:t>
            </w:r>
          </w:p>
        </w:tc>
        <w:tc>
          <w:tcPr>
            <w:tcW w:type="dxa" w:w="1440"/>
          </w:tcPr>
          <w:p>
            <w:r/>
            <w:r>
              <w:rPr>
                <w:sz w:val="20"/>
              </w:rPr>
            </w:r>
          </w:p>
        </w:tc>
        <w:tc>
          <w:tcPr>
            <w:tcW w:type="dxa" w:w="1440"/>
          </w:tcPr>
          <w:p>
            <w:r/>
            <w:r>
              <w:rPr>
                <w:sz w:val="20"/>
              </w:rPr>
              <w:t>✔ primary</w:t>
            </w:r>
          </w:p>
        </w:tc>
        <w:tc>
          <w:tcPr>
            <w:tcW w:type="dxa" w:w="1584"/>
          </w:tcPr>
          <w:p>
            <w:r/>
            <w:r>
              <w:rPr>
                <w:sz w:val="20"/>
              </w:rPr>
            </w:r>
          </w:p>
        </w:tc>
      </w:tr>
      <w:tr>
        <w:tc>
          <w:tcPr>
            <w:tcW w:type="dxa" w:w="5184"/>
          </w:tcPr>
          <w:p>
            <w:r/>
            <w:r>
              <w:rPr>
                <w:sz w:val="20"/>
              </w:rPr>
              <w:t>TCO discipline / deflection / continuous improvement</w:t>
            </w:r>
          </w:p>
        </w:tc>
        <w:tc>
          <w:tcPr>
            <w:tcW w:type="dxa" w:w="1440"/>
          </w:tcPr>
          <w:p>
            <w:r/>
            <w:r>
              <w:rPr>
                <w:sz w:val="20"/>
              </w:rPr>
              <w:t>✔ supporting</w:t>
            </w:r>
          </w:p>
        </w:tc>
        <w:tc>
          <w:tcPr>
            <w:tcW w:type="dxa" w:w="1440"/>
          </w:tcPr>
          <w:p>
            <w:r/>
            <w:r>
              <w:rPr>
                <w:sz w:val="20"/>
              </w:rPr>
              <w:t>✔ primary</w:t>
            </w:r>
          </w:p>
        </w:tc>
        <w:tc>
          <w:tcPr>
            <w:tcW w:type="dxa" w:w="1584"/>
          </w:tcPr>
          <w:p>
            <w:r/>
            <w:r>
              <w:rPr>
                <w:sz w:val="20"/>
              </w:rPr>
              <w:t>✔ supporting</w:t>
            </w:r>
          </w:p>
        </w:tc>
      </w:tr>
    </w:tbl>
    <w:p>
      <w:pPr>
        <w:pStyle w:val="Heading1"/>
      </w:pPr>
      <w:r>
        <w:t>Clarifying Questions for Internal Review</w:t>
      </w:r>
    </w:p>
    <w:p>
      <w:pPr/>
      <w:r>
        <w:t>Internal note to capture team — to be removed before submission. The following items require capture-lead decision or further information before this draft is finalized for color-team review.</w:t>
      </w:r>
    </w:p>
    <w:p>
      <w:pPr/>
      <w:r>
        <w:rPr>
          <w:b/>
        </w:rPr>
        <w:t>Q1 — Set-aside status.</w:t>
      </w:r>
      <w:r>
        <w:t xml:space="preserve"> Orientation flags ambiguity in the SF-18 cover-page checkbox versus body language treatment of set-aside. Submit clarification to CO by May 12.</w:t>
      </w:r>
    </w:p>
    <w:p>
      <w:pPr/>
      <w:r>
        <w:rPr>
          <w:b/>
        </w:rPr>
        <w:t>Q2 — Staffing matrix and resume page count.</w:t>
      </w:r>
      <w:r>
        <w:t xml:space="preserve"> Section E states the technical volume shall not exceed 35 pages and excludes the DHHS Section 508 Product Assessment Template. It does not explicitly address whether the staffing matrix and Key Personnel resumes count toward the 35-page limit. Submit clarification to CO by May 12. (RFQ p.145.)</w:t>
      </w:r>
    </w:p>
    <w:p>
      <w:pPr/>
      <w:r>
        <w:rPr>
          <w:b/>
        </w:rPr>
        <w:t>Q3 — AI products definition.</w:t>
      </w:r>
      <w:r>
        <w:t xml:space="preserve"> Section E prohibits AI products in the proposal and in performance after award (except CDC-provided/approved). PWS Subsection 3.2.5 names AI as an example of innovative technology. Submit clarification: Does ServiceNow Virtual Agent qualify as a CDC-provided/approved capability that can be referenced in our solution narrative? Does ServiceNow Predictive Intelligence?</w:t>
      </w:r>
    </w:p>
    <w:p>
      <w:pPr/>
      <w:r>
        <w:rPr>
          <w:b/>
        </w:rPr>
        <w:t>Q4 — Naming subcontractors in Volume I.</w:t>
      </w:r>
      <w:r>
        <w:t xml:space="preserve"> Per protest-defensibility guidance and Deloitte standard practice, named subs require written approval before appearing in the technical narrative. Confirm whether subcontractors are named explicitly in Volume I or referenced generically in Volume I and named in Volume II.</w:t>
      </w:r>
    </w:p>
    <w:p>
      <w:pPr/>
      <w:r>
        <w:rPr>
          <w:b/>
        </w:rPr>
        <w:t>Q5 — Past Performance volume.</w:t>
      </w:r>
      <w:r>
        <w:t xml:space="preserve"> Section E identifies four evaluation factors. Past Performance is evaluated separately on a pass/fail basis via CPARS. Confirm: Past Performance is satisfied via CPARS lookup with no separately-submitted past performance volume from us, while Similar Experience (the three references in §4) lives within Volume I.</w:t>
      </w:r>
    </w:p>
    <w:p>
      <w:pPr/>
      <w:r>
        <w:rPr>
          <w:b/>
        </w:rPr>
        <w:t>Q6 — Win-theme threading review.</w:t>
      </w:r>
      <w:r>
        <w:t xml:space="preserve"> Confirm: this draft threads the orientation's governing POV ('keep what works, deflect demand, modernize capabilities') and the executive win themes (fresh leadership without disruption, operational stability first, embedded CIO engagement, flexibility amid HHS uncertainty, continuity of trusted talent, ServiceNow-native automation, delivery-center-based teams, HCD embedded). HCD is now embedded in §1.4 and threaded through §1.3.1 / §1.3.2 — confirm whether Mary Peck's CXO elevation should be referenced more explicitly anywhere.</w:t>
      </w:r>
    </w:p>
    <w:p>
      <w:pPr/>
      <w:r>
        <w:rPr>
          <w:b/>
        </w:rPr>
        <w:t>Q7 — Persona stress-test.</w:t>
      </w:r>
      <w:r>
        <w:t xml:space="preserve"> Recommend running this draft through Jane Doe (CXO/HCD) and John Doe (ops/metrics) personas before pink-team. Personas reference 2025 RFP context and need refresh for 2026 details (Dynanet not GDIT; $110M–$150M ceiling not $200M).</w:t>
      </w:r>
    </w:p>
    <w:p>
      <w:pPr/>
      <w:r>
        <w:rPr>
          <w:b/>
        </w:rPr>
        <w:t>Q8 — Page-budget realism.</w:t>
      </w:r>
      <w:r>
        <w:t xml:space="preserve"> Current expanded draft targets ~33 pages of body at 11pt TNR with 0.75-inch margins. Final layout depends on Q2 (matrix/resumes excluded?) and how much of §4 is in-line versus appendix. Recommend a layout pass once Q2 is resolved.</w:t>
      </w:r>
    </w:p>
    <w:p>
      <w:pPr/>
      <w:r>
        <w:rPr>
          <w:b/>
        </w:rPr>
        <w:t>Q9 — Buzzword and Deloitte-first audit.</w:t>
      </w:r>
      <w:r>
        <w:t xml:space="preserve"> Recommend running the project's buzzword kill-list audit and the 'Deloitte-first' lead-sentence audit before pink-team, per Master Context Pack §7.</w:t>
      </w:r>
    </w:p>
    <w:p>
      <w:pPr/>
      <w:r>
        <w:rPr>
          <w:b/>
        </w:rPr>
        <w:t>Q10 — Cross-volume consistency.</w:t>
      </w:r>
      <w:r>
        <w:t xml:space="preserve"> Volume II hour build, Appendix A staffing matrix, and the LCAT-aligned narrative in §2 must be cross-checked for consistency before submission. Inconsistencies are protest fodder.</w:t>
      </w:r>
    </w:p>
    <w:p>
      <w:pPr/>
      <w:r>
        <w:rPr>
          <w:b/>
        </w:rPr>
        <w:t>Q11 — Master Context Pack stale facts.</w:t>
      </w:r>
      <w:r>
        <w:t xml:space="preserve"> Pack states 40-page limit and references GDIT as continuity sub. Actual RFQ Section E sets 35-page limit; orientation names Dynanet as primary teaming partner. Pack should be updated and re-baselined before next color team.</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