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Subheading1"/>
      </w:pPr>
      <w:r w:rsidRPr="00AF4AB8">
        <w:t>Our Understanding</w:t>
      </w:r>
      <w:r w:rsidR="0006071A" w:rsidRPr="00AF4AB8"/>
      <w:r w:rsidR="00304F34" w:rsidRPr="00AF4AB8"/>
      <w:r w:rsidR="002440D5" w:rsidRPr="00AF4AB8"/>
      <w:r w:rsidR="00304F34" w:rsidRPr="00AF4AB8"/>
    </w:p>
    <w:p w14:paraId="31153E0E" w14:textId="5A66DADE" w:rsidR="00C14ED2" w:rsidRPr="00DD6CAA" w:rsidRDefault="008B3B3A" w:rsidP="005D763D">
      <w:pPr>
        <w:pStyle w:val="BodyText"/>
      </w:pPr>
      <w:r w:rsidRPr="005D763D">
        <w:rPr>
          <w:rStyle w:val="CharacterBold"/>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r w:rsidR="001B024F" w:rsidRPr="005D763D">
        <w:rPr>
          <w:rStyle w:val="CharacterBold"/>
        </w:rPr>
      </w:r>
      <w:r w:rsidR="001B024F" w:rsidRPr="00DD6CAA"/>
      <w:r w:rsidR="00E02C30" w:rsidRPr="00DD6CAA"/>
      <w:r w:rsidR="00C14ED2" w:rsidRPr="00DD6CAA"/>
      <w:r w:rsidR="00627892" w:rsidRPr="00DD6CAA"/>
      <w:r w:rsidR="00C1424F" w:rsidRPr="00DD6CAA"/>
      <w:r w:rsidR="00C14ED2" w:rsidRPr="00DD6CAA"/>
    </w:p>
    <w:p w14:paraId="7930D89C" w14:textId="3AF0EA5E" w:rsidR="001B024F" w:rsidRPr="001B024F" w:rsidRDefault="008B3B3A" w:rsidP="005D763D">
      <w:pPr>
        <w:pStyle w:val="Subheading1"/>
      </w:pPr>
      <w:r w:rsidRPr="005D763D">
        <w:rPr>
          <w:rStyle w:val="CharacterBold"/>
        </w:rPr>
        <w:t>Our Approach</w:t>
      </w:r>
      <w:r w:rsidR="001B024F" w:rsidRPr="005D763D">
        <w:rPr>
          <w:rStyle w:val="CharacterBold"/>
        </w:rPr>
      </w:r>
      <w:r w:rsidR="00667EB1" w:rsidRPr="005D763D">
        <w:rPr>
          <w:rStyle w:val="CharacterBold"/>
        </w:rPr>
      </w:r>
      <w:r w:rsidR="001B024F" w:rsidRPr="005D763D">
        <w:rPr>
          <w:rStyle w:val="CharacterBold"/>
        </w:rPr>
      </w:r>
      <w:r w:rsidR="001B024F" w:rsidRPr="001B024F"/>
      <w:r w:rsidR="00F72E63"/>
      <w:r w:rsidR="00F72E63" w:rsidRPr="00F72E63"/>
      <w:r w:rsidR="001B024F" w:rsidRPr="001B024F"/>
      <w:r w:rsidR="0089511F" w:rsidRPr="0089511F"/>
      <w:r w:rsidR="00F72E63" w:rsidRPr="00F72E63"/>
      <w:r w:rsidR="0089511F" w:rsidRPr="0089511F"/>
    </w:p>
    <w:p w14:paraId="7C5EC0D7" w14:textId="77777777" w:rsidR="00DB56E8" w:rsidRPr="00DB56E8" w:rsidRDefault="008B3B3A" w:rsidP="005D763D">
      <w:pPr>
        <w:pStyle w:val="BodyText"/>
      </w:pPr>
      <w:r w:rsidRPr="005D763D">
        <w:rPr>
          <w:rStyle w:val="CharacterBold"/>
        </w:rPr>
        <w:t>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Issuer-support lane: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r w:rsidR="001B024F" w:rsidRPr="005D763D">
        <w:rPr>
          <w:rStyle w:val="CharacterBold"/>
        </w:rPr>
      </w:r>
      <w:r w:rsidR="001B024F" w:rsidRPr="001B024F"/>
      <w:r w:rsidR="00DB56E8" w:rsidRPr="00DB56E8"/>
    </w:p>
    <w:p w14:paraId="17198048" w14:textId="5A19057E" w:rsidR="00EE51A7" w:rsidRPr="00EE51A7" w:rsidRDefault="001B024F" w:rsidP="005D763D">
      <w:pPr>
        <w:pStyle w:val="BodyText"/>
      </w:pPr>
      <w:r w:rsidRPr="005D763D">
        <w:rPr>
          <w:rStyle w:val="CharacterBold"/>
        </w:rPr>
        <w:t>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oversight; no automated decision affects case outcome without agent confirmation.</w:t>
      </w:r>
      <w:r w:rsidR="00B348BC" w:rsidRPr="005D763D">
        <w:rPr>
          <w:rStyle w:val="CharacterBold"/>
        </w:rPr>
      </w:r>
      <w:r w:rsidR="00EE51A7">
        <w:rPr>
          <w:b/>
          <w:bCs/>
        </w:rPr>
      </w:r>
      <w:r w:rsidR="00AC1FEA" w:rsidRPr="00AC1FEA"/>
      <w:r w:rsidR="00144A2F"/>
      <w:r w:rsidR="00EE51A7" w:rsidRPr="00EE51A7"/>
      <w:r w:rsidR="00AC1FEA" w:rsidRPr="00AC1FEA"/>
      <w:r w:rsidR="00EE51A7" w:rsidRPr="00EE51A7"/>
    </w:p>
    <w:p w14:paraId="2992D527" w14:textId="5B72ABAA" w:rsidR="001B024F" w:rsidRPr="00181397" w:rsidRDefault="00181397" w:rsidP="005D763D">
      <w:pPr>
        <w:pStyle w:val="BodyText"/>
      </w:pPr>
      <w:r w:rsidRPr="005D763D">
        <w:rPr>
          <w:rStyle w:val="CharacterBold"/>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r w:rsidRPr="00181397">
        <w:rPr>
          <w:b/>
          <w:bCs/>
        </w:rPr>
      </w:r>
      <w:r w:rsidRPr="00181397"/>
      <w:r w:rsidR="001B024F" w:rsidRPr="00181397"/>
    </w:p>
    <w:p w14:paraId="0107FB7C" w14:textId="2A4C8E4B" w:rsidR="001B024F" w:rsidRPr="001B024F" w:rsidRDefault="001B024F" w:rsidP="005D763D">
      <w:pPr>
        <w:pStyle w:val="Subheading1"/>
      </w:pPr>
      <w:r w:rsidRPr="005D763D">
        <w:rPr>
          <w:rStyle w:val="CharacterBold"/>
        </w:rPr>
        <w:t>Proof Points</w:t>
      </w:r>
      <w:r w:rsidRPr="001B024F"/>
      <w:r w:rsidR="00D23922" w:rsidRPr="00825C68"/>
      <w:r w:rsidR="00E9069C" w:rsidRPr="00825C68"/>
    </w:p>
    <w:p w14:paraId="2A476E02" w14:textId="1D546518" w:rsidR="001B024F" w:rsidRPr="001B024F" w:rsidRDefault="001B024F" w:rsidP="005D763D">
      <w:pPr>
        <w:pStyle w:val="Bulletlevel1"/>
      </w:pPr>
      <w:r w:rsidRPr="005D763D">
        <w:rPr>
          <w:rStyle w:val="CharacterBold"/>
        </w:rPr>
        <w:t>Covered California Health Insurance Exchange Contact Center. Deloitte stood up Amazon Connect in approximately 40 hours during annual Open Enrollment when contact volume peaks near 300,000 contacts per month. Deloitte provided project management, engineering, testing, training, and hypercare;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r w:rsidRPr="001B024F"/>
      <w:r w:rsidR="001C478E" w:rsidRPr="00825C68"/>
      <w:r w:rsidR="00B80B34" w:rsidRPr="00825C68"/>
      <w:r w:rsidR="00E9069C" w:rsidRPr="00825C68"/>
    </w:p>
    <w:p w14:paraId="162DF907" w14:textId="17FE3C3B" w:rsidR="00A95AB5" w:rsidRPr="00A95AB5" w:rsidRDefault="001B024F" w:rsidP="005D763D">
      <w:pPr>
        <w:pStyle w:val="Bulletlevel1"/>
      </w:pPr>
      <w:r w:rsidRPr="005D763D">
        <w:rPr>
          <w:rStyle w:val="CharacterBold"/>
        </w:rPr>
        <w:t>FinCEN Beneficial Ownership Contact Center. Deloitte stood up and operates a federal compliance-oriented contact center on Salesforce Government Cloud Plus, Amazon Connect, and AWS Lex in a FedRAMP High environment. The team eliminated a 5,000-case backlog within three months, closed 350,000+ cases, conducted 23,000+ outbound calls, and audited 11,000+ cases at an average QA score of 96% — directly relevant to Deloitte's ability to operate federal case-management operations with disciplined QA, dashboard-driven performance management, and outbound resolution as a Task 7 lever.</w:t>
      </w:r>
      <w:r w:rsidR="00EE51A7" w:rsidRPr="005D763D">
        <w:rPr>
          <w:rStyle w:val="CharacterBold"/>
        </w:rPr>
      </w:r>
      <w:r w:rsidRPr="005D763D">
        <w:rPr>
          <w:rStyle w:val="CharacterBold"/>
        </w:rPr>
      </w:r>
      <w:r w:rsidRPr="001B024F"/>
      <w:r w:rsidR="0036309D" w:rsidRPr="00825C68"/>
      <w:r w:rsidR="0079356F" w:rsidRPr="00825C68"/>
      <w:r w:rsidR="0036309D" w:rsidRPr="00825C68"/>
      <w:r w:rsidR="003C5484" w:rsidRPr="00825C68"/>
      <w:r w:rsidR="0036309D" w:rsidRPr="00825C68"/>
      <w:r w:rsidR="00630A7B" w:rsidRPr="00825C68"/>
      <w:r w:rsidR="0036309D" w:rsidRPr="00825C68"/>
      <w:r w:rsidR="00A95AB5" w:rsidRPr="00825C68"/>
      <w:r w:rsidR="00A95AB5" w:rsidRPr="00A95AB5"/>
    </w:p>
    <w:p w14:paraId="411082ED" w14:textId="2D2E6281" w:rsidR="009702F9" w:rsidRPr="005D763D" w:rsidRDefault="009942F7" w:rsidP="005D763D">
      <w:pPr>
        <w:pStyle w:val="Bulletlevel1"/>
      </w:pPr>
      <w:r w:rsidRPr="005D763D">
        <w:rPr>
          <w:rStyle w:val="CharacterBold"/>
        </w:rPr>
        <w:t>U.S. Navy MyNavy Career Center (MNCC). Deloitte redesigned and operates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r w:rsidR="009702F9" w:rsidRPr="005D763D">
        <w:rPr>
          <w:rStyle w:val="CharacterBold"/>
        </w:rPr>
      </w:r>
      <w:r w:rsidR="009702F9" w:rsidRPr="005D763D"/>
      <w:r w:rsidR="00F20F18" w:rsidRPr="005D763D"/>
      <w:r w:rsidR="009702F9" w:rsidRPr="005D763D"/>
      <w:r w:rsidR="002931EE" w:rsidRPr="005D763D"/>
      <w:r w:rsidR="009702F9" w:rsidRPr="005D763D"/>
      <w:r w:rsidR="00F06EA5" w:rsidRPr="005D763D"/>
      <w:r w:rsidR="009702F9" w:rsidRPr="005D763D"/>
      <w:r w:rsidR="0036309D" w:rsidRPr="005D763D"/>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CMS maintains an active SOP library — eight SOPs in the SOW Appendix C sample list (1095-A Consumer Disputes; CCHC Casework; ER&amp;R Batch Update Utility; ER&amp;R Business Rule Development; ER&amp;R Support Center; Issuer Enrollment &amp; Payment Dispute; Issuer Outreach; Unmatched I Records) — and a corresponding User Guide and Job Aid library (Appendix D, including 25+ named documents covering CCHC, CERRS, BUU coaching, DMI handling, language access, telephony, and consumer outreach scripting). Task 9 is the operating discipline that keeps every one of those documents current, propagates changes through training within the same cycle the change is introduced, and translates QA findings into measurable performance improvement. Three deliverables anchor the cycle: the Quality Assurance Plan delivered within 45 days of the start of the base period; the monthly Quality Assurance Report, Monthly Performance Report, and Business Process Improvement Report; and the SOP / User Guide / Job Aid updates submitted on the SOW-required monthly and quarterly cadences (with COR approval before any operational deployment).</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 will operate Task 9 through a single integrated quality and analytics governance model. The model has four operating commitments. First, governed documentation lifecycle: every SOP, user guide, and job aid has a defined change trigger (regulatory update, system release, recurring QA finding, COR direction), an impact assessment that identifies affected workflows and personnel, a structured drafting and review workflow with named SME and operational reviewers, version control with full edit history, and COR approval before deployment. Second, KPI and OKR alignment: KPIs are derived from the SOW §3.9 data elements (a) through (p) — entity submissions, enrollee data accuracy, reason codes, effective dates, terminations, cancellations, plan-level accuracy, APTC/CSR validations, ASC X12N 834/820 reconciliation, error reports, error correction, error reporting, trending analysis, source/content of common inquiries, vulnerability identification, and additional CMS-identified elements — and refined with CMS at the business process improvement kick-off. OKRs cascade those KPIs to operational targets owned by named team leads.</w:t>
      </w:r>
      <w:r w:rsidR="003442AD"/>
    </w:p>
    <w:p w14:paraId="54F3AF99" w14:textId="1B5F3479" w:rsidR="00C37302" w:rsidRDefault="0020358F" w:rsidP="003442AD">
      <w:pPr>
        <w:pStyle w:val="BodyText"/>
      </w:pPr>
      <w:r w:rsidRPr="001403F4">
        <w:t>Third, closed-loop continuous improvement: QA findings, defect trends, and stakeholder feedback flow into a single quality backlog managed in JIRA. Each item is triaged for root cause, assigned an owner, given a target closure date, and tracked through resolution with the corrective action documented. Recurring patterns trigger SOP updates, training refreshes, or system change requests rather than repeated remediation of the same defect. Fourth, decision-useful reporting: each of the three monthly reports closes with specific recommended CMS actions — proposed SOP changes, proposed business rule modifications, proposed system enhancements, or proposed coordination changes with other contractors — backed by the data that supports them. The methods, processes, and tools applied to each Task 9 deliverable are summarized in Table 1.2.8-1.</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The reporting cadence converts day-to-day execution into program intelligence rather than backward-looking metrics. The Quality Assurance Report monitors AQL conformance, sample-based defect rates, escalation patterns, and corrective action status. The Monthly Performance Report tracks every SOW SLA and AQL against the Performance Measurement Plan, with deviations flagged and corrective action plans attached. The Business Process Improvement Report identifies opportunities for SOP simplification, automation, training improvement, and cross-task coordination. The structure and outputs of these reports are summarized in Table 1.2.8-2.</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The most material risk under Task 9 is documentation drift in a dynamic ER&amp;R environment where policy, system, and operational changes are continuous. Left unaddressed, drift produces inconsistent execution, preventable errors, and audit findings. Deloitte mitigates drift through structured change triggers tied to the Federal Register, REGTAP, JIRA system change events, and recurring QA findings; SOP and job aid checkpoint reviews on a published quarterly schedule plus ad hoc review on any substantive change; version control with edit attribution; COR approval tracked against committed turnaround windows; and end-to-end traceability from each business or regulatory change to the corresponding documentation update.</w:t>
      </w:r>
      <w:r>
        <w:rPr>
          <w:rFonts w:cs="Segoe UI"/>
          <w:color w:val="000000"/>
        </w:rPr>
      </w:r>
      <w:r w:rsidRPr="00BB1E9A">
        <w:rPr>
          <w:rFonts w:cs="Segoe UI"/>
          <w:color w:val="000000"/>
        </w:rPr>
      </w:r>
      <w:r w:rsidRPr="00BB1E9A">
        <w:rPr>
          <w:rFonts w:cs="Segoe UI"/>
          <w:color w:val="000000"/>
        </w:rPr>
      </w:r>
      <w:r>
        <w:rPr>
          <w:rFonts w:cs="Segoe UI"/>
          <w:color w:val="000000"/>
        </w:rPr>
      </w:r>
      <w:r w:rsidRPr="00BB1E9A">
        <w:rPr>
          <w:rFonts w:cs="Segoe UI"/>
          <w:color w:val="000000"/>
        </w:rPr>
      </w:r>
    </w:p>
    <w:p w14:paraId="6D38752A" w14:textId="77777777" w:rsidR="000F742E" w:rsidRPr="00BB1E9A" w:rsidRDefault="000F742E" w:rsidP="009F47CF">
      <w:pPr>
        <w:pStyle w:val="BodyText"/>
        <w:rPr>
          <w:rFonts w:cs="Segoe UI"/>
          <w:color w:val="000000"/>
        </w:rPr>
      </w:pPr>
      <w:r>
        <w:t>A second risk is the proliferation of well-intentioned but redundant or conflicting metrics. Deloitte mitigates this by ranking proposed measures against three criteria — (1) does it tie to a specific SOW SLA, AQL, or required reporting element; (2) does it produce a CMS decision; (3) does the data exist or require new instrumentation — and presenting the prioritized library to the COR for approval before instrumentation. A third risk is QA cataloging defects without driving improvement; Deloitte mitigates this by integrating QA findings with root cause analysis, mitigation monitoring, and SOP/training updates so each finding measurably reduces recurrence.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Proof points: Deloitte applies this same governance model on Covered California (CalHEERS) where structured documentation lifecycle, monthly performance reporting, and KPI-driven continuous improvement underpin operations for 1.5 million Marketplace enrollees; on Washington Healthplanfinder where 24/7 O&amp;M is governed by the same SOP and QA discipline; and on FinCEN BOI where audited 11,000+ cases averaged a 96% QA score and a 5,000-case backlog was eliminated within three months — directly relevant to the documentation-and-QA-driven operational improvement Task 9 requires.</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Deloitte's staffing model responds to a single operating reality: ER&amp;R workload is concentrated, seasonal, and risk-sensitive.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r w:rsidRPr="001349CE">
        <w:rPr>
          <w:rStyle w:val="CharacterBold"/>
        </w:rPr>
      </w:r>
      <w:r w:rsidRPr="00B22AFA"/>
      <w:r w:rsidRPr="001349CE">
        <w:rPr>
          <w:rStyle w:val="CharacterBold"/>
        </w:rPr>
      </w:r>
      <w:r w:rsidRPr="00B22AFA"/>
      <w:r w:rsidRPr="001349CE">
        <w:rPr>
          <w:rStyle w:val="CharacterBold"/>
        </w:rPr>
      </w:r>
      <w:r w:rsidRPr="00B22AFA"/>
      <w:r w:rsidRPr="001349CE">
        <w:rPr>
          <w:rStyle w:val="CharacterBold"/>
        </w:rPr>
      </w:r>
      <w:r w:rsidRPr="00B22AFA"/>
      <w:r/>
      <w:r w:rsidR="00B17029" w:rsidRPr="001349CE">
        <w:rPr>
          <w:rStyle w:val="CharacterBold"/>
        </w:rPr>
      </w:r>
      <w:commentRangeEnd w:id="111"/>
      <w:r w:rsidR="00C33993">
        <w:rPr>
          <w:rStyle w:val="CommentReference"/>
          <w:rFonts w:ascii="Courier New" w:hAnsi="Courier New"/>
        </w:rPr>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r w:rsidRPr="00367BA6"/>
      <w:r w:rsidR="00C91D75" w:rsidRPr="00C91D75"/>
      <w:commentRangeEnd w:id="114"/>
      <w:r w:rsidR="00956174">
        <w:rPr>
          <w:rStyle w:val="CommentReference"/>
          <w:rFonts w:ascii="Courier New" w:hAnsi="Courier New"/>
        </w:rPr>
      </w:r>
    </w:p>
    <w:p w14:paraId="63ABC5AC" w14:textId="63380A3E" w:rsidR="00760C47" w:rsidRPr="00760C47" w:rsidRDefault="00760C47" w:rsidP="0071582C">
      <w:pPr>
        <w:pStyle w:val="BodyText"/>
        <w:rPr>
          <w:b/>
          <w:color w:val="00B0F0"/>
        </w:rPr>
      </w:pPr>
      <w:r w:rsidRPr="00760C47">
        <w:rPr>
          <w:b/>
          <w:color w:val="00B0F0"/>
        </w:rPr>
        <w:t>[Deloitte to populate: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r>
        <w:rPr>
          <w:b/>
          <w:color w:val="00B0F0"/>
        </w:rPr>
      </w:r>
      <w:r w:rsidRPr="00760C47">
        <w:rPr>
          <w:b/>
          <w:color w:val="00B0F0"/>
        </w:rPr>
      </w:r>
      <w:r w:rsidR="00445B8E">
        <w:rPr>
          <w:b/>
          <w:color w:val="00B0F0"/>
        </w:rPr>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
      </w:pPr>
      <w:r w:rsidRPr="00FB51CD">
        <w:rPr>
          <w:rStyle w:val="CharacterBold"/>
        </w:rPr>
        <w:t>Form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leads. CMS background investigations begin at offer acceptance to ensure the first wave is cleared, system-trained, and shadow-certified before January 1. A returner-first model preferentially re-engages prior-season caseworkers — they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r w:rsidRPr="007840F7"/>
      <w:commentRangeStart w:id="119"/>
      <w:r w:rsidRPr="007840F7"/>
      <w:commentRangeEnd w:id="119"/>
      <w:r w:rsidRPr="007840F7">
        <w:rPr>
          <w:rStyle w:val="CommentReference"/>
          <w:sz w:val="24"/>
          <w:szCs w:val="22"/>
        </w:rPr>
      </w:r>
    </w:p>
    <w:p>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