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r>
              <w:t>Transition-In &amp; Knowledge Transfer</w:t>
            </w:r>
          </w:p>
        </w:tc>
        <w:tc>
          <w:tcPr>
            <w:tcW w:w="1380" w:type="pct"/>
          </w:tcPr>
          <w:p>
            <w:r>
              <w:t>Incomplete or delayed transfer of institutional knowledge from the incumbent contractor — including undocumented business rules, system configurations, and SOPs — could degrade performance during the 3-month transition-in window and produce missed SLAs, unresolved disputes, and consumer-facing errors immediately after takeover.</w:t>
            </w:r>
          </w:p>
        </w:tc>
        <w:tc>
          <w:tcPr>
            <w:tcW w:w="2644" w:type="pct"/>
          </w:tcPr>
          <w:p>
            <w:r>
              <w:t>Execute a structured Transition-In Plan submitted within 8 business days of award, with a Joint Operating Agreement signed with the incumbent within 7 calendar days. Deloitte will: (1) deploy TruNorth GenAI to capture rule logic, routing rules, and classification behavior directly from CERRS, HICS, SEED, and EDA CORE source code, supplementing what the incumbent shares through SOPs and KT; (2) shadow incumbent operations for issuer disputes, 1095-A casework, and CCHC; (3) validate every workflow, data pipeline, and intake channel against live production behavior through structured readiness gates before any case transfer; and (4) report progress through a daily cross-task readiness dashboard to the COR.</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r>
              <w:t>Seasonal Volume Surges &amp; Workforce Scalability</w:t>
            </w:r>
          </w:p>
        </w:tc>
        <w:tc>
          <w:tcPr>
            <w:tcW w:w="1380" w:type="pct"/>
          </w:tcPr>
          <w:p>
            <w:r>
              <w:t>Form 1095-A consumer dispute volumes triple during tax season (January–May), and ER&amp;R volumes peak for 120 days after Open Enrollment close. Failure to recruit, onboard, clear, and train the SOW-required ~100–120 temporary case analysts and 4 temporary team leads on time will breach the 2/5/10 business-day SLAs in SOW Table 4 and generate consumer harm during the highest-stakes period of the year.</w:t>
            </w:r>
          </w:p>
        </w:tc>
        <w:tc>
          <w:tcPr>
            <w:tcW w:w="2644" w:type="pct"/>
          </w:tcPr>
          <w:p>
            <w:r>
              <w:t>Maintain a pre-qualified surge staffing pipeline refreshed annually. Begin recruitment in November and start CMS background investigations at offer acceptance so the first wave is cleared, system-trained, and shadow-certified before January 1. Apply a returner-first model so prior-season caseworkers reach full productivity from day one. New hires train on prior-year root-cause case types under peer certification by returners. Release surge capacity in phases as volumes decline through June. Monthly tax-season readiness reports are submitted to the COR beginning in October.</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r>
              <w:t>PII / PHI / FTI Data Breach</w:t>
            </w:r>
          </w:p>
        </w:tc>
        <w:tc>
          <w:tcPr>
            <w:tcW w:w="1380" w:type="pct"/>
          </w:tcPr>
          <w:p>
            <w:r>
              <w:t>ER&amp;R systems process Personally Identifiable Information, Protected Health Information, and Federal Tax Information for ~24 million Marketplace consumers. A breach — whether through credential compromise, misconfigured cloud storage, exfiltration via subcontractor access, or insider misuse — triggers HHS/CMS one-hour incident reporting, OMB M-17-12 breach response, IRS Safeguards review for FTI, congressional notification, and lasting reputational impact.</w:t>
            </w:r>
          </w:p>
        </w:tc>
        <w:tc>
          <w:tcPr>
            <w:tcW w:w="2644" w:type="pct"/>
          </w:tcPr>
          <w:p>
            <w:r>
              <w:t>Implement HHS/CMS-approved encryption with current FIPS 140 validation in transit and at rest for every system component. Apply role-based access control with field-level masking for PII fields in CERRS and HICS. Conduct quarterly third-party (3PAO) penetration testing against the FedRAMP-compliant Azure Government enclave. Maintain a documented Incident and Breach Response Plan tested twice per year, with one-hour reporting to the CMS IRT pre-staged through CMS Help Desk and IT Service Desk channels. Continuous monitoring is operated by a CISSP-certified Security &amp; Privacy Officer with SOC integration.</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r>
              <w:t>Regulatory &amp; Policy Changes Mid-Contract</w:t>
            </w:r>
          </w:p>
        </w:tc>
        <w:tc>
          <w:tcPr>
            <w:tcW w:w="1380" w:type="pct"/>
          </w:tcPr>
          <w:p>
            <w:r>
              <w:t>ACA regulations, IRS guidance, CMS policy updates, the annual Payment Notice, and Marketplace integrity rules can alter dispute processing rules, Form 1095-A content, SOP requirements, and system logic mid-contract. A delayed response generates downstream consumer disputes, issuer complaints, and Enrollment Manual misalignment.</w:t>
            </w:r>
          </w:p>
        </w:tc>
        <w:tc>
          <w:tcPr>
            <w:tcW w:w="2644" w:type="pct"/>
          </w:tcPr>
          <w:p>
            <w:r>
              <w:t>Designate a Policy Watch function within the program management team that monitors the Federal Register, CMS guidance releases, REGTAP updates, and the Letter to Issuers continuously. Maintain a 30-day SOP rapid-update process pre-approved by the COR for non-substantive changes, with a structured change-impact assessment for substantive changes. Integrate Policy Watch outputs into the Annual Enrollment Manual revision under Task 10 so manual updates and CERRS configuration changes are coordinated, not sequenced.</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Fraud, Unauthorized Enrollments &amp; Program Integrity</w:t>
            </w:r>
          </w:p>
        </w:tc>
        <w:tc>
          <w:tcPr>
            <w:tcW w:w="1380" w:type="pct"/>
          </w:tcPr>
          <w:p>
            <w:r>
              <w:t>Unauthorized plan switches (UPS), unauthorized enrollments (UE), demographic data obfuscation patterns, and improper APTC payments create undetected overlapping coverage, incorrect tax statements, and program-integrity vulnerabilities at the intersection of Tasks 2, 3, 4, and 8.</w:t>
            </w:r>
          </w:p>
        </w:tc>
        <w:tc>
          <w:tcPr>
            <w:tcW w:w="2644" w:type="pct"/>
          </w:tcPr>
          <w:p>
            <w:r>
              <w:t>Analyze every new Marketplace enrollment for data anomalies consistent with UPS and UE patterns on a daily cadence. Implement rules-based detection models in coordination with the Center for Program Integrity (CPI) and OPOLE; refresh detection logic monthly based on emerging patterns. Embed program-integrity-by-design controls — supervisor sign-off before any retroactive override or batch correction, elevated QA sampling for high-risk case types, and a cross-task integrity risk register — into every dispute and casework workflow rather than running integrity as a periodic audit.</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Automated Business Rule Failures</w:t>
            </w:r>
          </w:p>
        </w:tc>
        <w:tc>
          <w:tcPr>
            <w:tcW w:w="1380" w:type="pct"/>
          </w:tcPr>
          <w:p>
            <w:r>
              <w:t>ER&amp;R relies on automated rules to resolve approximately 99% of payment disputes, 95% of enrollment disputes, and 100% of SBE disputes (~6.1 million automated resolutions in 2024). A defective, outdated, or misconfigured rule could incorrectly resolve large volumes of disputes within hours, producing incorrect 1095-A forms and improper APTC payments at scale.</w:t>
            </w:r>
          </w:p>
        </w:tc>
        <w:tc>
          <w:tcPr>
            <w:tcW w:w="2644" w:type="pct"/>
          </w:tcPr>
          <w:p>
            <w:r>
              <w:t>Operate the rule library through a governed lifecycle: every change moves through peer review, sandbox testing on prior-year case data, COR notification, and parallel-run validation against existing rule output before promotion. Manage rule changes through the existing JIRA process. Apply daily monitoring of resolution rates by dispute type with deviation triggers that distinguish rule failure from upstream data quality from new volume patterns — each driving a different corrective action.</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Service Level Agreement Performance Under Concurrent Peak Load</w:t>
            </w:r>
          </w:p>
        </w:tc>
        <w:tc>
          <w:tcPr>
            <w:tcW w:w="1380" w:type="pct"/>
          </w:tcPr>
          <w:p>
            <w:r>
              <w:t>SOW Tables 3 and 4 require 95% of high-complexity issuer disputes resolved in 10 days and 1095-A consumer disputes resolved in 2/5/10 business days by complexity tier. During February–March, when 1095-A volume peaks concurrently with Open Enrollment close-out and the BUU correction cycle, simultaneous SLA pressure across Tasks 2, 3, 4, and 5 creates compounding breach risk.</w:t>
            </w:r>
          </w:p>
        </w:tc>
        <w:tc>
          <w:tcPr>
            <w:tcW w:w="2644" w:type="pct"/>
          </w:tcPr>
          <w:p>
            <w:r>
              <w:t>Apply a unified case-routing dashboard that starts the SLA clock at intake and triggers early intervention when any case trends toward 70% of its SLA window. Cross-train the surge workforce so a 1095-A medium-complexity caseworker can absorb high-complexity overflow under supervisor escalation. Maintain a published peak-load capacity matrix covering supervisory ratios, QA coverage, and reserve activation thresholds at three concurrent volume scenarios so capacity does not degrade when caseload spikes.</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FFE Update Sequencing &amp; BUU Cycle Errors</w:t>
            </w:r>
          </w:p>
        </w:tc>
        <w:tc>
          <w:tcPr>
            <w:tcW w:w="1380" w:type="pct"/>
          </w:tcPr>
          <w:p>
            <w:r>
              <w:t>Task 5 BUU submissions, Update Policy API calls, and Hard Case updates must be sequenced correctly relative to the ~22 annual 1095-A correction cycles and the monthly Recon Run Calendar. A sequencing error or a missed pre-validation does not 'fail' visibly — it creates a new data problem that surfaces weeks later as a downstream dispute or a corrected/voided 1095-A.</w:t>
            </w:r>
          </w:p>
        </w:tc>
        <w:tc>
          <w:tcPr>
            <w:tcW w:w="2644" w:type="pct"/>
          </w:tcPr>
          <w:p>
            <w:r>
              <w:t>Treat FFE submissions as a precision execution function with full pipeline visibility to CMS at every stage. Map the downstream consequence of every retroactive action — which correction cycle it falls into, whether a corrected or voided 1095-A is generated, and the correct submission order — before any update is queued. Require supervisory sign-off with a complete time-stamped audit trail for batch corrections and manual overrides. Run automated pre-validation that the Operational Analytics Contractor and the QA Team can independently confirm before each submission window.</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FedRAMP / ATO Authorization &amp; Continuous Monitoring</w:t>
            </w:r>
          </w:p>
        </w:tc>
        <w:tc>
          <w:tcPr>
            <w:tcW w:w="1380" w:type="pct"/>
          </w:tcPr>
          <w:p>
            <w:r>
              <w:t>CERRS, HICS, SEED, and EDA CORE operate inside the CMS Microsoft Azure Government (MAG) enclave with the Snowflake EDA CORE deployment requiring FedRAMP sponsorship. Lapses in continuous monitoring artifacts, POA&amp;M discipline, or 3PAO assessment cadence could suspend or revoke an ATO and force operational restrictions during a period of mission-critical casework.</w:t>
            </w:r>
          </w:p>
        </w:tc>
        <w:tc>
          <w:tcPr>
            <w:tcW w:w="2644" w:type="pct"/>
          </w:tcPr>
          <w:p>
            <w:r>
              <w:t>Maintain ATO continuity through a Security &amp; Privacy Officer-led continuous monitoring program with monthly OS/database/web/network vulnerability scan delivery, POA&amp;M updates against the HHS standard (15-day critical / 30-day high / 90-day medium / 360-day low), 3PAO annual reassessment scheduled outside Open Enrollment and tax season, and FedRAMP sponsor obligations for the Snowflake deployment governed as a standing responsibility rather than ad-hoc activity.</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r>
              <w:t>Cross-Contractor Coordination Dependencies</w:t>
            </w:r>
          </w:p>
        </w:tc>
        <w:tc>
          <w:tcPr>
            <w:tcW w:w="1380" w:type="pct"/>
          </w:tcPr>
          <w:p>
            <w:r>
              <w:t>ER&amp;R cannot be delivered in isolation — performance depends on continuous coordination with the CMS Data Services Hub (DSH), Eligibility Support, Federal Exchange Call Center, FMPS, Marketplace System Integrator (MSI), Operations Analytics, Operations Support, Federal Exchange Print, and Stakeholder Engagement contractors. A misaligned interface, an undocumented schedule change, or a transition gap at any of those boundaries creates downstream casework volume Deloitte cannot prevent unilaterally.</w:t>
            </w:r>
          </w:p>
        </w:tc>
        <w:tc>
          <w:tcPr>
            <w:tcW w:w="2644" w:type="pct"/>
          </w:tcPr>
          <w:p>
            <w:r>
              <w:t>Establish a standing cross-contractor coordination cadence anchored to the SOW interfaces: weekly CMS issuer calls, monthly SBE calls, daily operational reconciliation workgroup participation, and structured handoff protocols documented in the Project Implementation and Oversight Plan. Maintain interface monitoring on every external dependency (Operations Analytics for reconciliation files; Print Contractor for notices; DSH for SOAP/HTTPS exchange) with alerts when latency or error rates breach thresholds — surfacing other-contractor issues to CMS through the COR with root-cause analysis rather than absorbing them silently.</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 xml:space="preserve">Our management approach is designed to provide CMS with a disciplined, integrated operating model for the full Enrollment Reconciliation and Resolution (ER&amp;R) scope. </w:t>
      </w:r>
      <w:commentRangeEnd w:id="90"/>
      <w:r w:rsidR="004A3D30">
        <w:rPr>
          <w:rStyle w:val="CommentReference"/>
          <w:sz w:val="24"/>
          <w:szCs w:val="22"/>
        </w:rPr>
        <w:commentReference w:id="90"/>
      </w:r>
      <w:commentRangeEnd w:id="91"/>
      <w:r>
        <w:rPr>
          <w:rStyle w:val="CommentReference"/>
          <w:sz w:val="24"/>
          <w:szCs w:val="22"/>
        </w:rPr>
        <w:commentReference w:id="91"/>
      </w:r>
      <w:r>
        <w:t xml:space="preserve">We will manage the program as one coordinated environment that brings together issuer dispute resolution, Form 1095-A consumer dispute support, complex case handling, contact center operations, reporting, technology support, program integrity activities, and ad hoc/special project work under a unified governance structure. This approach ensures that work is not performed in silos; instead, business operations, analytics, technology, quality oversight, and leadership decision-making function together through common management routines, shared priorities, and clearly defined accountability. </w:t>
      </w:r>
      <w:r w:rsidRPr="00DD7489">
        <w:rPr>
          <w:rStyle w:val="CharacterBold"/>
        </w:rPr>
        <w:t>While ER&amp;R depends on analytics, technology, reporting, and support functions, the core mission of the program is case resolution</w:t>
      </w:r>
      <w:r w:rsidRPr="006909BC">
        <w:rPr>
          <w:b/>
        </w:rPr>
        <w:t>.</w:t>
      </w:r>
      <w:r>
        <w:t xml:space="preserve"> Our management approach therefore organizes all enabling functions around the timely, accurate, and controlled execution of casework.</w:t>
      </w:r>
      <w:commentRangeEnd w:id="92"/>
      <w:r w:rsidR="00887F22">
        <w:rPr>
          <w:rStyle w:val="CommentReference"/>
          <w:sz w:val="24"/>
          <w:szCs w:val="22"/>
        </w:rPr>
        <w:commentReference w:id="92"/>
      </w:r>
      <w:commentRangeEnd w:id="93"/>
      <w:r w:rsidR="00241FD6">
        <w:rPr>
          <w:rStyle w:val="CommentReference"/>
          <w:sz w:val="24"/>
          <w:szCs w:val="22"/>
        </w:rPr>
        <w:commentReference w:id="93"/>
      </w:r>
    </w:p>
    <w:p w14:paraId="7D08016B" w14:textId="6524BF74" w:rsidR="009F2DA5" w:rsidRDefault="009F2DA5" w:rsidP="009F2DA5">
      <w:pPr>
        <w:pStyle w:val="BodyText"/>
      </w:pPr>
      <w:r>
        <w:t xml:space="preserve">At </w:t>
      </w:r>
      <w:commentRangeStart w:id="94"/>
      <w:r>
        <w:t xml:space="preserve">the </w:t>
      </w:r>
      <w:commentRangeEnd w:id="94"/>
      <w:r w:rsidR="00241FD6">
        <w:rPr>
          <w:rStyle w:val="CommentReference"/>
          <w:sz w:val="24"/>
          <w:szCs w:val="22"/>
        </w:rPr>
        <w:commentReference w:id="94"/>
      </w:r>
      <w:r>
        <w:t xml:space="preserve">core of our approach is an integrated management structure that provides CMS with clear ownership, defined escalation paths, and transparent decision-making across all aspects of contract performance. We will align operational leadership, technical leadership, quality leadership, and program management so that interdependencies are actively managed across casework, call center support, reporting, systems operations, and special requests. This structure enables rapid issue resolution, better workload coordination, and stronger visibility into performance across the entire ER&amp;R environment. </w:t>
      </w:r>
      <w:r w:rsidRPr="00DD7489">
        <w:rPr>
          <w:rStyle w:val="CharacterBold"/>
        </w:rPr>
        <w:t>Because ER&amp;R requires simultaneous support for casework, contact center operations, reporting, systems support, quality activities, surge response, and special projects, our management model is designed to coordinate parallel workstreams through one integrated baseline and one escalation structure rather than through separate functional silos.</w:t>
      </w:r>
      <w:r>
        <w:t xml:space="preserve"> This is especially important in ER&amp;R because the environment is multi-system, multi-vendor, and multi-stakeholder, with dependencies that extend beyond any one team’s direct control.</w:t>
      </w:r>
    </w:p>
    <w:p w14:paraId="58836A32" w14:textId="15D84596" w:rsidR="009F2DA5" w:rsidRPr="00B23D8B" w:rsidRDefault="009F2DA5" w:rsidP="009F2DA5">
      <w:pPr>
        <w:pStyle w:val="BodyText"/>
      </w:pPr>
      <w:r>
        <w:t xml:space="preserve">Our approach </w:t>
      </w:r>
      <w:r w:rsidRPr="00DD7489">
        <w:rPr>
          <w:rStyle w:val="CharacterBold"/>
        </w:rPr>
        <w:t>balances current-state operational continuity with future-state improvement</w:t>
      </w:r>
      <w:r>
        <w:t>. We understand that CMS requires uninterrupted performance from day one, and we will therefore operate and stabilize the existing environment while establishing the governance, readiness processes, and delivery controls needed to introduce targeted enhancements over time. We will use a phased approach that begins with transition and operational stabilization, advances into controlled process and technology improvements, and supports broader modernization opportunities only as directed and approved by CMS. In this way, modernization is managed as a business-led and risk-aware activity—not as a stand-alone technology exercise. This reflects a year-one operating posture centered on stability, continuity, and low-risk execution first, with broader improvement opportunities pursued only after the program is operating under control.</w:t>
      </w:r>
    </w:p>
    <w:p w14:paraId="0DB67D10" w14:textId="198C0180" w:rsidR="00074BEF" w:rsidRPr="00B23D8B" w:rsidRDefault="0054721F" w:rsidP="009F2DA5">
      <w:pPr>
        <w:pStyle w:val="BodyText"/>
      </w:pPr>
      <w:r w:rsidRPr="0054721F">
        <w:t xml:space="preserve">We will use the Project Implementation and Oversight Plan (PIOP) as the primary management instrument for ER&amp;R mobilization, execution, and ongoing contract oversight. The PIOP will establish the operational baseline for implementation and performance management, giving CMS clear line of sight into workstream structure, milestone sequencing, management controls, and the mechanisms we will use to sustain continuity while standing up the program. It will also serve as the primary management vehicle for scope </w:t>
      </w:r>
      <w:r w:rsidRPr="0054721F">
        <w:lastRenderedPageBreak/>
        <w:t>alignment, schedule and milestone control, cost visibility, communication management, and cross-workstream coordination throughout startup and ongoing performance</w:t>
      </w:r>
      <w:r w:rsidR="005F08C6">
        <w:t xml:space="preserve"> </w:t>
      </w:r>
      <w:r w:rsidR="00B469A1">
        <w:t>(</w:t>
      </w:r>
      <w:r w:rsidR="00B469A1" w:rsidRPr="00B469A1">
        <w:rPr>
          <w:highlight w:val="yellow"/>
        </w:rPr>
        <w:t>Table 2.1-1)</w:t>
      </w:r>
      <w:r w:rsidR="00074BEF" w:rsidRPr="00B469A1">
        <w:rPr>
          <w:highlight w:val="yellow"/>
        </w:rPr>
        <w:t>.</w:t>
      </w:r>
      <w:r w:rsidR="00074BEF" w:rsidRPr="00074BEF">
        <w:t xml:space="preserve"> We will manage scope through defined intake, review, approval, and change-control processes; manage schedule through milestone tracking, dependency management, and recovery planning; manage cost through labor and non-labor visibility, forecast-to-plan review, and variance monitoring; and manage communications through structured reporting, stakeholder forums, escalation paths, and COR-aligned decision channels. These controls will be applied consistently across prime and subcontractor-supported work so CMS has one integrated view of performance across the full ER&amp;R environment.</w:t>
      </w:r>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lastRenderedPageBreak/>
        <w:t xml:space="preserve">Table X.X-X. </w:t>
      </w:r>
      <w:r w:rsidRPr="00A8308B">
        <w:t>Illustrative (not Comprehensive) Milestone Measures by Task.</w:t>
      </w:r>
      <w:r>
        <w:t>.</w:t>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the Performance Measurement Plan in this volume.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