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Subheading1"/>
      </w:pPr>
      <w:r w:rsidRPr="00AF4AB8">
        <w:t>Our Understanding</w:t>
      </w:r>
      <w:r w:rsidR="0006071A" w:rsidRPr="00AF4AB8"/>
      <w:r w:rsidR="00304F34" w:rsidRPr="00AF4AB8"/>
      <w:r w:rsidR="002440D5" w:rsidRPr="00AF4AB8"/>
      <w:r w:rsidR="00304F34" w:rsidRPr="00AF4AB8"/>
    </w:p>
    <w:p w14:paraId="31153E0E" w14:textId="5A66DADE" w:rsidR="00C14ED2" w:rsidRPr="00DD6CAA" w:rsidRDefault="008B3B3A" w:rsidP="005D763D">
      <w:pPr>
        <w:pStyle w:val="BodyText"/>
      </w:pPr>
      <w:r w:rsidRPr="005D763D">
        <w:rPr>
          <w:rStyle w:val="CharacterBold"/>
        </w:rPr>
        <w:t>Task 7 is the connected front door for stakeholder engagement across ER&amp;R — not a generic contact center. It supports consumers seeking 1095-A and complex case help, issuers managing dispute and reconciliation activity, FFE and SBE staff coordinating casework, and employers responding to FFE notices. The work is multi-channel by design: inbound calls, outbound calls, voicemail, issuer email through the ER&amp;R Support Center and Enrollment Community, and written correspondence triggered by enrollment and reconciliation events. Done well, every interaction advances a single case toward resolution, contributes to one auditable case history in CERRS, and produces operational signal that helps CMS identify scripts to refine, training to deliver, and upstream issues to address. Done poorly, channels operate as silos, voicemails age past the one-business-day standard, scripts drift from CMS-approved versions, and stakeholder trust erodes. Deloitte will operate Task 7 as the integrated hub the SOW envisions, with closed-loop visibility, embedded program-integrity controls, and a continuous improvement engine that converts contact trends into approved process changes.</w:t>
      </w:r>
      <w:r w:rsidR="001B024F" w:rsidRPr="005D763D">
        <w:rPr>
          <w:rStyle w:val="CharacterBold"/>
        </w:rPr>
      </w:r>
      <w:r w:rsidR="001B024F" w:rsidRPr="00DD6CAA"/>
      <w:r w:rsidR="00E02C30" w:rsidRPr="00DD6CAA"/>
      <w:r w:rsidR="00C14ED2" w:rsidRPr="00DD6CAA"/>
      <w:r w:rsidR="00627892" w:rsidRPr="00DD6CAA"/>
      <w:r w:rsidR="00C1424F" w:rsidRPr="00DD6CAA"/>
      <w:r w:rsidR="00C14ED2" w:rsidRPr="00DD6CAA"/>
    </w:p>
    <w:p w14:paraId="7930D89C" w14:textId="3AF0EA5E" w:rsidR="001B024F" w:rsidRPr="001B024F" w:rsidRDefault="008B3B3A" w:rsidP="005D763D">
      <w:pPr>
        <w:pStyle w:val="Subheading1"/>
      </w:pPr>
      <w:r w:rsidRPr="005D763D">
        <w:rPr>
          <w:rStyle w:val="CharacterBold"/>
        </w:rPr>
        <w:t>Our Approach</w:t>
      </w:r>
      <w:r w:rsidR="001B024F" w:rsidRPr="005D763D">
        <w:rPr>
          <w:rStyle w:val="CharacterBold"/>
        </w:rPr>
      </w:r>
      <w:r w:rsidR="00667EB1" w:rsidRPr="005D763D">
        <w:rPr>
          <w:rStyle w:val="CharacterBold"/>
        </w:rPr>
      </w:r>
      <w:r w:rsidR="001B024F" w:rsidRPr="005D763D">
        <w:rPr>
          <w:rStyle w:val="CharacterBold"/>
        </w:rPr>
      </w:r>
      <w:r w:rsidR="001B024F" w:rsidRPr="001B024F"/>
      <w:r w:rsidR="00F72E63"/>
      <w:r w:rsidR="00F72E63" w:rsidRPr="00F72E63"/>
      <w:r w:rsidR="001B024F" w:rsidRPr="001B024F"/>
      <w:r w:rsidR="0089511F" w:rsidRPr="0089511F"/>
      <w:r w:rsidR="00F72E63" w:rsidRPr="00F72E63"/>
      <w:r w:rsidR="0089511F" w:rsidRPr="0089511F"/>
    </w:p>
    <w:p w14:paraId="7C5EC0D7" w14:textId="77777777" w:rsidR="00DB56E8" w:rsidRPr="00DB56E8" w:rsidRDefault="008B3B3A" w:rsidP="005D763D">
      <w:pPr>
        <w:pStyle w:val="BodyText"/>
      </w:pPr>
      <w:r w:rsidRPr="005D763D">
        <w:rPr>
          <w:rStyle w:val="CharacterBold"/>
        </w:rPr>
        <w:t>Deloitte will run Task 7 through a single integrated stakeholder-support operating model with five dimensions. (1) Stakeholder-aware triage: every contact is classified at intake by stakeholder type (consumer, issuer, FFE/CMS staff, SBE/state, employer) and case type, then routed to the lane with the right SOPs, scripts, and subject matter expertise — not just to the next available agent. (2) Closed-loop case visibility: every call, voicemail, issuer email, and correspondence touch is logged in CERRS or the appropriate CMS case system, with the same case ID linking interactions across channels so the next contact never starts cold. (3) SLA-governed channels: Monday–Friday 8 AM–8 PM ET inbound coverage; voicemail response within one business day per SOW §3.7; issuer email response measured against COR-approved targets; and correspondence handled through the CMS-provided system on a tracked workflow with documented decision points. (4) Issuer-support lane: a dedicated ER&amp;R Support Center workflow with all issuer communications documented in Enrollment Community, mass issuer communications coordinated through approved CMS channels, and structured testing and feedback support for Enrollment Data Alignment enhancements. (5) Outbound as a resolution lever: outbound calls are used proactively when live contact will close a case faster than written exchanges — particularly for unauthorized enrollment outreach, 1095-A consumer disputes requiring clarification, and pre-deadline issuer coordination.</w:t>
      </w:r>
      <w:r w:rsidR="001B024F" w:rsidRPr="005D763D">
        <w:rPr>
          <w:rStyle w:val="CharacterBold"/>
        </w:rPr>
      </w:r>
      <w:r w:rsidR="001B024F" w:rsidRPr="001B024F"/>
      <w:r w:rsidR="00DB56E8" w:rsidRPr="00DB56E8"/>
    </w:p>
    <w:p w14:paraId="17198048" w14:textId="5A19057E" w:rsidR="00EE51A7" w:rsidRPr="00EE51A7" w:rsidRDefault="001B024F" w:rsidP="005D763D">
      <w:pPr>
        <w:pStyle w:val="BodyText"/>
      </w:pPr>
      <w:r w:rsidRPr="005D763D">
        <w:rPr>
          <w:rStyle w:val="CharacterBold"/>
        </w:rPr>
        <w:t>Quality, compliance, and program integrity are operating obligations rather than periodic audits. Every agent works against CMS-approved scripts and SOPs; script changes flow through the COR before deployment; QA samples calls and correspondence weekly with elevated sampling for sensitive case types (APTC discrepancies, retroactive terminations, Death PDM contacts); training refresh is delivered within the same cycle as any policy or system change. Workforce management forecasts demand against the SOW Task 7 monthly volume table (CCHC, 1095-A, and ER&amp;R inbound/outbound calls; CCHC and ER&amp;R email volumes), aligns staffing to seasonal patterns, and maintains supervisory ratios at peak. AI-assisted triage — voicemail transcription and categorization, intent classification on inbound calls — is introduced only with COR approval and operates strictly with human oversight; no automated decision affects case outcome without agent confirmation.</w:t>
      </w:r>
      <w:r w:rsidR="00B348BC" w:rsidRPr="005D763D">
        <w:rPr>
          <w:rStyle w:val="CharacterBold"/>
        </w:rPr>
      </w:r>
      <w:r w:rsidR="00EE51A7">
        <w:rPr>
          <w:b/>
          <w:bCs/>
        </w:rPr>
      </w:r>
      <w:r w:rsidR="00AC1FEA" w:rsidRPr="00AC1FEA"/>
      <w:r w:rsidR="00144A2F"/>
      <w:r w:rsidR="00EE51A7" w:rsidRPr="00EE51A7"/>
      <w:r w:rsidR="00AC1FEA" w:rsidRPr="00AC1FEA"/>
      <w:r w:rsidR="00EE51A7" w:rsidRPr="00EE51A7"/>
    </w:p>
    <w:p w14:paraId="2992D527" w14:textId="5B72ABAA" w:rsidR="001B024F" w:rsidRPr="00181397" w:rsidRDefault="00181397" w:rsidP="005D763D">
      <w:pPr>
        <w:pStyle w:val="BodyText"/>
      </w:pPr>
      <w:r w:rsidRPr="005D763D">
        <w:rPr>
          <w:rStyle w:val="CharacterBold"/>
        </w:rPr>
        <w:t>Continuous improvement is built into the model rather than reported quarterly. Recurring caller themes, repeat issuer questions, and escalation patterns are surfaced to CMS as actionable feedback in the monthly Form 1095-A Consumer Disputes and Enrollment Process Improvement Report, with proposed script updates, SOP revisions, and upstream system or process recommendations. Trend findings flow into the cross-task data share described in Section 1B so a pattern visible in CCHC calls becomes a Task 2 dispute analytics input or a Task 3 surge-training topic, not an isolated observation.</w:t>
      </w:r>
      <w:r w:rsidRPr="00181397">
        <w:rPr>
          <w:b/>
          <w:bCs/>
        </w:rPr>
      </w:r>
      <w:r w:rsidRPr="00181397"/>
      <w:r w:rsidR="001B024F" w:rsidRPr="00181397"/>
    </w:p>
    <w:p w14:paraId="0107FB7C" w14:textId="2A4C8E4B" w:rsidR="001B024F" w:rsidRPr="001B024F" w:rsidRDefault="001B024F" w:rsidP="005D763D">
      <w:pPr>
        <w:pStyle w:val="Subheading1"/>
      </w:pPr>
      <w:r w:rsidRPr="005D763D">
        <w:rPr>
          <w:rStyle w:val="CharacterBold"/>
        </w:rPr>
        <w:t>Proof Points</w:t>
      </w:r>
      <w:r w:rsidRPr="001B024F"/>
      <w:r w:rsidR="00D23922" w:rsidRPr="00825C68"/>
      <w:r w:rsidR="00E9069C" w:rsidRPr="00825C68"/>
    </w:p>
    <w:p w14:paraId="2A476E02" w14:textId="1D546518" w:rsidR="001B024F" w:rsidRPr="001B024F" w:rsidRDefault="001B024F" w:rsidP="005D763D">
      <w:pPr>
        <w:pStyle w:val="Bulletlevel1"/>
      </w:pPr>
      <w:r w:rsidRPr="005D763D">
        <w:rPr>
          <w:rStyle w:val="CharacterBold"/>
        </w:rPr>
        <w:t>Covered California Health Insurance Exchange Contact Center. Deloitte stood up Amazon Connect in approximately 40 hours during annual Open Enrollment when contact volume peaks near 300,000 contacts per month. Deloitte provided project management, engineering, testing, training, and hypercare; led go-live and SSO migration with zero critical or high-impact issues; and continues to support enhancements including courtesy callback, post-call survey, conversational IVR, custom agent desktop, and advanced reporting — directly relevant to digital exchange support, continuity under load, and contact-center modernization for ER&amp;R Task 7.</w:t>
      </w:r>
      <w:r w:rsidRPr="001B024F"/>
      <w:r w:rsidR="001C478E" w:rsidRPr="00825C68"/>
      <w:r w:rsidR="00B80B34" w:rsidRPr="00825C68"/>
      <w:r w:rsidR="00E9069C" w:rsidRPr="00825C68"/>
    </w:p>
    <w:p w14:paraId="162DF907" w14:textId="17FE3C3B" w:rsidR="00A95AB5" w:rsidRPr="00A95AB5" w:rsidRDefault="001B024F" w:rsidP="005D763D">
      <w:pPr>
        <w:pStyle w:val="Bulletlevel1"/>
      </w:pPr>
      <w:r w:rsidRPr="005D763D">
        <w:rPr>
          <w:rStyle w:val="CharacterBold"/>
        </w:rPr>
        <w:t>FinCEN Beneficial Ownership Contact Center. Deloitte stood up and operates a federal compliance-oriented contact center on Salesforce Government Cloud Plus, Amazon Connect, and AWS Lex in a FedRAMP High environment. The team eliminated a 5,000-case backlog within three months, closed 350,000+ cases, conducted 23,000+ outbound calls, and audited 11,000+ cases at an average QA score of 96% — directly relevant to Deloitte's ability to operate federal case-management operations with disciplined QA, dashboard-driven performance management, and outbound resolution as a Task 7 lever.</w:t>
      </w:r>
      <w:r w:rsidR="00EE51A7" w:rsidRPr="005D763D">
        <w:rPr>
          <w:rStyle w:val="CharacterBold"/>
        </w:rPr>
      </w:r>
      <w:r w:rsidRPr="005D763D">
        <w:rPr>
          <w:rStyle w:val="CharacterBold"/>
        </w:rPr>
      </w:r>
      <w:r w:rsidRPr="001B024F"/>
      <w:r w:rsidR="0036309D" w:rsidRPr="00825C68"/>
      <w:r w:rsidR="0079356F" w:rsidRPr="00825C68"/>
      <w:r w:rsidR="0036309D" w:rsidRPr="00825C68"/>
      <w:r w:rsidR="003C5484" w:rsidRPr="00825C68"/>
      <w:r w:rsidR="0036309D" w:rsidRPr="00825C68"/>
      <w:r w:rsidR="00630A7B" w:rsidRPr="00825C68"/>
      <w:r w:rsidR="0036309D" w:rsidRPr="00825C68"/>
      <w:r w:rsidR="00A95AB5" w:rsidRPr="00825C68"/>
      <w:r w:rsidR="00A95AB5" w:rsidRPr="00A95AB5"/>
    </w:p>
    <w:p w14:paraId="411082ED" w14:textId="2D2E6281" w:rsidR="009702F9" w:rsidRPr="005D763D" w:rsidRDefault="009942F7" w:rsidP="005D763D">
      <w:pPr>
        <w:pStyle w:val="Bulletlevel1"/>
      </w:pPr>
      <w:r w:rsidRPr="005D763D">
        <w:rPr>
          <w:rStyle w:val="CharacterBold"/>
        </w:rPr>
        <w:t>U.S. Navy MyNavy Career Center (MNCC). Deloitte redesigned and operates a tiered omnichannel HR service-delivery model supporting 330,000+ Sailors with Salesforce CRM, Cisco telephony, IVR, post-call survey, command center, WFM, QA, and reporting and analytics. The model handles 36,000+ contacts per month and has supported 1.5 million customer requests since launch — directly relevant to Task 7 federal omnichannel operating-model design, command-center integration, contact-driver analysis, and knowledge management.</w:t>
      </w:r>
      <w:r w:rsidR="009702F9" w:rsidRPr="005D763D">
        <w:rPr>
          <w:rStyle w:val="CharacterBold"/>
        </w:rPr>
      </w:r>
      <w:r w:rsidR="009702F9" w:rsidRPr="005D763D"/>
      <w:r w:rsidR="00F20F18" w:rsidRPr="005D763D"/>
      <w:r w:rsidR="009702F9" w:rsidRPr="005D763D"/>
      <w:r w:rsidR="002931EE" w:rsidRPr="005D763D"/>
      <w:r w:rsidR="009702F9" w:rsidRPr="005D763D"/>
      <w:r w:rsidR="00F06EA5" w:rsidRPr="005D763D"/>
      <w:r w:rsidR="009702F9" w:rsidRPr="005D763D"/>
      <w:r w:rsidR="0036309D" w:rsidRPr="005D763D"/>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ER&amp;R is not a single program — it is twelve interlocking tasks, four production systems, and a casework operation that touches more than 24 million Marketplace consumers each year. Disciplined program management is what keeps that operation running when issuer dispute volumes hit four million annually, when 1095-A volumes triple in February, when a single business-rule change can ripple across five State-Based Exchanges, and when a regulatory update lands mid-cycle. Deloitte will manage this task order through a single integrated operating model anchored to the SOW §3.1 schedule of obligations: contract kickoff within 12 business days of the start of the base period, a draft Project Implementation and Oversight Plan (PIOP) within 7 business days, the final PIOP within 60 days, and a working operating cadence in place from Day 1.</w:t>
      </w:r>
      <w:commentRangeEnd w:id="90"/>
      <w:r w:rsidR="004A3D30">
        <w:rPr>
          <w:rStyle w:val="CommentReference"/>
          <w:sz w:val="24"/>
          <w:szCs w:val="22"/>
        </w:rPr>
      </w:r>
      <w:commentRangeEnd w:id="91"/>
      <w:r>
        <w:rPr>
          <w:rStyle w:val="CommentReference"/>
          <w:sz w:val="24"/>
          <w:szCs w:val="22"/>
        </w:rPr>
      </w:r>
      <w:r/>
      <w:r w:rsidRPr="00DD7489">
        <w:rPr>
          <w:rStyle w:val="CharacterBold"/>
        </w:rPr>
      </w:r>
      <w:r w:rsidRPr="006909BC">
        <w:rPr>
          <w:b/>
        </w:rPr>
      </w:r>
      <w:r/>
      <w:commentRangeEnd w:id="92"/>
      <w:r w:rsidR="00887F22">
        <w:rPr>
          <w:rStyle w:val="CommentReference"/>
          <w:sz w:val="24"/>
          <w:szCs w:val="22"/>
        </w:rPr>
      </w:r>
      <w:commentRangeEnd w:id="93"/>
      <w:r w:rsidR="00241FD6">
        <w:rPr>
          <w:rStyle w:val="CommentReference"/>
          <w:sz w:val="24"/>
          <w:szCs w:val="22"/>
        </w:rPr>
      </w:r>
    </w:p>
    <w:p w14:paraId="7D08016B" w14:textId="6524BF74" w:rsidR="009F2DA5" w:rsidRDefault="009F2DA5" w:rsidP="009F2DA5">
      <w:pPr>
        <w:pStyle w:val="BodyText"/>
      </w:pPr>
      <w:r>
        <w:t>The PIOP is the primary management instrument and Deloitte's commitment of record to CMS. The PIOP will document Deloitte's approach across every project management knowledge area required by Attachment 2 §2A — scope management, time management, cost management, communication management, information security and privacy management, subcontractor monitoring, and risk and issue management — and will incorporate the work breakdown structure (WBS), schedule, milestones, key personnel, technology and AI transparency, and the structured collaboration model with CMS staff and other CMS contractors. The PIOP will be updated quarterly and ad hoc as conditions change, and Deloitte will not commit to any major staffing or ODC action without prior COR approval. Tooling discipline reinforces the plan: an integrated RAID log, a decision log, a milestone dashboard, and a JIRA-based change request backlog all maintained in a CMS-accessible workspace so the COR has continuous visibility, not periodic snapshots.</w:t>
      </w:r>
      <w:commentRangeStart w:id="94"/>
      <w:r/>
      <w:commentRangeEnd w:id="94"/>
      <w:r w:rsidR="00241FD6">
        <w:rPr>
          <w:rStyle w:val="CommentReference"/>
          <w:sz w:val="24"/>
          <w:szCs w:val="22"/>
        </w:rPr>
      </w:r>
      <w:r/>
      <w:r w:rsidRPr="00DD7489">
        <w:rPr>
          <w:rStyle w:val="CharacterBold"/>
        </w:rPr>
      </w:r>
      <w:r/>
    </w:p>
    <w:p w14:paraId="58836A32" w14:textId="15D84596" w:rsidR="009F2DA5" w:rsidRPr="00B23D8B" w:rsidRDefault="009F2DA5" w:rsidP="009F2DA5">
      <w:pPr>
        <w:pStyle w:val="BodyText"/>
      </w:pPr>
      <w:r>
        <w:t>Reporting cadence and meeting discipline are the engine that makes the PIOP operate as a living document rather than a one-time deliverable. Deloitte will deliver the Monthly Progress, Data and Cost Report by the third Monday of each month — two days before the Monthly Budget Review — covering task-by-task activity narrative, upcoming meetings and actions, outstanding issues requiring CMS action, unresolved items from the prior month, and full cost tracking by labor category, hours, rates, subcontractor costs, travel, ODCs, indirect costs, and total costs aggregated and broken out by task and sub-task. The monthly Form 1095-A Consumer Disputes and Enrollment Process Improvement Report will deliver prioritized, evidence-supported improvement recommendations covering the eight content elements in SOW §3.1 (education needs, triage and enrollment process changes, system integration, system efficiency improvements, regulatory authorization needs, cost-benefit analysis, stakeholder coordination, and data-churn reduction). Weekly meetings begin the week after kickoff with agenda one day prior, minutes within two business days, and at least four in-person meetings per year in the Baltimore-Washington corridor or at a CMS Regional Office. The Task Order Summary Report will deliver in draft in the 10th month of the final period of performance and final 30 days before task order end.</w:t>
      </w:r>
      <w:r w:rsidRPr="00DD7489">
        <w:rPr>
          <w:rStyle w:val="CharacterBold"/>
        </w:rPr>
      </w:r>
      <w:r/>
    </w:p>
    <w:p w14:paraId="0DB67D10" w14:textId="198C0180" w:rsidR="00074BEF" w:rsidRPr="00B23D8B" w:rsidRDefault="0054721F" w:rsidP="009F2DA5">
      <w:pPr>
        <w:pStyle w:val="BodyText"/>
      </w:pPr>
      <w:r w:rsidRPr="0054721F">
        <w:t>Risk and issue resolution is governed through the same six-phase risk management lifecycle described in Sub-Section 1C. Risks are identified continuously across all ten SOW tasks, scored for likelihood and impact, assigned an owner, and tracked to closure with mitigation actions documented in the RAID log and reviewed weekly. Communication runs through the COR as the single technical-direction channel, with a structured communication plan covering CMS, the Eligibility Support Contractor, the Federal Exchange Call Center Contractor, FMPS, the Marketplace System Integrator, the Operations Analytics Contractor, the Operations Support Contractor, the Federal Exchange Print Contractor, and the Stakeholder Engagement Contractor. Subcontractor work is governed under the same SLAs, QA standards, and reporting discipline that apply to Deloitte's prime work and is monitored through the Small Business Liaison Officer (Section 4) and the integrated quality program (Sub-Section 2B). Information security and privacy management is led by the Security &amp; Privacy Officer (Section 3.1) and operates as a continuous control function, not a periodic compliance review.</w:t>
      </w:r>
      <w:r w:rsidRPr="0054721F"/>
      <w:r w:rsidR="005F08C6"/>
      <w:r w:rsidR="00B469A1"/>
      <w:r w:rsidR="00B469A1" w:rsidRPr="00B469A1">
        <w:rPr>
          <w:highlight w:val="yellow"/>
        </w:rPr>
      </w:r>
      <w:r w:rsidR="00074BEF" w:rsidRPr="00B469A1">
        <w:rPr>
          <w:highlight w:val="yellow"/>
        </w:rPr>
      </w:r>
      <w:r w:rsidR="00074BEF" w:rsidRPr="00074BEF"/>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t>Table 2.1.1-2. Illustrative Milestone Measures by Task.</w:t>
      </w:r>
      <w:r w:rsidRPr="00A8308B"/>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
      </w:pPr>
      <w:r>
        <w:t>Quality assurance for ER&amp;R is governed by the Service Level Agreements in SOW Tables 3 and 4, the Acceptable Quality Levels (AQLs) and Key Performance Indicators (KPIs) developed under SOW §3.9, and a Quality Assurance Surveillance Plan (QASP) that Deloitte will deliver within 45 days of the start of the base period. Deloitte's quality model is designed around three operating commitments. First, every quality measure ties directly to an SOW SLA, an AQL the contract obligates Deloitte to meet, or a KPI tied to a measurable program outcome — not to abstract maturity-model citations. Second, quality is built into execution rather than inspected at the end: every dispute, casework determination, FFE update, notice generation, and call interaction passes through pre-defined quality controls before it reaches CMS or a consumer. Third, quality findings drive process and SOP changes within a defined turnaround, so the same defect does not surface twice.</w:t>
      </w:r>
      <w:r/>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Performance is monitored continuously through a layered control architecture. Real-time operational dashboards in CERRS, HICS, SEED, and EDA CORE expose case status, dispute aging, SLA clock position, BUU cycle progress, notice generation pipeline state, call abandonment rate, voicemail age, and 834 ingestion job health to both Deloitte operations leadership and the COR. A daily operations stand-up reviews open SLA-at-risk cases, dispute trend anomalies, and any cross-task issue identified through the weekly cross-task data share described in Section 1B. Weekly Deloitte-CMS performance reviews summarize prior-week performance against every SOW SLA and AQL, surface root cause for any deviation, and document corrective action with a closure date. Monthly executive performance reporting feeds the Monthly Progress, Data and Cost Report, and quarterly portfolio reviews surface multi-month trends that warrant SOP, training, or staffing-model adjustments.</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Deloitte's Quality Oversight Lead, accountable directly to the Project Director and reporting independently to the COR on quality matters, owns the QC program. Day-to-day QC operates with separation of duties — caseworkers do not review their own work; supervisors review against published QC checklists; an independent QA team samples closed cases at rates calibrated to risk (elevated sampling for APTC determinations, retroactive adjustments, manual overrides, and any case involving CMS-directed VIP escalation). Every deliverable carries a documented QC sign-off before submission, with the reviewer name, review date, and any discrepancy log retained for audit. QC accountability is reinforced through performance metrics built into supervisor and lead role descriptions and through the SBLO governance applied to subcontractor work.</w:t>
      </w:r>
      <w:r w:rsidR="5FB2FB71"/>
      <w:r/>
      <w:r w:rsidR="3E03E27C"/>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Deloitte will meet or exceed every AQL defined in the SOW, including the explicit Service Level Agreements: 95% of high-complexity issuer disputes resolved within 10 business days (SOW Table 3); 100% of low-complexity Form 1095-A consumer disputes resolved within 2 business days; 100% of medium-complexity 1095-A disputes resolved within 5 business days; and 100% of high-complexity 1095-A disputes resolved within 10 business days (SOW Table 4). Additional AQLs developed jointly with CMS during the QASP finalization will cover deliverable acceptance (clarity, accuracy, timeliness, completeness), call center performance (speed of answer, abandonment, voicemail one-business-day response), notice generation pipeline accuracy and translation compliance, FFE update precision (zero sequencing errors per BUU cycle), and reporting timeliness (Monthly Progress, Data and Cost Report by the third Monday). Where ambiguity exists at the start of the base period, Deloitte will confirm AQLs with CMS during PIOP review rather than operate against an unverified standard.</w:t>
      </w:r>
      <w:r w:rsidR="03D6186F"/>
      <w:r/>
      <w:r w:rsidR="366DEA8E"/>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operate a structured performance self-assessment that runs in parallel with CMS oversight, not as a substitute for it. Each month, Deloitte's Quality Oversight Lead produces a self-assessment scorecard that grades performance against every published SLA, AQL, and KPI, identifies trend lines, and proposes any needed corrective action — submitted to the COR alongside the Monthly Progress, Data and Cost Report. This self-assessment is independent of operational reporting from caseworkers and supervisors and is the primary input to the quarterly performance trend review with CMS. The output also feeds Deloitte's Contractor Performance Assessment Reporting System (CPARS) input.</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deliver three monthly QA-related reports per SOW §3.9 (Quality Assurance Report, Monthly Performance Report, Business Process Improvement Report) and integrate performance data into the Monthly Progress, Data and Cost Report. Each QA report includes a forward-looking corrective action plan rather than a backward-looking metric dump: every defect, missed AQL, or trend deviation is paired with a root-cause hypothesis, a corrective action, an owner, and a closure date. Where Deloitte recommends a corrective action plan that requires CMS approval, that recommendation is brought forward in writing in the same reporting cycle the issue is observed.</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Deloitte applies a tiered correction model. Tier 1 (operational): caseworker-level errors are corrected by the caseworker, peer-reviewed by a supervisor, and logged for trend analysis. Tier 2 (process): repeated errors of the same type trigger an SOP review, a targeted training refresh, and a 30-day monitoring window before the action closes. Tier 3 (program): a missed AQL or a systemic trend triggers a formal Corrective Action Plan submitted to the COR within 5 business days of identification, including root cause analysis, remediation milestones, performance metrics demonstrating recovery, and a structured close-out review. Corrective actions are tracked to closure in the integrated RAID log, with monthly status visible to the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KPIs are derived from the SOW §3.9 data collection and analysis elements (a) entity submission types, (b) enrollee data accuracy, (c) reason codes, (d) effective dates, (e) terminations, (f) cancellations, (g) plan-level accuracy, (h) APTC/CSR validations, (i) ASC X12N 834/820 transaction reconciliation, (j) error reports, (k) error correction, (l) error reporting, (m) trending analysis of reconciliation, (n) source/content of common inquiries, (o) vulnerability identification, and (p) additional CMS-identified elements. The Performance Measurement Plan in this volume aligns each of these elements to a measurable KPI with a numeric target, a monitoring cadence, and an early-warning threshold. KPI definitions are presented to the COR for refinement and approval at the business process improvement kick-off and reported monthly thereafter through the Monthly Performance Report.</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
      </w:pPr>
      <w:r>
        <w:t>SLA management is operated as a continuous control function rather than a periodic review. Every case, dispute, deliverable, and call has its SLA clock started at intake — automatically in CERRS, HICS, and SEED for system-tracked items, and through the operational dashboard for non-system-tracked items. An SLA Risk Engine triggers supervisor intervention when any case crosses 70% of its allowed window, before the SLA itself is breached. SLA performance is reviewed daily at the operations stand-up and weekly at the Deloitte-CMS performance review, with any breach pattern triggering the Tier 3 Corrective Action Plan described above. SLA reporting follows the SOW deliverables schedule with daily, weekly, and monthly cadences as defined per task.</w:t>
      </w:r>
      <w:r w:rsidR="3BCF5B88"/>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Deloitte will deliver a draft Quality Assurance Surveillance Plan (QASP) within 45 days of the start of the base period per SOW §3.9, jointly review and finalize the QASP with the COR within 30 days of that review, and store the approved QASP in a CMS-approved location with version control. The QASP defines, for every SOW SLA and AQL: the measurement method, the data source, the responsible owner, the reporting cadence, the acceptable performance threshold, and the escalation mechanism for non-conformance. QASP updates follow PIOP change-control discipline and are submitted to CMS for review and approval whenever a PWS change, regulatory update, or COR direction warrants revision. The QASP is the single instrument linking Deloitte's performance to CPARS — making the relationship between day-to-day execution and downstream contractor evaluation transparent and verifiable.</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Deloitte's staffing model responds to a single operating reality: ER&amp;R workload is concentrated, seasonal, and risk-sensitive. The staffing footprint at contract start is sized to deliver continuity across all ten SOW tasks from Day 1, scaled in proportion to the workload drivers (issuer disputes, 1095-A casework, CCHC, IT systems O&amp;M, and contact center support), and structured to flex up for tax season and Open Enrollment surge without disrupting steady-state operations. The workforce is organized into five integrated delivery towers — Business Operations, Technology Management, Program Management &amp; Program Controls, Quality Assurance / SOP / Knowledge Management, and SME / Program Integrity — staffed with a labor mix of senior leadership, mid-level operational analysts, junior caseworkers, and subject matter experts proportioned to the actual case complexity each tower handles. Prime and subcontractor personnel operate as one integrated delivery workforce under unified Deloitte governance, with subcontractor work governed by the same SLAs, AQLs, and QA standards described in Sub-Section 2B. The detailed organizational chart is provided in Figure 2.3-1; the labor mix matrix by labor category, task, and sub-task is provided in Volume II: Business Quote per the Attachment 2 pricing template instructions.</w:t>
      </w:r>
      <w:r w:rsidRPr="001349CE">
        <w:rPr>
          <w:rStyle w:val="CharacterBold"/>
        </w:rPr>
      </w:r>
      <w:r w:rsidRPr="00B22AFA"/>
      <w:r w:rsidRPr="001349CE">
        <w:rPr>
          <w:rStyle w:val="CharacterBold"/>
        </w:rPr>
      </w:r>
      <w:r w:rsidRPr="00B22AFA"/>
      <w:r w:rsidRPr="001349CE">
        <w:rPr>
          <w:rStyle w:val="CharacterBold"/>
        </w:rPr>
      </w:r>
      <w:r w:rsidRPr="00B22AFA"/>
      <w:r w:rsidRPr="001349CE">
        <w:rPr>
          <w:rStyle w:val="CharacterBold"/>
        </w:rPr>
      </w:r>
      <w:r w:rsidRPr="00B22AFA"/>
      <w:r/>
      <w:r w:rsidR="00B17029" w:rsidRPr="001349CE">
        <w:rPr>
          <w:rStyle w:val="CharacterBold"/>
        </w:rPr>
      </w:r>
      <w:commentRangeEnd w:id="111"/>
      <w:r w:rsidR="00C33993">
        <w:rPr>
          <w:rStyle w:val="CommentReference"/>
          <w:rFonts w:ascii="Courier New" w:hAnsi="Courier New"/>
        </w:rPr>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Deloitte's resource management approach is built around five operating commitments. First, role-based assignment: every caseworker, analyst, engineer, and supervisor is matched to a specific function within a specific tower, with documented role descriptions, competency requirements, and SOW-task accountability — eliminating the under-specified "generalist" model that creates SLA risk in casework operations. Second, lifecycle-aware staffing: the model phases through transition-in (months 1-3 emphasizing knowledge transfer, system access, and shadow operations), steady-state operations (months 4+ optimized for SLA performance and continuous improvement), peak periods (tax season and post-Open-Enrollment ramp), and transition-out (orderly turnover) — with explicit headcount and skill-mix requirements at each phase. Third, recruitment and retention discipline: Deloitte's CMS Marketplace recruiting bench, refreshed continuously and pre-cleared for federal background investigation processing, sources permanent staff with prior FFE/SBE experience and SOW-relevant federal healthcare data system experience. Fourth, integrated workforce management: prime and subcontractor staff operate as one team with shared training, shared QA standards, shared performance metrics, and a single Project Director accountable for total workforce performance. Fifth, transparent staffing visibility: the COR has continuous access to staffing levels by tower and task through the operations dashboard, with formal reporting via the Monthly Progress, Data and Cost Report and any staffing change of consequence flagged for COR concurrence in advance per SOW §3.1.</w:t>
      </w:r>
      <w:r w:rsidRPr="00367BA6"/>
      <w:r w:rsidR="00C91D75" w:rsidRPr="00C91D75"/>
      <w:commentRangeEnd w:id="114"/>
      <w:r w:rsidR="00956174">
        <w:rPr>
          <w:rStyle w:val="CommentReference"/>
          <w:rFonts w:ascii="Courier New" w:hAnsi="Courier New"/>
        </w:rPr>
      </w:r>
    </w:p>
    <w:p w14:paraId="63ABC5AC" w14:textId="63380A3E" w:rsidR="00760C47" w:rsidRPr="00760C47" w:rsidRDefault="00760C47" w:rsidP="0071582C">
      <w:pPr>
        <w:pStyle w:val="BodyText"/>
        <w:rPr>
          <w:b/>
          <w:color w:val="00B0F0"/>
        </w:rPr>
      </w:pPr>
      <w:r w:rsidRPr="00760C47">
        <w:rPr>
          <w:b/>
          <w:color w:val="00B0F0"/>
        </w:rPr>
        <w:t>[Deloitte to populate: detailed labor-mix matrix showing FTE counts by labor category by task / sub-task across the base period and four option periods, separated by prime and proposed subcontractors with current-on-staff vs. proposed-new flagged. Final matrix appears in Volume II: Business Quote per Attachment 2 pricing template; this volume references that matrix.]</w:t>
      </w:r>
      <w:r>
        <w:rPr>
          <w:b/>
          <w:color w:val="00B0F0"/>
        </w:rPr>
      </w:r>
      <w:r w:rsidRPr="00760C47">
        <w:rPr>
          <w:b/>
          <w:color w:val="00B0F0"/>
        </w:rPr>
      </w:r>
      <w:r w:rsidR="00445B8E">
        <w:rPr>
          <w:b/>
          <w:color w:val="00B0F0"/>
        </w:rPr>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
      </w:pPr>
      <w:r w:rsidRPr="00FB51CD">
        <w:rPr>
          <w:rStyle w:val="CharacterBold"/>
        </w:rPr>
        <w:t>Form 1095-A consumer dispute volume triples between December and February and remains elevated through May (SOW assumptions, monthly volumes table). Deloitte's surge plan responds to that exact curve. Recruiting begins in early November for the temporary case analyst pool sized to the SOW assumption of approximately 100-120 temporary analysts and 4 temporary team leads. CMS background investigations begin at offer acceptance to ensure the first wave is cleared, system-trained, and shadow-certified before January 1. A returner-first model preferentially re-engages prior-season caseworkers — they skip baseline training, complete a policy update refresher, and reach full productivity from their first day back. New hires train on prior-year root-cause case types under peer certification by returners before touching a live case. Additional waves deploy in late January and February as volume climbs toward the February peak. The pool is released in phases beginning in May and concluding by early July as volumes return to baseline. Casework surge (queue balancing, backlog absorption, escalation coverage, complex-case overflow) and contact center surge (call coverage, voicemail response, supervisor-to-agent ratio maintenance) are managed as distinct operating disciplines so peak coverage in one channel does not degrade quality in another. Surge personnel receive role-based access to CERRS, HICS, and SEED with the same security controls, audit logging, and field-level masking that apply to permanent staff.</w:t>
      </w:r>
      <w:r w:rsidRPr="007840F7"/>
      <w:commentRangeStart w:id="119"/>
      <w:r w:rsidRPr="007840F7"/>
      <w:commentRangeEnd w:id="119"/>
      <w:r w:rsidRPr="007840F7">
        <w:rPr>
          <w:rStyle w:val="CommentReference"/>
          <w:sz w:val="24"/>
          <w:szCs w:val="22"/>
        </w:rPr>
      </w:r>
    </w:p>
    <w:p>
      <w:pPr>
        <w:pStyle w:val="BodyText"/>
      </w:pPr>
      <w:r>
        <w:t>Technical surge capacity is maintained in parallel. During Open Enrollment, the EDA CORE 834 ingestion pipeline processes thousands of transactions per hour; Deloitte pre-positions Snowflake performance-tuning capacity, on-call DevOps coverage, and incident response staffing at heightened readiness. Service desk Tier 2 and Tier 3 capacity flexes through a defined reserve pool that activates on threshold rather than after backlog accumulation. Release cadence and Change Control Board scheduling respect the SOW-required software-integration lockout windows during Open Enrollment so technical change does not introduce risk during the highest-stakes period of the year.</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pPr>
        <w:pStyle w:val="Subheading1"/>
      </w:pPr>
      <w:r>
        <w:t>4.1 Approach to Maximize Small Business Subcontracting</w:t>
      </w:r>
    </w:p>
    <w:p>
      <w:pPr>
        <w:pStyle w:val="BodyText"/>
      </w:pPr>
      <w:r>
        <w:t>Deloitte's small business plan is built around the RFQ goal of 15% of total task order dollars subcontracted to small business and reflects how Deloitte has consistently exceeded small business utilization targets on comparable federal task orders. Deloitte will exceed the 15% goal across the base period and every option period through a combination of direct subcontracting, teaming arrangements, and targeted small-business sourcing across the labor categories that drive ER&amp;R operational delivery — issuer dispute analytics, 1095-A casework surge, IT systems engineering, contact center support, and quality assurance.</w:t>
      </w:r>
    </w:p>
    <w:p>
      <w:pPr>
        <w:pStyle w:val="BodyText"/>
      </w:pPr>
      <w:r>
        <w:t>Deloitte's small business strategy is anchored to four operating principles. First, small businesses are integrated as full delivery partners, not pass-through capacity, with named workshare on specific SOW tasks and accountability tied to the same SLAs and quality standards that govern Deloitte's prime work. Second, small business utilization is maintained year-over-year through structured workshare commitments that flex with workload (1095-A surge, OE peak, ad hoc projects under Task 10) so small business teaming partners are not crowded out as the program scales. Third, small business performance is tracked and reported monthly to the COR with the same rigor Deloitte applies to its own performance — utilization percentage, deliverable quality, schedule adherence, and corrective action where needed. Fourth, Deloitte's Small Business Liaison Officer (SBLO) is the single point of accountability for plan execution, COR reporting, and continuous identification of new small business opportunities throughout the period of performance.</w:t>
      </w:r>
    </w:p>
    <w:p>
      <w:pPr>
        <w:pStyle w:val="Subheading1"/>
      </w:pPr>
      <w:r>
        <w:t>4.2 Proposed Small Business Subcontractors</w:t>
      </w:r>
    </w:p>
    <w:p>
      <w:pPr>
        <w:pStyle w:val="BodyText"/>
      </w:pPr>
      <w:r>
        <w:t>The table below identifies Deloitte's proposed small business subcontractors, the work each will perform, and the proportion of total task order value committed to each. Letters of commitment and draft subcontracting agreements are provided as attachments outside the page count, in accordance with the RFQ instructions.</w:t>
      </w:r>
    </w:p>
    <w:p>
      <w:pPr>
        <w:pStyle w:val="TableTitle"/>
      </w:pPr>
      <w:r>
        <w:t>Table 4.2-1. Proposed Small Business Subcontractors.</w:t>
      </w:r>
    </w:p>
    <w:p>
      <w:pPr>
        <w:pStyle w:val="BodyText"/>
      </w:pPr>
      <w:r>
        <w:t>[Deloitte to populate: Subcontractor Name | Address | POC and Phone | NAICS / Size / Socioeconomic Status (e.g., 8(a), HUBZone, SDVOSB, WOSB, EDWOSB, Small Disadvantaged Business) | Work to be Performed | Proportion of Total Contract Value (%) | Total $ Proposed — for each proposed small business subcontractor, formatted per Attachment 2 instructions.]</w:t>
      </w:r>
    </w:p>
    <w:p>
      <w:pPr>
        <w:pStyle w:val="Subheading1"/>
      </w:pPr>
      <w:r>
        <w:t>4.3 Commitment to Use Small Businesses</w:t>
      </w:r>
    </w:p>
    <w:p>
      <w:pPr>
        <w:pStyle w:val="BodyText"/>
      </w:pPr>
      <w:r>
        <w:t>Deloitte's commitment to small business participation is documented through three concrete instruments included with this quote as attachments and not counted against the Volume I page limit:</w:t>
      </w:r>
    </w:p>
    <w:p>
      <w:pPr>
        <w:pStyle w:val="Bulletlevel1"/>
      </w:pPr>
      <w:r>
        <w:t>Signed letters of commitment from each proposed small business subcontractor confirming availability, proposed labor categories, and willingness to perform the workshare described in Table 4.2-1.</w:t>
      </w:r>
    </w:p>
    <w:p>
      <w:pPr>
        <w:pStyle w:val="Bulletlevel1"/>
      </w:pPr>
      <w:r>
        <w:t>Draft subcontracting agreements outlining scope, performance standards, flow-down clauses (FAR/HHSAR/CMS-specific privacy and security clauses, Section 508, and the Conflict of Interest CMS clause), termination provisions, and reporting requirements.</w:t>
      </w:r>
    </w:p>
    <w:p>
      <w:pPr>
        <w:pStyle w:val="Bulletlevel1"/>
      </w:pPr>
      <w:r>
        <w:t>Teaming arrangement narratives describing prior Deloitte experience with each proposed small business — including projects delivered jointly, integration history, and small business performance outcomes — so CMS has a verifiable basis to assess the credibility of each commitment.</w:t>
      </w:r>
    </w:p>
    <w:p>
      <w:pPr>
        <w:pStyle w:val="BodyText"/>
      </w:pPr>
      <w:r>
        <w:t>All proposed small business subcontractors will receive the same flow-down requirements that apply to Deloitte under the prime contract, including FAR Subpart 8.4, HHSAR clauses, the CMS Conflict of Interest (AUG 2024) clause, FedRAMP and HHS information security requirements, the HHS Standard for Encryption, OMB M-17-12 breach response obligations, NIST SP 800-53 controls applicable at the moderate impact level for the FFE/SBE data, Section 508 conformance, and the Privacy Act requirements applicable to System of Records Notice 09-70-0560.</w:t>
      </w:r>
    </w:p>
    <w:p>
      <w:pPr>
        <w:pStyle w:val="Subheading1"/>
      </w:pPr>
      <w:r>
        <w:t>4.4 Subcontracting Plan Governance</w:t>
      </w:r>
    </w:p>
    <w:p>
      <w:pPr>
        <w:pStyle w:val="BodyText"/>
      </w:pPr>
      <w:r>
        <w:t>Deloitte will deliver a Small Business Subcontracting Plan within 30 days of award (or per the timeline established by the Contracting Officer) with the elements required by FAR 19.704 and HHSAR 352.219-70, including utilization goals by socioeconomic category, plan administration, recordkeeping, equitable opportunity, and reporting (eSRS Individual and Summary Subcontract Reports). Deloitte's SBLO will:</w:t>
      </w:r>
    </w:p>
    <w:p>
      <w:pPr>
        <w:pStyle w:val="Bulletlevel1"/>
      </w:pPr>
      <w:r>
        <w:t>Track and report small business utilization monthly to the COR within the Monthly Progress, Data and Cost Report (SOW §3.1) — broken out by total dollars, labor categories, task/sub-task allocation, and socioeconomic category.</w:t>
      </w:r>
    </w:p>
    <w:p>
      <w:pPr>
        <w:pStyle w:val="Bulletlevel1"/>
      </w:pPr>
      <w:r>
        <w:t>Conduct quarterly small business performance reviews jointly with each subcontractor, surfacing ramp opportunities, risk indicators, and any need for corrective action — with results summarized to CMS.</w:t>
      </w:r>
    </w:p>
    <w:p>
      <w:pPr>
        <w:pStyle w:val="Bulletlevel1"/>
      </w:pPr>
      <w:r>
        <w:t>Identify new small business opportunities continuously throughout the period of performance — particularly within Task 10 ad hoc and special projects, where short-cycle work is well-suited to small business participation — and bring forward proposed additions to the subcontracting plan for COR concurrence.</w:t>
      </w:r>
    </w:p>
    <w:p>
      <w:pPr>
        <w:pStyle w:val="Bulletlevel1"/>
      </w:pPr>
      <w:r>
        <w:t>Document and report any planned changes to the subcontracting plan promptly, with rationale and impact analysis, so CMS retains continuous visibility into small business commitment execution.</w:t>
      </w:r>
    </w:p>
    <w:p>
      <w:pPr>
        <w:pStyle w:val="Subheading1"/>
      </w:pPr>
      <w:r>
        <w:t>4.5 Prime Contractor Workshare Disclosure</w:t>
      </w:r>
    </w:p>
    <w:p>
      <w:pPr>
        <w:pStyle w:val="BodyText"/>
      </w:pPr>
      <w:r>
        <w:t>Deloitte Consulting LLP is a large business prime; the share-of-work narrative described above governs the small business subcontracting commitment. The proportion of work performed directly by Deloitte versus subcontractors (including any large-business teaming partners) is detailed in the labor-hour matrix submitted with Volume II: Business Quote in accordance with Attachment 2 pricing template instructions.</w:t>
      </w: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p>
      <w:pPr>
        <w:pStyle w:val="Heading1"/>
      </w:pPr>
      <w:r>
        <w:t>Compliance Matrix</w:t>
      </w:r>
    </w:p>
    <w:p>
      <w:pPr>
        <w:pStyle w:val="BodyText"/>
      </w:pPr>
      <w:r>
        <w:t>The matrix below cross-walks every Statement of Work (SOW) task and every Volume I evaluation sub-factor in Attachment 2 to the Volume I section and page where Deloitte's response appears. The Compliance Matrix is provided in accordance with the indexing guidance in Attachment 2 and is advisory in nature; it imparts no information beyond the identification of content and is therefore not counted against the Volume I forty-page limit.</w:t>
      </w:r>
    </w:p>
    <w:p>
      <w:pPr>
        <w:pStyle w:val="TableTitle"/>
      </w:pPr>
      <w:r>
        <w:t>Table CM-1. Cross-Walk of SOW Requirements and Attachment 2 Evaluation Factors to Volume I Sections.</w:t>
      </w:r>
    </w:p>
    <w:tbl>
      <w:tblPr>
        <w:tblStyle w:val="TableGrid"/>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SOW / Attachment 2 Reference</w:t>
            </w:r>
          </w:p>
        </w:tc>
        <w:tc>
          <w:tcPr>
            <w:tcW w:type="dxa" w:w="3120"/>
          </w:tcPr>
          <w:p>
            <w:r>
              <w:t>Volume I Section / Page</w:t>
            </w:r>
          </w:p>
        </w:tc>
      </w:tr>
      <w:tr>
        <w:tc>
          <w:tcPr>
            <w:tcW w:type="dxa" w:w="3120"/>
          </w:tcPr>
          <w:p>
            <w:r>
              <w:t>Att. 2 Factor 1: Technical Understanding &amp; Approach</w:t>
            </w:r>
          </w:p>
        </w:tc>
        <w:tc>
          <w:tcPr>
            <w:tcW w:type="dxa" w:w="3120"/>
          </w:tcPr>
          <w:p>
            <w:r>
              <w:t>Att. 2 §Volume I Section 1</w:t>
            </w:r>
          </w:p>
        </w:tc>
        <w:tc>
          <w:tcPr>
            <w:tcW w:type="dxa" w:w="3120"/>
          </w:tcPr>
          <w:p>
            <w:r/>
          </w:p>
        </w:tc>
      </w:tr>
      <w:tr>
        <w:tc>
          <w:tcPr>
            <w:tcW w:type="dxa" w:w="3120"/>
          </w:tcPr>
          <w:p>
            <w:r>
              <w:t>Sub-Factor 1A: Understanding of CMS' Program &amp; Acquisition Objectives</w:t>
            </w:r>
          </w:p>
        </w:tc>
        <w:tc>
          <w:tcPr>
            <w:tcW w:type="dxa" w:w="3120"/>
          </w:tcPr>
          <w:p>
            <w:r>
              <w:t>Att. 2 §1A</w:t>
            </w:r>
          </w:p>
        </w:tc>
        <w:tc>
          <w:tcPr>
            <w:tcW w:type="dxa" w:w="3120"/>
          </w:tcPr>
          <w:p>
            <w:r>
              <w:t>Section 1.1 (Sub-Section 1A) — p. [auto]</w:t>
            </w:r>
          </w:p>
        </w:tc>
      </w:tr>
      <w:tr>
        <w:tc>
          <w:tcPr>
            <w:tcW w:type="dxa" w:w="3120"/>
          </w:tcPr>
          <w:p>
            <w:r>
              <w:t>Sub-Factor 1B: Approach to Performing Requirements in the SOW (Tasks 2–10)</w:t>
            </w:r>
          </w:p>
        </w:tc>
        <w:tc>
          <w:tcPr>
            <w:tcW w:type="dxa" w:w="3120"/>
          </w:tcPr>
          <w:p>
            <w:r>
              <w:t>Att. 2 §1B; SOW §3.2–3.10</w:t>
            </w:r>
          </w:p>
        </w:tc>
        <w:tc>
          <w:tcPr>
            <w:tcW w:type="dxa" w:w="3120"/>
          </w:tcPr>
          <w:p>
            <w:r>
              <w:t>Section 1.2 (Sub-Section 1B) — p. [auto]</w:t>
            </w:r>
          </w:p>
        </w:tc>
      </w:tr>
      <w:tr>
        <w:tc>
          <w:tcPr>
            <w:tcW w:type="dxa" w:w="3120"/>
          </w:tcPr>
          <w:p>
            <w:r>
              <w:t>Task 2: ER&amp;R Issuer Disputes (incl. Subtask 2.1 Low Complexity, 2.2 High Complexity)</w:t>
            </w:r>
          </w:p>
        </w:tc>
        <w:tc>
          <w:tcPr>
            <w:tcW w:type="dxa" w:w="3120"/>
          </w:tcPr>
          <w:p>
            <w:r>
              <w:t>SOW §3.2, §3.2.1, §3.2.2</w:t>
            </w:r>
          </w:p>
        </w:tc>
        <w:tc>
          <w:tcPr>
            <w:tcW w:type="dxa" w:w="3120"/>
          </w:tcPr>
          <w:p>
            <w:r>
              <w:t>Section 1.2.1 — p. [auto]</w:t>
            </w:r>
          </w:p>
        </w:tc>
      </w:tr>
      <w:tr>
        <w:tc>
          <w:tcPr>
            <w:tcW w:type="dxa" w:w="3120"/>
          </w:tcPr>
          <w:p>
            <w:r>
              <w:t>Task 3: Form 1095-A Consumer Disputes (incl. Subtask 3.1 Low, 3.2 Medium, 3.3 High Complexity)</w:t>
            </w:r>
          </w:p>
        </w:tc>
        <w:tc>
          <w:tcPr>
            <w:tcW w:type="dxa" w:w="3120"/>
          </w:tcPr>
          <w:p>
            <w:r>
              <w:t>SOW §3.3, §3.3.1, §3.3.2, §3.3.3</w:t>
            </w:r>
          </w:p>
        </w:tc>
        <w:tc>
          <w:tcPr>
            <w:tcW w:type="dxa" w:w="3120"/>
          </w:tcPr>
          <w:p>
            <w:r>
              <w:t>Section 1.2.2 — p. [auto]</w:t>
            </w:r>
          </w:p>
        </w:tc>
      </w:tr>
      <w:tr>
        <w:tc>
          <w:tcPr>
            <w:tcW w:type="dxa" w:w="3120"/>
          </w:tcPr>
          <w:p>
            <w:r>
              <w:t>Task 4: Complex Case Help Center (CCHC)</w:t>
            </w:r>
          </w:p>
        </w:tc>
        <w:tc>
          <w:tcPr>
            <w:tcW w:type="dxa" w:w="3120"/>
          </w:tcPr>
          <w:p>
            <w:r>
              <w:t>SOW §3.4</w:t>
            </w:r>
          </w:p>
        </w:tc>
        <w:tc>
          <w:tcPr>
            <w:tcW w:type="dxa" w:w="3120"/>
          </w:tcPr>
          <w:p>
            <w:r>
              <w:t>Section 1.2.3 — p. [auto]</w:t>
            </w:r>
          </w:p>
        </w:tc>
      </w:tr>
      <w:tr>
        <w:tc>
          <w:tcPr>
            <w:tcW w:type="dxa" w:w="3120"/>
          </w:tcPr>
          <w:p>
            <w:r>
              <w:t>Task 5: Updating the FFE</w:t>
            </w:r>
          </w:p>
        </w:tc>
        <w:tc>
          <w:tcPr>
            <w:tcW w:type="dxa" w:w="3120"/>
          </w:tcPr>
          <w:p>
            <w:r>
              <w:t>SOW §3.5</w:t>
            </w:r>
          </w:p>
        </w:tc>
        <w:tc>
          <w:tcPr>
            <w:tcW w:type="dxa" w:w="3120"/>
          </w:tcPr>
          <w:p>
            <w:r>
              <w:t>Section 1.2.4 — p. [auto]</w:t>
            </w:r>
          </w:p>
        </w:tc>
      </w:tr>
      <w:tr>
        <w:tc>
          <w:tcPr>
            <w:tcW w:type="dxa" w:w="3120"/>
          </w:tcPr>
          <w:p>
            <w:r>
              <w:t>Task 6: Notice Generation</w:t>
            </w:r>
          </w:p>
        </w:tc>
        <w:tc>
          <w:tcPr>
            <w:tcW w:type="dxa" w:w="3120"/>
          </w:tcPr>
          <w:p>
            <w:r>
              <w:t>SOW §3.6</w:t>
            </w:r>
          </w:p>
        </w:tc>
        <w:tc>
          <w:tcPr>
            <w:tcW w:type="dxa" w:w="3120"/>
          </w:tcPr>
          <w:p>
            <w:r>
              <w:t>Section 1.2.5 — p. [auto]</w:t>
            </w:r>
          </w:p>
        </w:tc>
      </w:tr>
      <w:tr>
        <w:tc>
          <w:tcPr>
            <w:tcW w:type="dxa" w:w="3120"/>
          </w:tcPr>
          <w:p>
            <w:r>
              <w:t>Task 7: Telephone and Correspondence Support</w:t>
            </w:r>
          </w:p>
        </w:tc>
        <w:tc>
          <w:tcPr>
            <w:tcW w:type="dxa" w:w="3120"/>
          </w:tcPr>
          <w:p>
            <w:r>
              <w:t>SOW §3.7</w:t>
            </w:r>
          </w:p>
        </w:tc>
        <w:tc>
          <w:tcPr>
            <w:tcW w:type="dxa" w:w="3120"/>
          </w:tcPr>
          <w:p>
            <w:r>
              <w:t>Section 1.2.6 — p. [auto]</w:t>
            </w:r>
          </w:p>
        </w:tc>
      </w:tr>
      <w:tr>
        <w:tc>
          <w:tcPr>
            <w:tcW w:type="dxa" w:w="3120"/>
          </w:tcPr>
          <w:p>
            <w:r>
              <w:t>Task 8: IT Systems (CERRS, MCR, SEED, HICS, EDA CORE)</w:t>
            </w:r>
          </w:p>
        </w:tc>
        <w:tc>
          <w:tcPr>
            <w:tcW w:type="dxa" w:w="3120"/>
          </w:tcPr>
          <w:p>
            <w:r>
              <w:t>SOW §3.8, §3.8.1, §3.8.1.1, §3.8.1.2, §3.8.2, §3.8.3</w:t>
            </w:r>
          </w:p>
        </w:tc>
        <w:tc>
          <w:tcPr>
            <w:tcW w:type="dxa" w:w="3120"/>
          </w:tcPr>
          <w:p>
            <w:r>
              <w:t>Section 1.2.7 — p. [auto]</w:t>
            </w:r>
          </w:p>
        </w:tc>
      </w:tr>
      <w:tr>
        <w:tc>
          <w:tcPr>
            <w:tcW w:type="dxa" w:w="3120"/>
          </w:tcPr>
          <w:p>
            <w:r>
              <w:t>Task 9: SOPs Business Requirements &amp; Quality Assurance</w:t>
            </w:r>
          </w:p>
        </w:tc>
        <w:tc>
          <w:tcPr>
            <w:tcW w:type="dxa" w:w="3120"/>
          </w:tcPr>
          <w:p>
            <w:r>
              <w:t>SOW §3.9</w:t>
            </w:r>
          </w:p>
        </w:tc>
        <w:tc>
          <w:tcPr>
            <w:tcW w:type="dxa" w:w="3120"/>
          </w:tcPr>
          <w:p>
            <w:r>
              <w:t>Section 1.2.8 — p. [auto]</w:t>
            </w:r>
          </w:p>
        </w:tc>
      </w:tr>
      <w:tr>
        <w:tc>
          <w:tcPr>
            <w:tcW w:type="dxa" w:w="3120"/>
          </w:tcPr>
          <w:p>
            <w:r>
              <w:t>Task 10: Ad Hoc Work and Special Projects (incl. Enrollment Manual, Death PDM, Employer Notice Helpdesk)</w:t>
            </w:r>
          </w:p>
        </w:tc>
        <w:tc>
          <w:tcPr>
            <w:tcW w:type="dxa" w:w="3120"/>
          </w:tcPr>
          <w:p>
            <w:r>
              <w:t>SOW §3.10</w:t>
            </w:r>
          </w:p>
        </w:tc>
        <w:tc>
          <w:tcPr>
            <w:tcW w:type="dxa" w:w="3120"/>
          </w:tcPr>
          <w:p>
            <w:r>
              <w:t>Section 1.2.9 — p. [auto]</w:t>
            </w:r>
          </w:p>
        </w:tc>
      </w:tr>
      <w:tr>
        <w:tc>
          <w:tcPr>
            <w:tcW w:type="dxa" w:w="3120"/>
          </w:tcPr>
          <w:p>
            <w:r>
              <w:t>Sub-Factor 1C: Understanding and Mitigation of Risks (10 Risks + Risk Management Lifecycle)</w:t>
            </w:r>
          </w:p>
        </w:tc>
        <w:tc>
          <w:tcPr>
            <w:tcW w:type="dxa" w:w="3120"/>
          </w:tcPr>
          <w:p>
            <w:r>
              <w:t>Att. 2 §1C</w:t>
            </w:r>
          </w:p>
        </w:tc>
        <w:tc>
          <w:tcPr>
            <w:tcW w:type="dxa" w:w="3120"/>
          </w:tcPr>
          <w:p>
            <w:r>
              <w:t>Section 1.3 (Sub-Section 1C) — p. [auto]</w:t>
            </w:r>
          </w:p>
        </w:tc>
      </w:tr>
      <w:tr>
        <w:tc>
          <w:tcPr>
            <w:tcW w:type="dxa" w:w="3120"/>
          </w:tcPr>
          <w:p>
            <w:r>
              <w:t>Att. 2 Factor 2: Management Approach, Quality Assurance, and Staffing Plan</w:t>
            </w:r>
          </w:p>
        </w:tc>
        <w:tc>
          <w:tcPr>
            <w:tcW w:type="dxa" w:w="3120"/>
          </w:tcPr>
          <w:p>
            <w:r>
              <w:t>Att. 2 §Volume I Section 2</w:t>
            </w:r>
          </w:p>
        </w:tc>
        <w:tc>
          <w:tcPr>
            <w:tcW w:type="dxa" w:w="3120"/>
          </w:tcPr>
          <w:p>
            <w:r/>
          </w:p>
        </w:tc>
      </w:tr>
      <w:tr>
        <w:tc>
          <w:tcPr>
            <w:tcW w:type="dxa" w:w="3120"/>
          </w:tcPr>
          <w:p>
            <w:r>
              <w:t>Sub-Factor 2A: Management Approach (incl. Tasks 1, 11, 12)</w:t>
            </w:r>
          </w:p>
        </w:tc>
        <w:tc>
          <w:tcPr>
            <w:tcW w:type="dxa" w:w="3120"/>
          </w:tcPr>
          <w:p>
            <w:r>
              <w:t>Att. 2 §2A; SOW §3.1, §3.11, §3.12</w:t>
            </w:r>
          </w:p>
        </w:tc>
        <w:tc>
          <w:tcPr>
            <w:tcW w:type="dxa" w:w="3120"/>
          </w:tcPr>
          <w:p>
            <w:r>
              <w:t>Section 2.1 (Sub-Section 2A) — p. [auto]</w:t>
            </w:r>
          </w:p>
        </w:tc>
      </w:tr>
      <w:tr>
        <w:tc>
          <w:tcPr>
            <w:tcW w:type="dxa" w:w="3120"/>
          </w:tcPr>
          <w:p>
            <w:r>
              <w:t>Task 1: Program Implementation and Oversight (PI&amp;O) — PIOP, Kickoff, Reporting Cadence</w:t>
            </w:r>
          </w:p>
        </w:tc>
        <w:tc>
          <w:tcPr>
            <w:tcW w:type="dxa" w:w="3120"/>
          </w:tcPr>
          <w:p>
            <w:r>
              <w:t>SOW §3.1</w:t>
            </w:r>
          </w:p>
        </w:tc>
        <w:tc>
          <w:tcPr>
            <w:tcW w:type="dxa" w:w="3120"/>
          </w:tcPr>
          <w:p>
            <w:r>
              <w:t>Section 2.1.1 — p. [auto]</w:t>
            </w:r>
          </w:p>
        </w:tc>
      </w:tr>
      <w:tr>
        <w:tc>
          <w:tcPr>
            <w:tcW w:type="dxa" w:w="3120"/>
          </w:tcPr>
          <w:p>
            <w:r>
              <w:t>Task 11: Transition-Out (Optional)</w:t>
            </w:r>
          </w:p>
        </w:tc>
        <w:tc>
          <w:tcPr>
            <w:tcW w:type="dxa" w:w="3120"/>
          </w:tcPr>
          <w:p>
            <w:r>
              <w:t>SOW §3.11</w:t>
            </w:r>
          </w:p>
        </w:tc>
        <w:tc>
          <w:tcPr>
            <w:tcW w:type="dxa" w:w="3120"/>
          </w:tcPr>
          <w:p>
            <w:r>
              <w:t>Section 2.1.2 — p. [auto]</w:t>
            </w:r>
          </w:p>
        </w:tc>
      </w:tr>
      <w:tr>
        <w:tc>
          <w:tcPr>
            <w:tcW w:type="dxa" w:w="3120"/>
          </w:tcPr>
          <w:p>
            <w:r>
              <w:t>Task 12: Transition-In (Optional)</w:t>
            </w:r>
          </w:p>
        </w:tc>
        <w:tc>
          <w:tcPr>
            <w:tcW w:type="dxa" w:w="3120"/>
          </w:tcPr>
          <w:p>
            <w:r>
              <w:t>SOW §3.12</w:t>
            </w:r>
          </w:p>
        </w:tc>
        <w:tc>
          <w:tcPr>
            <w:tcW w:type="dxa" w:w="3120"/>
          </w:tcPr>
          <w:p>
            <w:r>
              <w:t>Section 2.1.3 — p. [auto]</w:t>
            </w:r>
          </w:p>
        </w:tc>
      </w:tr>
      <w:tr>
        <w:tc>
          <w:tcPr>
            <w:tcW w:type="dxa" w:w="3120"/>
          </w:tcPr>
          <w:p>
            <w:r>
              <w:t>Sub-Factor 2B: Quality Assurance Approach (KPIs, AQLs, SLAs, QASP)</w:t>
            </w:r>
          </w:p>
        </w:tc>
        <w:tc>
          <w:tcPr>
            <w:tcW w:type="dxa" w:w="3120"/>
          </w:tcPr>
          <w:p>
            <w:r>
              <w:t>Att. 2 §2B</w:t>
            </w:r>
          </w:p>
        </w:tc>
        <w:tc>
          <w:tcPr>
            <w:tcW w:type="dxa" w:w="3120"/>
          </w:tcPr>
          <w:p>
            <w:r>
              <w:t>Section 2.2 (Sub-Section 2B) — p. [auto]</w:t>
            </w:r>
          </w:p>
        </w:tc>
      </w:tr>
      <w:tr>
        <w:tc>
          <w:tcPr>
            <w:tcW w:type="dxa" w:w="3120"/>
          </w:tcPr>
          <w:p>
            <w:r>
              <w:t>Sub-Factor 2C: Staffing Plan (Workforce, Surge, Subcontractor Integration)</w:t>
            </w:r>
          </w:p>
        </w:tc>
        <w:tc>
          <w:tcPr>
            <w:tcW w:type="dxa" w:w="3120"/>
          </w:tcPr>
          <w:p>
            <w:r>
              <w:t>Att. 2 §2C</w:t>
            </w:r>
          </w:p>
        </w:tc>
        <w:tc>
          <w:tcPr>
            <w:tcW w:type="dxa" w:w="3120"/>
          </w:tcPr>
          <w:p>
            <w:r>
              <w:t>Section 2.3 (Sub-Section 2C) — p. [auto]</w:t>
            </w:r>
          </w:p>
        </w:tc>
      </w:tr>
      <w:tr>
        <w:tc>
          <w:tcPr>
            <w:tcW w:type="dxa" w:w="3120"/>
          </w:tcPr>
          <w:p>
            <w:r>
              <w:t>Att. 2 Factor 3: Key Personnel Qualifications and Corporate Experience</w:t>
            </w:r>
          </w:p>
        </w:tc>
        <w:tc>
          <w:tcPr>
            <w:tcW w:type="dxa" w:w="3120"/>
          </w:tcPr>
          <w:p>
            <w:r>
              <w:t>Att. 2 §Volume I Section 3</w:t>
            </w:r>
          </w:p>
        </w:tc>
        <w:tc>
          <w:tcPr>
            <w:tcW w:type="dxa" w:w="3120"/>
          </w:tcPr>
          <w:p>
            <w:r/>
          </w:p>
        </w:tc>
      </w:tr>
      <w:tr>
        <w:tc>
          <w:tcPr>
            <w:tcW w:type="dxa" w:w="3120"/>
          </w:tcPr>
          <w:p>
            <w:r>
              <w:t>Sub-Factor 3A: Key Personnel Qualifications</w:t>
            </w:r>
          </w:p>
        </w:tc>
        <w:tc>
          <w:tcPr>
            <w:tcW w:type="dxa" w:w="3120"/>
          </w:tcPr>
          <w:p>
            <w:r>
              <w:t>Att. 2 §3A</w:t>
            </w:r>
          </w:p>
        </w:tc>
        <w:tc>
          <w:tcPr>
            <w:tcW w:type="dxa" w:w="3120"/>
          </w:tcPr>
          <w:p>
            <w:r>
              <w:t>Section 3.1 (Sub-Section 3A) — p. [auto]</w:t>
            </w:r>
          </w:p>
        </w:tc>
      </w:tr>
      <w:tr>
        <w:tc>
          <w:tcPr>
            <w:tcW w:type="dxa" w:w="3120"/>
          </w:tcPr>
          <w:p>
            <w:r>
              <w:t>Project Director (8 yrs systems exp.; 5 yrs each: enrollment recon, sensitive contracts, federal healthcare data, call center)</w:t>
            </w:r>
          </w:p>
        </w:tc>
        <w:tc>
          <w:tcPr>
            <w:tcW w:type="dxa" w:w="3120"/>
          </w:tcPr>
          <w:p>
            <w:r>
              <w:t>Att. 2 §3A</w:t>
            </w:r>
          </w:p>
        </w:tc>
        <w:tc>
          <w:tcPr>
            <w:tcW w:type="dxa" w:w="3120"/>
          </w:tcPr>
          <w:p>
            <w:r>
              <w:t>Section 3.1, Table 3.1-1 + Appendix A.1 — p. [auto]</w:t>
            </w:r>
          </w:p>
        </w:tc>
      </w:tr>
      <w:tr>
        <w:tc>
          <w:tcPr>
            <w:tcW w:type="dxa" w:w="3120"/>
          </w:tcPr>
          <w:p>
            <w:r>
              <w:t>Project Manager (ER&amp;R) — 5 yrs exp., PMP</w:t>
            </w:r>
          </w:p>
        </w:tc>
        <w:tc>
          <w:tcPr>
            <w:tcW w:type="dxa" w:w="3120"/>
          </w:tcPr>
          <w:p>
            <w:r>
              <w:t>Att. 2 §3A</w:t>
            </w:r>
          </w:p>
        </w:tc>
        <w:tc>
          <w:tcPr>
            <w:tcW w:type="dxa" w:w="3120"/>
          </w:tcPr>
          <w:p>
            <w:r>
              <w:t>Section 3.1, Table 3.1-1 + Appendix A.2 — p. [auto]</w:t>
            </w:r>
          </w:p>
        </w:tc>
      </w:tr>
      <w:tr>
        <w:tc>
          <w:tcPr>
            <w:tcW w:type="dxa" w:w="3120"/>
          </w:tcPr>
          <w:p>
            <w:r>
              <w:t>Project Manager (Form 1095-A &amp; CCHC) — 5/5/5/3 yrs, PMP</w:t>
            </w:r>
          </w:p>
        </w:tc>
        <w:tc>
          <w:tcPr>
            <w:tcW w:type="dxa" w:w="3120"/>
          </w:tcPr>
          <w:p>
            <w:r>
              <w:t>Att. 2 §3A</w:t>
            </w:r>
          </w:p>
        </w:tc>
        <w:tc>
          <w:tcPr>
            <w:tcW w:type="dxa" w:w="3120"/>
          </w:tcPr>
          <w:p>
            <w:r>
              <w:t>Section 3.1, Table 3.1-1 + Appendix A.3 — p. [auto]</w:t>
            </w:r>
          </w:p>
        </w:tc>
      </w:tr>
      <w:tr>
        <w:tc>
          <w:tcPr>
            <w:tcW w:type="dxa" w:w="3120"/>
          </w:tcPr>
          <w:p>
            <w:r>
              <w:t>Project Manager (IT Data and Technical Support) — 8/5/5 yrs</w:t>
            </w:r>
          </w:p>
        </w:tc>
        <w:tc>
          <w:tcPr>
            <w:tcW w:type="dxa" w:w="3120"/>
          </w:tcPr>
          <w:p>
            <w:r>
              <w:t>Att. 2 §3A</w:t>
            </w:r>
          </w:p>
        </w:tc>
        <w:tc>
          <w:tcPr>
            <w:tcW w:type="dxa" w:w="3120"/>
          </w:tcPr>
          <w:p>
            <w:r>
              <w:t>Section 3.1, Table 3.1-1 + Appendix A.4 — p. [auto]</w:t>
            </w:r>
          </w:p>
        </w:tc>
      </w:tr>
      <w:tr>
        <w:tc>
          <w:tcPr>
            <w:tcW w:type="dxa" w:w="3120"/>
          </w:tcPr>
          <w:p>
            <w:r>
              <w:t>Technical Director — 8 yrs software, 5 yrs CMS Marketplace systems</w:t>
            </w:r>
          </w:p>
        </w:tc>
        <w:tc>
          <w:tcPr>
            <w:tcW w:type="dxa" w:w="3120"/>
          </w:tcPr>
          <w:p>
            <w:r>
              <w:t>Att. 2 §3A</w:t>
            </w:r>
          </w:p>
        </w:tc>
        <w:tc>
          <w:tcPr>
            <w:tcW w:type="dxa" w:w="3120"/>
          </w:tcPr>
          <w:p>
            <w:r>
              <w:t>Section 3.1, Table 3.1-1 + Appendix A.5 — p. [auto]</w:t>
            </w:r>
          </w:p>
        </w:tc>
      </w:tr>
      <w:tr>
        <w:tc>
          <w:tcPr>
            <w:tcW w:type="dxa" w:w="3120"/>
          </w:tcPr>
          <w:p>
            <w:r>
              <w:t>Security and Privacy Officer — 5 yrs CMS Info Sec, CISSP</w:t>
            </w:r>
          </w:p>
        </w:tc>
        <w:tc>
          <w:tcPr>
            <w:tcW w:type="dxa" w:w="3120"/>
          </w:tcPr>
          <w:p>
            <w:r>
              <w:t>Att. 2 §3A</w:t>
            </w:r>
          </w:p>
        </w:tc>
        <w:tc>
          <w:tcPr>
            <w:tcW w:type="dxa" w:w="3120"/>
          </w:tcPr>
          <w:p>
            <w:r>
              <w:t>Section 3.1, Table 3.1-1 + Appendix A.6 — p. [auto]</w:t>
            </w:r>
          </w:p>
        </w:tc>
      </w:tr>
      <w:tr>
        <w:tc>
          <w:tcPr>
            <w:tcW w:type="dxa" w:w="3120"/>
          </w:tcPr>
          <w:p>
            <w:r>
              <w:t>Sub-Factor 3B: Corporate Experience</w:t>
            </w:r>
          </w:p>
        </w:tc>
        <w:tc>
          <w:tcPr>
            <w:tcW w:type="dxa" w:w="3120"/>
          </w:tcPr>
          <w:p>
            <w:r>
              <w:t>Att. 2 §3B</w:t>
            </w:r>
          </w:p>
        </w:tc>
        <w:tc>
          <w:tcPr>
            <w:tcW w:type="dxa" w:w="3120"/>
          </w:tcPr>
          <w:p>
            <w:r>
              <w:t>Section 3.2 (Sub-Section 3B), Table 3.2-1 — p. [auto]</w:t>
            </w:r>
          </w:p>
        </w:tc>
      </w:tr>
      <w:tr>
        <w:tc>
          <w:tcPr>
            <w:tcW w:type="dxa" w:w="3120"/>
          </w:tcPr>
          <w:p>
            <w:r>
              <w:t>Att. 2 Factor 4: Utilization of Small Business (Evaluated, Not Rated; 5 page limit; not counted toward 40-page Vol I)</w:t>
            </w:r>
          </w:p>
        </w:tc>
        <w:tc>
          <w:tcPr>
            <w:tcW w:type="dxa" w:w="3120"/>
          </w:tcPr>
          <w:p>
            <w:r>
              <w:t>Att. 2 §Volume I Section 4</w:t>
            </w:r>
          </w:p>
        </w:tc>
        <w:tc>
          <w:tcPr>
            <w:tcW w:type="dxa" w:w="3120"/>
          </w:tcPr>
          <w:p>
            <w:r>
              <w:t>Section 4 — p. [auto]</w:t>
            </w:r>
          </w:p>
        </w:tc>
      </w:tr>
      <w:tr>
        <w:tc>
          <w:tcPr>
            <w:tcW w:type="dxa" w:w="3120"/>
          </w:tcPr>
          <w:p>
            <w:r>
              <w:t>15% Small Business Subcontracting Goal Plan + Subcontractor Table</w:t>
            </w:r>
          </w:p>
        </w:tc>
        <w:tc>
          <w:tcPr>
            <w:tcW w:type="dxa" w:w="3120"/>
          </w:tcPr>
          <w:p>
            <w:r>
              <w:t>Att. 2 §Section 4</w:t>
            </w:r>
          </w:p>
        </w:tc>
        <w:tc>
          <w:tcPr>
            <w:tcW w:type="dxa" w:w="3120"/>
          </w:tcPr>
          <w:p>
            <w:r>
              <w:t>Sections 4.1 / 4.2 / Table 4.2-1 — p. [auto]</w:t>
            </w:r>
          </w:p>
        </w:tc>
      </w:tr>
      <w:tr>
        <w:tc>
          <w:tcPr>
            <w:tcW w:type="dxa" w:w="3120"/>
          </w:tcPr>
          <w:p>
            <w:r>
              <w:t>Letters of Commitment / Draft Subcontracting Agreements / Teaming Arrangements</w:t>
            </w:r>
          </w:p>
        </w:tc>
        <w:tc>
          <w:tcPr>
            <w:tcW w:type="dxa" w:w="3120"/>
          </w:tcPr>
          <w:p>
            <w:r>
              <w:t>Att. 2 §Section 4</w:t>
            </w:r>
          </w:p>
        </w:tc>
        <w:tc>
          <w:tcPr>
            <w:tcW w:type="dxa" w:w="3120"/>
          </w:tcPr>
          <w:p>
            <w:r>
              <w:t>Section 4.3 (attached separately, not counted)</w:t>
            </w:r>
          </w:p>
        </w:tc>
      </w:tr>
      <w:tr>
        <w:tc>
          <w:tcPr>
            <w:tcW w:type="dxa" w:w="3120"/>
          </w:tcPr>
          <w:p>
            <w:r>
              <w:t>Subcontracting Plan Governance (FAR 19.704, HHSAR 352.219-70, eSRS)</w:t>
            </w:r>
          </w:p>
        </w:tc>
        <w:tc>
          <w:tcPr>
            <w:tcW w:type="dxa" w:w="3120"/>
          </w:tcPr>
          <w:p>
            <w:r>
              <w:t>FAR/HHSAR</w:t>
            </w:r>
          </w:p>
        </w:tc>
        <w:tc>
          <w:tcPr>
            <w:tcW w:type="dxa" w:w="3120"/>
          </w:tcPr>
          <w:p>
            <w:r>
              <w:t>Section 4.4 — p. [auto]</w:t>
            </w:r>
          </w:p>
        </w:tc>
      </w:tr>
      <w:tr>
        <w:tc>
          <w:tcPr>
            <w:tcW w:type="dxa" w:w="3120"/>
          </w:tcPr>
          <w:p>
            <w:r>
              <w:t>Compliance — Cross-Cutting Requirements</w:t>
            </w:r>
          </w:p>
        </w:tc>
        <w:tc>
          <w:tcPr>
            <w:tcW w:type="dxa" w:w="3120"/>
          </w:tcPr>
          <w:p>
            <w:r/>
          </w:p>
        </w:tc>
        <w:tc>
          <w:tcPr>
            <w:tcW w:type="dxa" w:w="3120"/>
          </w:tcPr>
          <w:p>
            <w:r/>
          </w:p>
        </w:tc>
      </w:tr>
      <w:tr>
        <w:tc>
          <w:tcPr>
            <w:tcW w:type="dxa" w:w="3120"/>
          </w:tcPr>
          <w:p>
            <w:r>
              <w:t>Page Limits, 12-pt body, single-spacing, page X of X numbering</w:t>
            </w:r>
          </w:p>
        </w:tc>
        <w:tc>
          <w:tcPr>
            <w:tcW w:type="dxa" w:w="3120"/>
          </w:tcPr>
          <w:p>
            <w:r>
              <w:t>Att. 2 §Formatting / §Page Limits</w:t>
            </w:r>
          </w:p>
        </w:tc>
        <w:tc>
          <w:tcPr>
            <w:tcW w:type="dxa" w:w="3120"/>
          </w:tcPr>
          <w:p>
            <w:r>
              <w:t>All sections (footers) — formatting compliant</w:t>
            </w:r>
          </w:p>
        </w:tc>
      </w:tr>
      <w:tr>
        <w:tc>
          <w:tcPr>
            <w:tcW w:type="dxa" w:w="3120"/>
          </w:tcPr>
          <w:p>
            <w:r>
              <w:t>RFQ Number 75FCMC26Q0068 on every page</w:t>
            </w:r>
          </w:p>
        </w:tc>
        <w:tc>
          <w:tcPr>
            <w:tcW w:type="dxa" w:w="3120"/>
          </w:tcPr>
          <w:p>
            <w:r>
              <w:t>Att. 2 §Indexing</w:t>
            </w:r>
          </w:p>
        </w:tc>
        <w:tc>
          <w:tcPr>
            <w:tcW w:type="dxa" w:w="3120"/>
          </w:tcPr>
          <w:p>
            <w:r>
              <w:t>Cover, headers/footers</w:t>
            </w:r>
          </w:p>
        </w:tc>
      </w:tr>
      <w:tr>
        <w:tc>
          <w:tcPr>
            <w:tcW w:type="dxa" w:w="3120"/>
          </w:tcPr>
          <w:p>
            <w:r>
              <w:t>Conflict of Interest disclosure (CMS COI clause AUG 2024)</w:t>
            </w:r>
          </w:p>
        </w:tc>
        <w:tc>
          <w:tcPr>
            <w:tcW w:type="dxa" w:w="3120"/>
          </w:tcPr>
          <w:p>
            <w:r>
              <w:t>Att. 2 §Volume III; Solicitation Conflict of Interest clause</w:t>
            </w:r>
          </w:p>
        </w:tc>
        <w:tc>
          <w:tcPr>
            <w:tcW w:type="dxa" w:w="3120"/>
          </w:tcPr>
          <w:p>
            <w:r>
              <w:t>Volume III: Conflict of Interest</w:t>
            </w:r>
          </w:p>
        </w:tc>
      </w:tr>
      <w:tr>
        <w:tc>
          <w:tcPr>
            <w:tcW w:type="dxa" w:w="3120"/>
          </w:tcPr>
          <w:p>
            <w:r>
              <w:t>Section 508 Accessibility Compliance (Attachment 4 checklist)</w:t>
            </w:r>
          </w:p>
        </w:tc>
        <w:tc>
          <w:tcPr>
            <w:tcW w:type="dxa" w:w="3120"/>
          </w:tcPr>
          <w:p>
            <w:r>
              <w:t>Att. 2 §Volume IV; Section 508 of the Rehabilitation Act</w:t>
            </w:r>
          </w:p>
        </w:tc>
        <w:tc>
          <w:tcPr>
            <w:tcW w:type="dxa" w:w="3120"/>
          </w:tcPr>
          <w:p>
            <w:r>
              <w:t>Volume IV: Section 508 Compliance</w:t>
            </w:r>
          </w:p>
        </w:tc>
      </w:tr>
      <w:tr>
        <w:tc>
          <w:tcPr>
            <w:tcW w:type="dxa" w:w="3120"/>
          </w:tcPr>
          <w:p>
            <w:r>
              <w:t>FedRAMP / HHS-OCIO Information Security &amp; Privacy</w:t>
            </w:r>
          </w:p>
        </w:tc>
        <w:tc>
          <w:tcPr>
            <w:tcW w:type="dxa" w:w="3120"/>
          </w:tcPr>
          <w:p>
            <w:r>
              <w:t>SOW §6 (Security &amp; Privacy); FedRAMP; HHS IS2P; CMS IS2P2</w:t>
            </w:r>
          </w:p>
        </w:tc>
        <w:tc>
          <w:tcPr>
            <w:tcW w:type="dxa" w:w="3120"/>
          </w:tcPr>
          <w:p>
            <w:r>
              <w:t>Sections 1.2.7, 2.2; Risk Register R3, R9</w:t>
            </w:r>
          </w:p>
        </w:tc>
      </w:tr>
      <w:tr>
        <w:tc>
          <w:tcPr>
            <w:tcW w:type="dxa" w:w="3120"/>
          </w:tcPr>
          <w:p>
            <w:r>
              <w:t>Privacy Act SORN 09-70-0560 Compliance</w:t>
            </w:r>
          </w:p>
        </w:tc>
        <w:tc>
          <w:tcPr>
            <w:tcW w:type="dxa" w:w="3120"/>
          </w:tcPr>
          <w:p>
            <w:r>
              <w:t>SOW §6.2</w:t>
            </w:r>
          </w:p>
        </w:tc>
        <w:tc>
          <w:tcPr>
            <w:tcW w:type="dxa" w:w="3120"/>
          </w:tcPr>
          <w:p>
            <w:r>
              <w:t>Sections 1.2.7, 2.2; Volume III</w:t>
            </w:r>
          </w:p>
        </w:tc>
      </w:tr>
    </w:tbl>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