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rPr>
        <w:fldChar w:fldCharType="begin"/>
      </w:r>
      <w:r w:rsidRPr="00390AB5">
        <w:rPr>
          <w:rStyle w:val="CoverFSSEntityName"/>
        </w:rPr>
        <w:instrText xml:space="preserve"> FILLIN  "FSS Entity Name"  \* MERGEFORMAT </w:instrText>
      </w:r>
      <w:r w:rsidRPr="00390AB5">
        <w:rPr>
          <w:rStyle w:val="CoverFSSEntityName"/>
        </w:rPr>
        <w:fldChar w:fldCharType="separate"/>
      </w:r>
      <w:r w:rsidR="0023659D">
        <w:rPr>
          <w:rStyle w:val="CoverFSSEntityName"/>
        </w:rPr>
        <w:t>Deloitte Consulting LLP</w:t>
      </w:r>
      <w:r w:rsidRPr="00390AB5">
        <w:rPr>
          <w:rStyle w:val="CoverFSSEntityName"/>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rPr>
        <w:fldChar w:fldCharType="begin"/>
      </w:r>
      <w:r w:rsidRPr="00174AA8">
        <w:rPr>
          <w:rStyle w:val="CoverFSSEntityName"/>
        </w:rPr>
        <w:instrText xml:space="preserve"> FILLIN  "FSS Entity Name"  \* MERGEFORMAT </w:instrText>
      </w:r>
      <w:r w:rsidRPr="00174AA8">
        <w:rPr>
          <w:rStyle w:val="CoverFSSEntityName"/>
        </w:rPr>
        <w:fldChar w:fldCharType="separate"/>
      </w:r>
      <w:r w:rsidR="0023659D">
        <w:rPr>
          <w:rStyle w:val="CoverFSSEntityName"/>
        </w:rPr>
        <w:t xml:space="preserve">Deloitte Consulting LLP </w:t>
      </w:r>
      <w:r w:rsidRPr="00174AA8">
        <w:rPr>
          <w:rStyle w:val="CoverFSSEntityName"/>
        </w:rPr>
        <w:fldChar w:fldCharType="end"/>
      </w:r>
      <w:r w:rsidRPr="00174AA8">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t>Amberly Kovalick</w:t>
            </w:r>
            <w:r w:rsidR="00E779D3">
              <w:rPr/>
              <w:t xml:space="preserve">, </w:t>
            </w:r>
            <w:r w:rsidR="00E779D3" w:rsidRPr="00E779D3">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t xml:space="preserve"> Amberly.Kovalick@cms.hhs.gov.</w:t>
            </w:r>
          </w:p>
          <w:p w14:paraId="7A550B1F" w14:textId="6C73CA53" w:rsidR="00E779D3" w:rsidRDefault="00BF7FB9" w:rsidP="00037792">
            <w:pPr>
              <w:pStyle w:val="Cover2DeloitteAddress"/>
              <w:ind w:left="-105"/>
              <w:rPr>
                <w:szCs w:val="24"/>
              </w:rPr>
            </w:pPr>
            <w:r w:rsidRPr="00BF7FB9">
              <w:rPr/>
              <w:t>Megan Famodu</w:t>
            </w:r>
            <w:r>
              <w:rPr/>
              <w:t xml:space="preserve">, </w:t>
            </w:r>
            <w:r w:rsidR="00670C67" w:rsidRPr="00670C67">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t xml:space="preserve"> </w:t>
            </w:r>
            <w:r w:rsidRPr="009E4AA8">
              <w:rPr/>
              <w:t>Megan.Famodu @cms.hhs.gov</w:t>
            </w:r>
          </w:p>
          <w:p w14:paraId="01F51C04" w14:textId="77777777" w:rsidR="009260D8" w:rsidRPr="009260D8" w:rsidRDefault="009260D8" w:rsidP="009260D8">
            <w:pPr>
              <w:pStyle w:val="Cover2DeloitteAddress"/>
              <w:ind w:left="-105"/>
              <w:rPr>
                <w:szCs w:val="24"/>
              </w:rPr>
            </w:pPr>
            <w:r w:rsidRPr="009260D8">
              <w:rPr/>
              <w:t>DIV OF MEDICARE &amp; MARKETPLACE CONTRACTS,</w:t>
            </w:r>
          </w:p>
          <w:p w14:paraId="334085AB" w14:textId="77777777" w:rsidR="009260D8" w:rsidRPr="009260D8" w:rsidRDefault="009260D8" w:rsidP="009260D8">
            <w:pPr>
              <w:pStyle w:val="Cover2DeloitteAddress"/>
              <w:ind w:left="-105"/>
              <w:rPr>
                <w:szCs w:val="24"/>
              </w:rPr>
            </w:pPr>
            <w:r w:rsidRPr="009260D8">
              <w:rPr/>
              <w:t>CMS - OAGM</w:t>
            </w:r>
          </w:p>
          <w:p w14:paraId="4D54BE26" w14:textId="77777777" w:rsidR="009260D8" w:rsidRPr="009260D8" w:rsidRDefault="009260D8" w:rsidP="009260D8">
            <w:pPr>
              <w:pStyle w:val="Cover2DeloitteAddress"/>
              <w:ind w:left="-105"/>
              <w:rPr>
                <w:szCs w:val="24"/>
              </w:rPr>
            </w:pPr>
            <w:r w:rsidRPr="009260D8">
              <w:rPr/>
              <w:t>7500 SECURITY BOULEVARD, MS: B3-30-03</w:t>
            </w:r>
          </w:p>
          <w:p w14:paraId="2418D10C" w14:textId="7379D6D8" w:rsidR="00E42ECE" w:rsidRPr="00E371CA" w:rsidRDefault="009260D8" w:rsidP="006104BE">
            <w:pPr>
              <w:pStyle w:val="Cover2DeloitteAddress"/>
              <w:ind w:left="-105"/>
              <w:rPr>
                <w:szCs w:val="24"/>
              </w:rPr>
            </w:pPr>
            <w:r w:rsidRPr="009260D8">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t xml:space="preserve">Technical POC and </w:t>
            </w:r>
            <w:r w:rsidRPr="00E371CA">
              <w:rPr/>
              <w:br/>
              <w:t>Authorized Negotiator:</w:t>
            </w:r>
          </w:p>
          <w:p w14:paraId="14377F7E" w14:textId="2BFB0448" w:rsidR="00E42ECE" w:rsidRPr="00E371CA" w:rsidRDefault="0023659D" w:rsidP="00B90E6C">
            <w:pPr>
              <w:pStyle w:val="Cover2DeloitteAddress"/>
              <w:rPr>
                <w:szCs w:val="24"/>
              </w:rPr>
            </w:pPr>
            <w:r w:rsidRPr="0023659D">
              <w:rPr/>
              <w:t>Matt Siegel</w:t>
            </w:r>
            <w:r w:rsidR="00E42ECE" w:rsidRPr="00E371CA">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t xml:space="preserve">Email: </w:t>
            </w:r>
            <w:r w:rsidR="0023659D" w:rsidRPr="0023659D">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t>Contracts POC:</w:t>
            </w:r>
          </w:p>
          <w:p w14:paraId="7B90B93F" w14:textId="5D8021B0" w:rsidR="00E42ECE" w:rsidRPr="00E371CA" w:rsidRDefault="0023659D" w:rsidP="00B90E6C">
            <w:pPr>
              <w:pStyle w:val="Cover2DeloitteAddress"/>
              <w:rPr>
                <w:szCs w:val="24"/>
              </w:rPr>
            </w:pPr>
            <w:r w:rsidRPr="009C1BFC">
              <w:rPr>
                <w:noProof/>
              </w:rPr>
              <w:t>Teresa Sage</w:t>
            </w:r>
            <w:r w:rsidR="00E42ECE" w:rsidRPr="00E371CA">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t xml:space="preserve">Email: </w:t>
            </w:r>
            <w:r w:rsidR="00CA68EF" w:rsidRPr="00CA68EF">
              <w:rPr/>
              <w:t>tsage@deloitte.com</w:t>
            </w:r>
          </w:p>
          <w:p w14:paraId="11119EB1" w14:textId="76ECAD8E" w:rsidR="00E42ECE" w:rsidRPr="00E371CA" w:rsidRDefault="00E42ECE" w:rsidP="00B90E6C">
            <w:pPr>
              <w:pStyle w:val="Cover2DeloitteAddress"/>
              <w:rPr>
                <w:szCs w:val="24"/>
              </w:rPr>
            </w:pPr>
            <w:r w:rsidRPr="00E371CA">
              <w:rPr/>
              <w:t xml:space="preserve">Reference Number: </w:t>
            </w:r>
            <w:r w:rsidR="00CA68EF">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r>
        <w:t>We</w:t>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rPr>
        <w:fldChar w:fldCharType="begin"/>
      </w:r>
      <w:r w:rsidR="00C024BF">
        <w:instrText xml:space="preserve"> TOC \o "1-3" \h \z \u </w:instrText>
      </w:r>
      <w:r>
        <w:rPr>
          <w:b/>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r>
        <w:t>1</w:t>
      </w:r>
      <w:r>
        <w:t>.0</w:t>
      </w:r>
      <w:r>
        <w:tab/>
      </w:r>
      <w:r w:rsidRPr="001F29D8">
        <w:t>Section 1</w:t>
      </w:r>
      <w:r w:rsidR="0001573B">
        <w:t xml:space="preserve">: </w:t>
      </w:r>
      <w:r w:rsidRPr="001F29D8">
        <w:t>Technical Understanding and Approach</w:t>
      </w:r>
      <w:r w:rsidR="00562A40">
        <w:t xml:space="preserve"> </w:t>
      </w:r>
      <w:r w:rsidR="00562A40" w:rsidRPr="00562A40">
        <w:rPr/>
        <w:t>(</w:t>
      </w:r>
      <w:r w:rsidR="00562A40" w:rsidRPr="00562A40">
        <w:rPr/>
        <w:t xml:space="preserve">Total </w:t>
      </w:r>
      <w:r w:rsidR="00562A40" w:rsidRPr="00562A40">
        <w:rPr/>
        <w:t xml:space="preserve">40 </w:t>
      </w:r>
      <w:r w:rsidR="00562A40" w:rsidRPr="00562A40">
        <w:rPr/>
        <w:t>Pages</w:t>
      </w:r>
      <w:r w:rsidR="00562A40" w:rsidRPr="00562A40">
        <w:rPr/>
        <w:t>)</w:t>
      </w:r>
      <w:bookmarkEnd w:id="1"/>
    </w:p>
    <w:p w14:paraId="7FEF247C" w14:textId="03C5AEBF" w:rsidR="009E3656" w:rsidRDefault="009E3656" w:rsidP="009E3656">
      <w:pPr>
        <w:pStyle w:val="Heading2"/>
        <w:rPr>
          <w:color w:val="FF0000"/>
        </w:rPr>
      </w:pPr>
      <w:bookmarkStart w:id="6" w:name="_Toc227883175"/>
      <w:r>
        <w:t>1.1</w:t>
      </w:r>
      <w:r>
        <w:tab/>
      </w:r>
      <w:r w:rsidRPr="0069296D">
        <w:t>Sub-Section 1A: Understanding of CMS’ Program and Acquisition Objectives</w:t>
      </w:r>
      <w:bookmarkEnd w:id="6"/>
      <w:r w:rsidR="00C36647">
        <w:t xml:space="preserve"> </w:t>
      </w:r>
      <w:r w:rsidR="00C36647" w:rsidRPr="002548B6">
        <w:rPr/>
        <w:t>(</w:t>
      </w:r>
      <w:r w:rsidR="002548B6" w:rsidRPr="002548B6">
        <w:rPr/>
        <w:t>1 Page)</w:t>
      </w:r>
    </w:p>
    <w:p w14:paraId="11407351" w14:textId="38498F6F" w:rsidR="00A757CF" w:rsidRPr="00A757CF" w:rsidRDefault="2A470EA5" w:rsidP="04281253">
      <w:pPr>
        <w:pStyle w:val="BodyText"/>
        <w:rPr>
          <w:b/>
          <w:bCs/>
        </w:rPr>
      </w:pPr>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r>
        <w:rPr>
          <w:rStyle w:val="CommentReference"/>
        </w:rPr>
      </w:r>
      <w:r/>
      <w:r w:rsidR="0B4081CF" w:rsidRPr="04281253">
        <w:rPr>
          <w:i/>
          <w:iCs/>
        </w:rPr>
      </w:r>
      <w:r w:rsidRPr="04281253">
        <w:rPr>
          <w:rStyle w:val="CommentReference"/>
          <w:i/>
          <w:iCs/>
        </w:rPr>
      </w:r>
      <w:r w:rsidRPr="04281253">
        <w:rPr>
          <w:i/>
          <w:iCs/>
        </w:rPr>
      </w:r>
      <w:r w:rsidR="3F682EDF" w:rsidRPr="04281253">
        <w:rPr>
          <w:i/>
          <w:iCs/>
        </w:rPr>
      </w:r>
      <w:r w:rsidRPr="04281253">
        <w:rPr>
          <w:i/>
          <w:iCs/>
        </w:rPr>
      </w:r>
      <w:r w:rsidR="3F682EDF" w:rsidRPr="04281253">
        <w:rPr>
          <w:i/>
          <w:iCs/>
        </w:rPr>
      </w:r>
      <w:r w:rsidRPr="04281253">
        <w:rPr>
          <w:i/>
          <w:iCs/>
        </w:rPr>
      </w:r>
      <w:r w:rsidR="3F682EDF" w:rsidRPr="04281253">
        <w:rPr>
          <w:i/>
          <w:iCs/>
        </w:rPr>
      </w:r>
      <w:r w:rsidRPr="04281253">
        <w:rPr>
          <w:i/>
          <w:iCs/>
        </w:rPr>
      </w:r>
      <w:r w:rsidR="3F682EDF" w:rsidRPr="04281253">
        <w:rPr>
          <w:i/>
          <w:iCs/>
        </w:rPr>
      </w:r>
      <w:r w:rsidRPr="04281253">
        <w:rPr>
          <w:i/>
          <w:iCs/>
        </w:rPr>
      </w:r>
      <w:r w:rsidRPr="04281253">
        <w:rPr>
          <w:rStyle w:val="CommentReference"/>
          <w:i/>
          <w:iCs/>
        </w:rPr>
      </w:r>
      <w:r w:rsidRPr="04281253">
        <w:rPr>
          <w:i/>
          <w:iCs/>
        </w:rPr>
      </w:r>
      <w:r w:rsidR="3F682EDF" w:rsidRPr="04281253">
        <w:rPr>
          <w:i/>
          <w:iCs/>
        </w:rPr>
      </w:r>
      <w:r w:rsidRPr="04281253">
        <w:rPr>
          <w:i/>
          <w:iCs/>
        </w:rPr>
      </w:r>
      <w:r w:rsidR="3F682EDF" w:rsidRPr="04281253">
        <w:rPr>
          <w:i/>
          <w:iCs/>
        </w:rPr>
      </w:r>
      <w:r w:rsidRPr="04281253">
        <w:rPr>
          <w:i/>
          <w:iCs/>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t>Objective</w:t>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r w:rsidRPr="005C2E45">
              <w:t xml:space="preserve">Uncompromising </w:t>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r w:rsidRPr="00122D2C">
        <w:t>Sub-Section 1B: Approach to Performing the Requirements in the SOW</w:t>
      </w:r>
      <w:r>
        <w:t xml:space="preserve"> </w:t>
      </w:r>
      <w:r w:rsidRPr="00806273">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t>(2 Pages)</w:t>
      </w:r>
    </w:p>
    <w:p w14:paraId="6C481F9C" w14:textId="6819A729" w:rsidR="00DE030B" w:rsidRPr="00DE030B" w:rsidRDefault="00DE030B" w:rsidP="00DE030B">
      <w:pPr>
        <w:pStyle w:val="BodyText"/>
      </w:pPr>
      <w:r>
        <w:t>Deloitte’s</w:t>
      </w:r>
      <w:r>
        <w:t xml:space="preserve"> operating philosophy </w:t>
      </w:r>
      <w:r>
        <w:t xml:space="preserve">follows </w:t>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rPr>
        <w:t xml:space="preserve">Program integrity is not a compliance layer in this operating model. It is a design principle embedded in every task from Day 1. </w:t>
      </w:r>
      <w:r w:rsidRPr="00B12833">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r w:rsidRPr="009B3945">
        <w:rPr>
          <w:rStyle w:val="CharacterBold"/>
        </w:rPr>
        <w:t>Transition-In Approach</w:t>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r>
        <w:t>TruNorth</w:t>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rPr>
        <w:t xml:space="preserve">Deloitte has </w:t>
      </w:r>
      <w:r w:rsidRPr="00AD5A82">
        <w:rPr>
          <w:i/>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b/>
          <w:rPrChange w:id="27" w:author="El-Mously, Salma" w:date="2026-04-27T08:25:00Z" w16du:dateUtc="2026-04-27T12:25:00Z">
            <w:rPr>
              <w:rStyle w:val="CharacterBold"/>
            </w:rPr>
          </w:rPrChange>
        </w:rPr>
        <w:t>automated rule library</w:t>
      </w:r>
      <w:r w:rsidRPr="003C4247">
        <w:rPr>
          <w:rPrChange w:id="28" w:author="El-Mously, Salma" w:date="2026-04-27T08:25:00Z" w16du:dateUtc="2026-04-27T12:25:00Z">
            <w:rPr/>
          </w:rPrChange>
        </w:rPr>
        <w:t xml:space="preserve"> from Day 1 at the </w:t>
      </w:r>
      <w:r w:rsidRPr="003C4247">
        <w:rPr>
          <w:b/>
          <w:rPrChange w:id="29" w:author="El-Mously, Salma" w:date="2026-04-27T08:25:00Z" w16du:dateUtc="2026-04-27T12:25:00Z">
            <w:rPr>
              <w:rStyle w:val="CharacterBold"/>
            </w:rPr>
          </w:rPrChange>
        </w:rPr>
        <w:t>performance baseline</w:t>
      </w:r>
      <w:r w:rsidRPr="003C4247">
        <w:rPr>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t>timely so disputes are resolved within the specified time</w:t>
      </w:r>
      <w:r w:rsidRPr="009D3190">
        <w:rPr/>
        <w:t>.</w:t>
      </w:r>
    </w:p>
    <w:p w14:paraId="2171BD5B" w14:textId="77777777" w:rsidR="005A568A" w:rsidRDefault="005A568A" w:rsidP="005A568A">
      <w:pPr>
        <w:spacing w:after="120"/>
      </w:pPr>
    </w:p>
    <w:p w14:paraId="237A211B" w14:textId="77777777" w:rsidR="005A568A" w:rsidRDefault="005A568A" w:rsidP="005A568A">
      <w:pPr>
        <w:spacing w:after="120"/>
      </w:pPr>
      <w:r>
        <w:rPr>
          <w:noProof/>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t xml:space="preserve">, </w:t>
      </w:r>
      <w:r w:rsidRPr="009D3190">
        <w:rPr/>
        <w:t xml:space="preserve">so CMS </w:t>
      </w:r>
      <w:r w:rsidR="003C4DFA" w:rsidRPr="009D3190">
        <w:rPr/>
        <w:t xml:space="preserve">can remain confident that dispute patterns are </w:t>
      </w:r>
      <w:r w:rsidR="00863FB0" w:rsidRPr="009D3190">
        <w:rPr/>
        <w:t>being addressed methodically</w:t>
      </w:r>
      <w:r w:rsidRPr="009D3190">
        <w:rPr/>
        <w:t>.</w:t>
      </w:r>
      <w:r w:rsidR="00792BD2" w:rsidRPr="009D3190">
        <w:rPr/>
        <w:t xml:space="preserve"> </w:t>
      </w:r>
      <w:r w:rsidR="008C5842" w:rsidRPr="009D3190">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t>When QA surfaces an inconsistency, the finding becomes a</w:t>
      </w:r>
      <w:r w:rsidRPr="009D3190">
        <w:rPr/>
        <w:t xml:space="preserve"> training </w:t>
      </w:r>
      <w:r w:rsidR="00E4649D" w:rsidRPr="009D3190">
        <w:rPr/>
        <w:t>scenario</w:t>
      </w:r>
      <w:r w:rsidRPr="009D3190">
        <w:rPr/>
        <w:t xml:space="preserve"> and </w:t>
      </w:r>
      <w:r w:rsidR="00E4649D" w:rsidRPr="009D3190">
        <w:rPr/>
        <w:t xml:space="preserve">an </w:t>
      </w:r>
      <w:r w:rsidRPr="009D3190">
        <w:rPr/>
        <w:t xml:space="preserve">SOP </w:t>
      </w:r>
      <w:r w:rsidR="00E4649D" w:rsidRPr="009D3190">
        <w:rPr/>
        <w:t>update</w:t>
      </w:r>
      <w:r w:rsidRPr="003C4247">
        <w:rPr>
          <w:rPrChange w:id="36" w:author="El-Mously, Salma" w:date="2026-04-27T08:25:00Z" w16du:dateUtc="2026-04-27T12:25:00Z">
            <w:rPr/>
          </w:rPrChange>
        </w:rPr>
        <w:t xml:space="preserve">. </w:t>
      </w:r>
      <w:r w:rsidRPr="009D3190">
        <w:rPr/>
        <w:t xml:space="preserve">Technical assistance calls with issuers (3–4 per month) </w:t>
      </w:r>
      <w:r w:rsidR="00AA50C0" w:rsidRPr="009D3190">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b/>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bCs/>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bCs/>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t xml:space="preserve">(2 </w:t>
      </w:r>
      <w:r w:rsidRPr="00806273">
        <w:rPr/>
        <w:t>Pages</w:t>
      </w:r>
      <w:r w:rsidRPr="00806273">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t xml:space="preserve">Deloitte will operate the Form 1095-A consumer dispute function as a three-lane resolution operation from Day 1, building on the shared transition-in approach. </w:t>
      </w:r>
      <w:r w:rsidR="00685F32">
        <w:rPr/>
        <w:t xml:space="preserve">Our approach is organized across four dimensions; </w:t>
      </w:r>
      <w:r w:rsidR="00B560B1">
        <w:rPr/>
        <w:t>Steady-state case resolutio</w:t>
      </w:r>
      <w:r w:rsidR="00B52075">
        <w:rPr/>
        <w:t xml:space="preserve">n, tax season surge readiness, </w:t>
      </w:r>
      <w:r w:rsidR="001A2BBE">
        <w:rPr/>
        <w:t>trend identification</w:t>
      </w:r>
      <w:r>
        <w:rPr/>
        <w:t xml:space="preserve"> and </w:t>
      </w:r>
      <w:r w:rsidR="001A2BBE">
        <w:rPr/>
        <w:t>process</w:t>
      </w:r>
      <w:r>
        <w:rPr/>
        <w:t xml:space="preserve"> improvement, and </w:t>
      </w:r>
      <w:r w:rsidR="001A2BBE">
        <w:rPr/>
        <w:t>Quality assurance.</w:t>
      </w:r>
      <w:r w:rsidR="001A2BBE" w:rsidRPr="00C957A5" w:rsidDel="008E261F">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t>Mailing Address Update (</w:t>
            </w:r>
            <w:r w:rsidR="00230747" w:rsidRPr="00802C4A">
              <w:rPr/>
              <w:t>MAU</w:t>
            </w:r>
            <w:r>
              <w:rPr/>
              <w:t>)</w:t>
            </w:r>
            <w:r w:rsidR="00230747" w:rsidRPr="00802C4A">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t>Failed automations move to same-day fallout triage</w:t>
            </w:r>
          </w:p>
          <w:p w14:paraId="0ED205A4" w14:textId="77777777" w:rsidR="00C8174E" w:rsidRPr="00802C4A" w:rsidRDefault="00C8174E" w:rsidP="00C8174E">
            <w:pPr>
              <w:pStyle w:val="BodyText"/>
              <w:rPr>
                <w:sz w:val="20"/>
                <w:szCs w:val="20"/>
              </w:rPr>
            </w:pPr>
            <w:r w:rsidRPr="00802C4A">
              <w:rPr/>
              <w:t>Fallout reviewed weekly to refine rules and reduce manual touch</w:t>
            </w:r>
          </w:p>
          <w:p w14:paraId="0C0C1693" w14:textId="77777777" w:rsidR="005E38D9" w:rsidRPr="00802C4A" w:rsidRDefault="005E38D9" w:rsidP="005E38D9">
            <w:pPr>
              <w:pStyle w:val="BodyText"/>
              <w:rPr>
                <w:sz w:val="20"/>
                <w:szCs w:val="20"/>
              </w:rPr>
            </w:pPr>
            <w:r w:rsidRPr="00802C4A">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t>SEP MAU cases handled in a separate tracked workflow</w:t>
            </w:r>
          </w:p>
          <w:p w14:paraId="2EB08627" w14:textId="77777777" w:rsidR="00B214AF" w:rsidRPr="00802C4A" w:rsidRDefault="00B214AF" w:rsidP="00B214AF">
            <w:pPr>
              <w:pStyle w:val="BodyText"/>
              <w:rPr>
                <w:sz w:val="20"/>
                <w:szCs w:val="20"/>
              </w:rPr>
            </w:pPr>
            <w:r w:rsidRPr="00802C4A">
              <w:rPr/>
              <w:t>Live outbound call first; written correspondence as needed</w:t>
            </w:r>
          </w:p>
          <w:p w14:paraId="45174BB4" w14:textId="77777777" w:rsidR="00B214AF" w:rsidRPr="00802C4A" w:rsidRDefault="00B214AF" w:rsidP="00B214AF">
            <w:pPr>
              <w:pStyle w:val="BodyText"/>
              <w:rPr>
                <w:sz w:val="20"/>
                <w:szCs w:val="20"/>
              </w:rPr>
            </w:pPr>
            <w:r w:rsidRPr="00802C4A">
              <w:rPr/>
              <w:t>Aging alerts flag at-risk cases for supervisor action</w:t>
            </w:r>
          </w:p>
          <w:p w14:paraId="2BCE705A" w14:textId="54AADD42" w:rsidR="00C957A5" w:rsidRPr="00802C4A" w:rsidRDefault="00B214AF" w:rsidP="00C957A5">
            <w:pPr>
              <w:pStyle w:val="BodyText"/>
              <w:rPr>
                <w:sz w:val="20"/>
                <w:szCs w:val="20"/>
              </w:rPr>
            </w:pPr>
            <w:r w:rsidRPr="00802C4A">
              <w:rPr/>
              <w:t xml:space="preserve">Resolved after consumer notification and change </w:t>
            </w:r>
            <w:r w:rsidR="00C957A5" w:rsidRPr="00802C4A">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t>Resolved after consumer notification and change queued</w:t>
            </w:r>
          </w:p>
          <w:p w14:paraId="7F0F14D3" w14:textId="1A6BFA35" w:rsidR="00C957A5" w:rsidRPr="00802C4A" w:rsidRDefault="00431364" w:rsidP="00C957A5">
            <w:pPr>
              <w:pStyle w:val="BodyText"/>
              <w:rPr>
                <w:sz w:val="20"/>
                <w:szCs w:val="20"/>
              </w:rPr>
            </w:pP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r w:rsidRPr="002B3F7E">
              <w:rPr/>
              <w:t>Deploy AI-assisted HICS text analysis, with CMS approva</w:t>
            </w:r>
            <w:r>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t>Help CMS detect emerging dispute trends faster than manual review alone</w:t>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t>(</w:t>
      </w:r>
      <w:r w:rsidR="00806273">
        <w:rPr/>
        <w:t>0</w:t>
      </w:r>
      <w:r w:rsidR="00806273" w:rsidRPr="00806273">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r w:rsidRPr="00627BD5">
        <w:t>is</w:t>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t>(</w:t>
      </w:r>
      <w:r w:rsidR="00806273">
        <w:rPr/>
        <w:t>0</w:t>
      </w:r>
      <w:r w:rsidR="00806273" w:rsidRPr="00806273">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t>(2 Pages)</w:t>
      </w:r>
    </w:p>
    <w:p w14:paraId="0FCD52AE" w14:textId="09F37755" w:rsidR="001B024F" w:rsidRPr="00AF4AB8" w:rsidRDefault="1140EB1A" w:rsidP="005D763D">
      <w:pPr>
        <w:pStyle w:val="Subheading1"/>
      </w:pPr>
      <w:r w:rsidRPr="00AF4AB8">
        <w:t>Our Understanding</w:t>
      </w:r>
      <w:r w:rsidR="0006071A" w:rsidRPr="00AF4AB8"/>
      <w:r w:rsidR="00304F34" w:rsidRPr="00AF4AB8"/>
      <w:r w:rsidR="002440D5" w:rsidRPr="00AF4AB8"/>
      <w:r w:rsidR="00304F34" w:rsidRPr="00AF4AB8"/>
    </w:p>
    <w:p w14:paraId="31153E0E" w14:textId="5A66DADE" w:rsidR="00C14ED2" w:rsidRPr="00DD6CAA" w:rsidRDefault="008B3B3A" w:rsidP="005D763D">
      <w:pPr>
        <w:pStyle w:val="BodyText"/>
      </w:pPr>
      <w:r w:rsidRPr="005D763D">
        <w:rPr>
          <w:rStyle w:val="CharacterBold"/>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r w:rsidR="001B024F" w:rsidRPr="005D763D">
        <w:rPr>
          <w:rStyle w:val="CharacterBold"/>
        </w:rPr>
      </w:r>
      <w:r w:rsidR="001B024F" w:rsidRPr="00DD6CAA"/>
      <w:r w:rsidR="00E02C30" w:rsidRPr="00DD6CAA"/>
      <w:r w:rsidR="00C14ED2" w:rsidRPr="00DD6CAA"/>
      <w:r w:rsidR="00627892" w:rsidRPr="00DD6CAA"/>
      <w:r w:rsidR="00C1424F" w:rsidRPr="00DD6CAA"/>
      <w:r w:rsidR="00C14ED2" w:rsidRPr="00DD6CAA"/>
    </w:p>
    <w:p w14:paraId="7930D89C" w14:textId="3AF0EA5E" w:rsidR="001B024F" w:rsidRPr="001B024F" w:rsidRDefault="008B3B3A" w:rsidP="005D763D">
      <w:pPr>
        <w:pStyle w:val="Subheading1"/>
      </w:pPr>
      <w:r w:rsidRPr="005D763D">
        <w:rPr>
          <w:rStyle w:val="CharacterBold"/>
        </w:rPr>
        <w:t>Our Approach</w:t>
      </w:r>
      <w:r w:rsidR="001B024F" w:rsidRPr="005D763D">
        <w:rPr>
          <w:rStyle w:val="CharacterBold"/>
        </w:rPr>
      </w:r>
      <w:r w:rsidR="00667EB1" w:rsidRPr="005D763D">
        <w:rPr>
          <w:rStyle w:val="CharacterBold"/>
        </w:rPr>
      </w:r>
      <w:r w:rsidR="001B024F" w:rsidRPr="005D763D">
        <w:rPr>
          <w:rStyle w:val="CharacterBold"/>
        </w:rPr>
      </w:r>
      <w:r w:rsidR="001B024F" w:rsidRPr="001B024F"/>
      <w:r w:rsidR="00F72E63"/>
      <w:r w:rsidR="00F72E63" w:rsidRPr="00F72E63"/>
      <w:r w:rsidR="001B024F" w:rsidRPr="001B024F"/>
      <w:r w:rsidR="0089511F" w:rsidRPr="0089511F"/>
      <w:r w:rsidR="00F72E63" w:rsidRPr="00F72E63"/>
      <w:r w:rsidR="0089511F" w:rsidRPr="0089511F"/>
    </w:p>
    <w:p w14:paraId="7C5EC0D7" w14:textId="77777777" w:rsidR="00DB56E8" w:rsidRPr="00DB56E8" w:rsidRDefault="008B3B3A" w:rsidP="005D763D">
      <w:pPr>
        <w:pStyle w:val="BodyText"/>
      </w:pPr>
      <w:r w:rsidRPr="005D763D">
        <w:rPr>
          <w:rStyle w:val="CharacterBold"/>
        </w:rPr>
        <w:t>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Issuer-support lane: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r w:rsidR="001B024F" w:rsidRPr="005D763D">
        <w:rPr>
          <w:rStyle w:val="CharacterBold"/>
        </w:rPr>
      </w:r>
      <w:r w:rsidR="001B024F" w:rsidRPr="001B024F"/>
      <w:r w:rsidR="00DB56E8" w:rsidRPr="00DB56E8"/>
    </w:p>
    <w:p w14:paraId="17198048" w14:textId="5A19057E" w:rsidR="00EE51A7" w:rsidRPr="00EE51A7" w:rsidRDefault="001B024F" w:rsidP="005D763D">
      <w:pPr>
        <w:pStyle w:val="BodyText"/>
      </w:pPr>
      <w:r w:rsidRPr="005D763D">
        <w:rPr>
          <w:rStyle w:val="CharacterBold"/>
        </w:rPr>
        <w:t>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oversight; no automated decision affects case outcome without agent confirmation.</w:t>
      </w:r>
      <w:r w:rsidR="00B348BC" w:rsidRPr="005D763D">
        <w:rPr>
          <w:rStyle w:val="CharacterBold"/>
        </w:rPr>
      </w:r>
      <w:r w:rsidR="00EE51A7">
        <w:rPr>
          <w:b/>
          <w:bCs/>
        </w:rPr>
      </w:r>
      <w:r w:rsidR="00AC1FEA" w:rsidRPr="00AC1FEA"/>
      <w:r w:rsidR="00144A2F"/>
      <w:r w:rsidR="00EE51A7" w:rsidRPr="00EE51A7"/>
      <w:r w:rsidR="00AC1FEA" w:rsidRPr="00AC1FEA"/>
      <w:r w:rsidR="00EE51A7" w:rsidRPr="00EE51A7"/>
    </w:p>
    <w:p w14:paraId="2992D527" w14:textId="5B72ABAA" w:rsidR="001B024F" w:rsidRPr="00181397" w:rsidRDefault="00181397" w:rsidP="005D763D">
      <w:pPr>
        <w:pStyle w:val="BodyText"/>
      </w:pPr>
      <w:r w:rsidRPr="005D763D">
        <w:rPr>
          <w:rStyle w:val="CharacterBold"/>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r w:rsidRPr="00181397">
        <w:rPr>
          <w:b/>
          <w:bCs/>
        </w:rPr>
      </w:r>
      <w:r w:rsidRPr="00181397"/>
      <w:r w:rsidR="001B024F" w:rsidRPr="00181397"/>
    </w:p>
    <w:p w14:paraId="0107FB7C" w14:textId="2A4C8E4B" w:rsidR="001B024F" w:rsidRPr="001B024F" w:rsidRDefault="001B024F" w:rsidP="005D763D">
      <w:pPr>
        <w:pStyle w:val="Subheading1"/>
      </w:pPr>
      <w:r w:rsidRPr="005D763D">
        <w:rPr>
          <w:rStyle w:val="CharacterBold"/>
        </w:rPr>
        <w:t>Proof Points</w:t>
      </w:r>
      <w:r w:rsidRPr="001B024F"/>
      <w:r w:rsidR="00D23922" w:rsidRPr="00825C68"/>
      <w:r w:rsidR="00E9069C" w:rsidRPr="00825C68"/>
    </w:p>
    <w:p w14:paraId="2A476E02" w14:textId="1D546518" w:rsidR="001B024F" w:rsidRPr="001B024F" w:rsidRDefault="001B024F" w:rsidP="005D763D">
      <w:pPr>
        <w:pStyle w:val="Bulletlevel1"/>
      </w:pPr>
      <w:r w:rsidRPr="005D763D">
        <w:rPr>
          <w:rStyle w:val="CharacterBold"/>
        </w:rPr>
        <w:t>Covered California Health Insurance Exchange Contact Center. Deloitte stood up Amazon Connect in approximately 40 hours during annual Open Enrollment when contact volume peaks near 300,000 contacts per month. Deloitte provided project management, engineering, testing, training, and hypercare;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r w:rsidRPr="001B024F"/>
      <w:r w:rsidR="001C478E" w:rsidRPr="00825C68"/>
      <w:r w:rsidR="00B80B34" w:rsidRPr="00825C68"/>
      <w:r w:rsidR="00E9069C" w:rsidRPr="00825C68"/>
    </w:p>
    <w:p w14:paraId="162DF907" w14:textId="17FE3C3B" w:rsidR="00A95AB5" w:rsidRPr="00A95AB5" w:rsidRDefault="001B024F" w:rsidP="005D763D">
      <w:pPr>
        <w:pStyle w:val="Bulletlevel1"/>
      </w:pPr>
      <w:r w:rsidRPr="005D763D">
        <w:rPr>
          <w:rStyle w:val="CharacterBold"/>
        </w:rPr>
        <w:t>FinCEN Beneficial Ownership Contact Center. Deloitte stood up and operates a federal compliance-oriented contact center on Salesforce Government Cloud Plus, Amazon Connect, and AWS Lex in a FedRAMP High environment. The team eliminated a 5,000-case backlog within three months, closed 350,000+ cases, conducted 23,000+ outbound calls, and audited 11,000+ cases at an average QA score of 96% — directly relevant to Deloitte's ability to operate federal case-management operations with disciplined QA, dashboard-driven performance management, and outbound resolution as a Task 7 lever.</w:t>
      </w:r>
      <w:r w:rsidR="00EE51A7" w:rsidRPr="005D763D">
        <w:rPr>
          <w:rStyle w:val="CharacterBold"/>
        </w:rPr>
      </w:r>
      <w:r w:rsidRPr="005D763D">
        <w:rPr>
          <w:rStyle w:val="CharacterBold"/>
        </w:rPr>
      </w:r>
      <w:r w:rsidRPr="001B024F"/>
      <w:r w:rsidR="0036309D" w:rsidRPr="00825C68"/>
      <w:r w:rsidR="0079356F" w:rsidRPr="00825C68"/>
      <w:r w:rsidR="0036309D" w:rsidRPr="00825C68"/>
      <w:r w:rsidR="003C5484" w:rsidRPr="00825C68"/>
      <w:r w:rsidR="0036309D" w:rsidRPr="00825C68"/>
      <w:r w:rsidR="00630A7B" w:rsidRPr="00825C68"/>
      <w:r w:rsidR="0036309D" w:rsidRPr="00825C68"/>
      <w:r w:rsidR="00A95AB5" w:rsidRPr="00825C68"/>
      <w:r w:rsidR="00A95AB5" w:rsidRPr="00A95AB5"/>
    </w:p>
    <w:p w14:paraId="411082ED" w14:textId="2D2E6281" w:rsidR="009702F9" w:rsidRPr="005D763D" w:rsidRDefault="009942F7" w:rsidP="005D763D">
      <w:pPr>
        <w:pStyle w:val="Bulletlevel1"/>
      </w:pPr>
      <w:r w:rsidRPr="005D763D">
        <w:rPr>
          <w:rStyle w:val="CharacterBold"/>
        </w:rPr>
        <w:t>U.S. Navy MyNavy Career Center (MNCC). Deloitte redesigned and operates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r w:rsidR="009702F9" w:rsidRPr="005D763D">
        <w:rPr>
          <w:rStyle w:val="CharacterBold"/>
        </w:rPr>
      </w:r>
      <w:r w:rsidR="009702F9" w:rsidRPr="005D763D"/>
      <w:r w:rsidR="00F20F18" w:rsidRPr="005D763D"/>
      <w:r w:rsidR="009702F9" w:rsidRPr="005D763D"/>
      <w:r w:rsidR="002931EE" w:rsidRPr="005D763D"/>
      <w:r w:rsidR="009702F9" w:rsidRPr="005D763D"/>
      <w:r w:rsidR="00F06EA5" w:rsidRPr="005D763D"/>
      <w:r w:rsidR="009702F9" w:rsidRPr="005D763D"/>
      <w:r w:rsidR="0036309D" w:rsidRPr="005D763D"/>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r w:rsidR="00420545">
        <w:rPr>
          <w:noProof/>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t>1</w:t>
      </w:r>
      <w:r w:rsidR="00FC0D65">
        <w:rPr/>
        <w:t>.2.7.1</w:t>
      </w:r>
      <w:r w:rsidR="00FC0D65">
        <w:rPr/>
        <w:tab/>
      </w:r>
      <w:r w:rsidRPr="00C6190E">
        <w:rPr/>
        <w:t>CERRS</w:t>
      </w:r>
      <w:r w:rsidRPr="00C6190E">
        <w:rPr>
          <w:b/>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b/>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b/>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Pr>
        <w:t xml:space="preserve">Proof </w:t>
      </w:r>
      <w:r w:rsidRPr="00625471">
        <w:rPr>
          <w:rStyle w:val="eop"/>
        </w:rPr>
        <w:t>Points</w:t>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Pr>
        <w:t>CMS maintains an active SOP library — eight SOPs in the SOW Appendix C sample list (1095-A Consumer Disputes; CCHC Casework; ER&amp;R Batch Update Utility; ER&amp;R Business Rule Development; ER&amp;R Support Center; Issuer Enrollment &amp; Payment Dispute; Issuer Outreach; Unmatched I Records) — and a corresponding User Guide and Job Aid library (Appendix D, including 25+ named documents covering CCHC, CERRS, BUU coaching, DMI handling, language access, telephony, and consumer outreach scripting). Task 9 is the operating discipline that keeps every one of those documents current, propagates changes through training within the same cycle the change is introduced, and translates QA findings into measurable performance improvement. Three deliverables anchor the cycle: the Quality Assurance Plan delivered within 45 days of the start of the base period; the monthly Quality Assurance Report, Monthly Performance Report, and Business Process Improvement Report; and the SOP / User Guide / Job Aid updates submitted on the SOW-required monthly and quarterly cadences (with COR approval before any operational deployment).</w:t>
      </w:r>
      <w:r w:rsidRPr="00E13EB4">
        <w:rPr/>
      </w:r>
      <w:r>
        <w:rPr/>
      </w:r>
      <w:r w:rsidRPr="00E13EB4">
        <w:rPr/>
      </w:r>
      <w:r>
        <w:rPr/>
      </w:r>
      <w:r>
        <w:rPr>
          <w:rStyle w:val="eop"/>
        </w:rPr>
      </w:r>
      <w:r w:rsidRPr="00B03C22">
        <w:rPr>
          <w:rStyle w:val="eop"/>
        </w:rPr>
      </w:r>
      <w:r>
        <w:rPr>
          <w:rStyle w:val="eop"/>
        </w:rPr>
      </w:r>
      <w:r w:rsidRPr="00B03C22">
        <w:rPr>
          <w:rStyle w:val="eop"/>
        </w:rPr>
      </w:r>
      <w:r>
        <w:rPr>
          <w:rStyle w:val="eop"/>
        </w:rPr>
      </w:r>
      <w:r w:rsidRPr="00E13EB4">
        <w:rPr/>
      </w:r>
      <w:r>
        <w:rPr/>
      </w:r>
      <w:r w:rsidRPr="00E13EB4">
        <w:rPr/>
      </w:r>
      <w:r>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 will operate Task 9 through a single integrated quality and analytics governance model. The model has four operating commitments. First, governed documentation lifecycle: every SOP, user guide, and job aid has a defined change trigger (regulatory update, system release, recurring QA finding, COR direction), an impact assessment that identifies affected workflows and personnel, a structured drafting and review workflow with named SME and operational reviewers, version control with full edit history, and COR approval before deployment. Second, KPI and OKR alignment: KPIs are derived from the SOW §3.9 data elements (a) through (p) — entity submissions, enrollee data accuracy, reason codes, effective dates, terminations, cancellations, plan-level accuracy, APTC/CSR validations, ASC X12N 834/820 reconciliation, error reports, error correction, error reporting, trending analysis, source/content of common inquiries, vulnerability identification, and additional CMS-identified elements — and refined with CMS at the business process improvement kick-off. OKRs cascade those KPIs to operational targets owned by named team leads.</w:t>
      </w:r>
      <w:r w:rsidR="003442AD"/>
    </w:p>
    <w:p w14:paraId="54F3AF99" w14:textId="1B5F3479" w:rsidR="00C37302" w:rsidRDefault="0020358F" w:rsidP="003442AD">
      <w:pPr>
        <w:pStyle w:val="BodyText"/>
      </w:pPr>
      <w:r w:rsidRPr="001403F4">
        <w:t>Third, closed-loop continuous improvement: QA findings, defect trends, and stakeholder feedback flow into a single quality backlog managed in JIRA. Each item is triaged for root cause, assigned an owner, given a target closure date, and tracked through resolution with the corrective action documented. Recurring patterns trigger SOP updates, training refreshes, or system change requests rather than repeated remediation of the same defect. Fourth, decision-useful reporting: each of the three monthly reports closes with specific recommended CMS actions — proposed SOP changes, proposed business rule modifications, proposed system enhancements, or proposed coordination changes with other contractors — backed by the data that supports them. The methods, processes, and tools applied to each Task 9 deliverable are summarized in Table 1.2.8-1.</w:t>
      </w:r>
      <w:r w:rsidRPr="001403F4">
        <w:rPr>
          <w:b/>
        </w:rPr>
      </w:r>
      <w:r w:rsidRPr="001403F4">
        <w:rPr/>
      </w:r>
      <w:r w:rsidRPr="001403F4">
        <w:rPr>
          <w:b/>
        </w:rPr>
      </w:r>
      <w:r w:rsidRPr="001403F4">
        <w:rPr/>
      </w:r>
      <w:r>
        <w:rPr/>
      </w:r>
      <w:r w:rsidRPr="001403F4">
        <w:rPr/>
      </w:r>
      <w:r>
        <w:rPr/>
      </w:r>
      <w:r w:rsidRPr="001403F4">
        <w:rPr/>
      </w:r>
      <w:r>
        <w:rPr/>
      </w:r>
      <w:r w:rsidRPr="001403F4">
        <w:rPr/>
      </w:r>
      <w:r>
        <w:rPr/>
      </w:r>
      <w:r w:rsidRPr="001403F4">
        <w:rPr/>
      </w:r>
      <w:r>
        <w:rPr/>
      </w:r>
      <w:r w:rsidRPr="001403F4">
        <w:rPr/>
      </w:r>
      <w:r>
        <w:rPr/>
      </w:r>
      <w:r w:rsidR="00D86B3C">
        <w:rPr/>
      </w:r>
      <w:r w:rsidR="00D86B3C" w:rsidRPr="006A33B8">
        <w:rPr/>
      </w:r>
      <w:r>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lastRenderedPageBreak/>
              <w:t>2</w:t>
            </w:r>
            <w:r>
              <w:rPr>
                <w:rStyle w:val="eop"/>
              </w:rPr>
              <w:tab/>
              <w:t xml:space="preserve">Request feedback on SOP design, recent policy </w:t>
            </w:r>
            <w:r>
              <w:rPr>
                <w:rStyle w:val="eop"/>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Pr>
              <w:t>4</w:t>
            </w:r>
            <w:r>
              <w:rPr>
                <w:rStyle w:val="eop"/>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Pr>
              <w:t>5</w:t>
            </w:r>
            <w:r>
              <w:rPr>
                <w:rStyle w:val="eop"/>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The reporting cadence converts day-to-day execution into program intelligence rather than backward-looking metrics. The Quality Assurance Report monitors AQL conformance, sample-based defect rates, escalation patterns, and corrective action status. The Monthly Performance Report tracks every SOW SLA and AQL against the Performance Measurement Plan, with deviations flagged and corrective action plans attached. The Business Process Improvement Report identifies opportunities for SOP simplification, automation, training improvement, and cross-task coordination. The structure and outputs of these reports are summarized in Table 1.2.8-2.</w:t>
      </w:r>
      <w:r w:rsidRPr="001403F4">
        <w:rPr/>
      </w:r>
      <w:r>
        <w:rPr/>
      </w:r>
      <w:r w:rsidRPr="001403F4">
        <w:rPr/>
      </w:r>
      <w:r>
        <w:rPr/>
      </w:r>
      <w:r w:rsidRPr="001403F4">
        <w:rPr/>
      </w:r>
      <w:r w:rsidRPr="00C0682D">
        <w:rPr/>
      </w:r>
      <w:r>
        <w:rPr/>
      </w:r>
      <w:r w:rsidRPr="001403F4">
        <w:rPr/>
      </w:r>
      <w:r w:rsidRPr="00A66999">
        <w:rPr/>
      </w:r>
      <w:r>
        <w:rPr/>
      </w:r>
      <w:r w:rsidR="00D86B3C">
        <w:rPr/>
      </w:r>
      <w:r w:rsidR="00D86B3C" w:rsidRPr="00D86B3C">
        <w:rPr>
          <w:rPrChange w:id="75" w:author="Nunes, Nina-Marie" w:date="2026-04-27T08:25:00Z" w16du:dateUtc="2026-04-27T12:25:00Z">
            <w:rPr>
              <w:color w:val="C00000"/>
            </w:rPr>
          </w:rPrChange>
        </w:rPr>
      </w:r>
      <w:r w:rsidRPr="00D86B3C">
        <w:rPr>
          <w:rPrChange w:id="76" w:author="Nunes, Nina-Marie" w:date="2026-04-27T08:25:00Z" w16du:dateUtc="2026-04-27T12:25:00Z">
            <w:rPr>
              <w:color w:val="C00000"/>
            </w:rPr>
          </w:rPrChange>
        </w:rPr>
      </w:r>
      <w:r>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1</w:t>
            </w:r>
            <w:r>
              <w:rPr>
                <w:rStyle w:val="eop"/>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2</w:t>
            </w:r>
            <w:r>
              <w:rPr>
                <w:rStyle w:val="eop"/>
              </w:rPr>
              <w:tab/>
              <w:t xml:space="preserve">Produce reports </w:t>
            </w:r>
            <w:r w:rsidRPr="00C06B65">
              <w:rPr>
                <w:rStyle w:val="eop"/>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Pr>
              <w:t>3</w:t>
            </w:r>
            <w:r>
              <w:rPr>
                <w:rStyle w:val="eop"/>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The most material risk under Task 9 is documentation drift in a dynamic ER&amp;R environment where policy, system, and operational changes are continuous. Left unaddressed, drift produces inconsistent execution, preventable errors, and audit findings. Deloitte mitigates drift through structured change triggers tied to the Federal Register, REGTAP, JIRA system change events, and recurring QA findings; SOP and job aid checkpoint reviews on a published quarterly schedule plus ad hoc review on any substantive change; version control with edit attribution; COR approval tracked against committed turnaround windows; and end-to-end traceability from each business or regulatory change to the corresponding documentation update.</w:t>
      </w:r>
      <w:r>
        <w:rPr/>
      </w:r>
      <w:r w:rsidRPr="00BB1E9A">
        <w:rPr/>
      </w:r>
      <w:r w:rsidRPr="00BB1E9A">
        <w:rPr/>
      </w:r>
      <w:r>
        <w:rPr/>
      </w:r>
      <w:r w:rsidRPr="00BB1E9A">
        <w:rPr/>
      </w:r>
    </w:p>
    <w:p w14:paraId="6D38752A" w14:textId="77777777" w:rsidR="000F742E" w:rsidRPr="00BB1E9A" w:rsidRDefault="000F742E" w:rsidP="009F47CF">
      <w:pPr>
        <w:pStyle w:val="BodyText"/>
        <w:rPr>
          <w:rFonts w:cs="Segoe UI"/>
          <w:color w:val="000000"/>
        </w:rPr>
      </w:pPr>
      <w:r>
        <w:t>A second risk is the proliferation of well-intentioned but redundant or conflicting metrics. Deloitte mitigates this by ranking proposed measures against three criteria — (1) does it tie to a specific SOW SLA, AQL, or required reporting element; (2) does it produce a CMS decision; (3) does the data exist or require new instrumentation — and presenting the prioritized library to the COR for approval before instrumentation. A third risk is QA cataloging defects without driving improvement; Deloitte mitigates this by integrating QA findings with root cause analysis, mitigation monitoring, and SOP/training updates so each finding measurably reduces recurrence.</w:t>
      </w:r>
      <w:r w:rsidRPr="00BB1E9A">
        <w:rPr/>
      </w:r>
      <w:r w:rsidRPr="00BB1E9A">
        <w:rPr>
          <w:b/>
        </w:rPr>
      </w:r>
      <w:r w:rsidRPr="00BB1E9A">
        <w:rPr/>
      </w:r>
      <w:r w:rsidRPr="00BB1E9A">
        <w:rPr>
          <w:b/>
        </w:rPr>
      </w:r>
      <w:r>
        <w:rPr>
          <w:b/>
        </w:rPr>
      </w:r>
      <w:r w:rsidRPr="00BB1E9A">
        <w:rPr>
          <w:b/>
        </w:rPr>
      </w:r>
      <w:r>
        <w:rPr>
          <w:b/>
        </w:rPr>
      </w:r>
      <w:r w:rsidRPr="00BB1E9A">
        <w:rPr>
          <w:b/>
        </w:rPr>
      </w:r>
      <w:r w:rsidRPr="00BB1E9A">
        <w:rPr/>
      </w:r>
      <w:r>
        <w:rPr/>
      </w:r>
      <w:r w:rsidRPr="00BB1E9A">
        <w:rPr/>
      </w:r>
      <w:r>
        <w:rPr/>
      </w:r>
      <w:r w:rsidRPr="00BB1E9A">
        <w:rPr/>
      </w:r>
      <w:r>
        <w:rPr/>
      </w:r>
      <w:r w:rsidRPr="00BB1E9A">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Proof points: Deloitte applies this same governance model on Covered California (CalHEERS) where structured documentation lifecycle, monthly performance reporting, and KPI-driven continuous improvement underpin operations for 1.5 million Marketplace enrollees; on Washington Healthplanfinder where 24/7 O&amp;M is governed by the same SOP and QA discipline; and on FinCEN BOI where audited 11,000+ cases averaged a 96% QA score and a 5,000-case backlog was eliminated within three months — directly relevant to the documentation-and-QA-driven operational improvement Task 9 requires.</w:t>
      </w:r>
      <w:r>
        <w:rPr/>
      </w:r>
      <w:r w:rsidRPr="00BB1E9A">
        <w:rPr/>
      </w:r>
      <w:r>
        <w:rPr/>
      </w:r>
      <w:r w:rsidRPr="00BB1E9A">
        <w:rPr/>
      </w:r>
      <w:r>
        <w:rPr/>
      </w:r>
      <w:r w:rsidRPr="00BB1E9A">
        <w:rPr/>
      </w:r>
      <w:r>
        <w:rPr/>
      </w:r>
      <w:r w:rsidRPr="00BB1E9A">
        <w:rPr/>
      </w:r>
      <w:r>
        <w:rPr/>
      </w:r>
      <w:r w:rsidRPr="00BB1E9A">
        <w:rPr/>
      </w:r>
      <w:r>
        <w:rPr/>
      </w:r>
      <w:r w:rsidRPr="00BB1E9A">
        <w:rPr/>
      </w:r>
      <w:r>
        <w:rPr/>
      </w:r>
      <w:r w:rsidRPr="00BB1E9A">
        <w:rPr/>
      </w:r>
      <w:r>
        <w:rPr/>
      </w:r>
      <w:r w:rsidRPr="00BB1E9A">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t>(</w:t>
      </w:r>
      <w:r w:rsidR="004F360B">
        <w:rPr/>
        <w:t>1</w:t>
      </w:r>
      <w:r w:rsidR="004F360B" w:rsidRPr="00806273">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odyText"/>
      </w:pPr>
      <w:r w:rsidRPr="00795CAA">
        <w:t>Task 10 is CMS' controlled activation lane for short studies, special projects, ad hoc training, the annual FFE Enrollment Manual revision, Death Periodic Data Matching (PDM) consumer response operations, and the Employer Notice Helpdesk. The work is heterogeneous — some is project-based and short-cycle, some is operational and ongoing — but the operating discipline is uniform: rapid activation against COR-confirmed scope, traceable issue handling, dependable reporting, and clean coordination with CMS, federal and state partners, and the broader ER&amp;R contractor ecosystem (Data Services Hub, Eligibility Support, FMPS, MSI, Operations Analytics, Operations Support, Federal Exchange Call Center, Federal Exchange Print, and Stakeholder Engagement). Every Task 10 engagement passes through the same intake protocol so scope, success criteria, deliverable format, and timeline are confirmed in writing before work begins.</w:t>
      </w:r>
      <w:r w:rsidRPr="002B6DD1"/>
      <w:r w:rsidRPr="00795CAA"/>
      <w:r w:rsidR="002B6DD1" w:rsidRPr="002B6DD1"/>
      <w:r w:rsidRPr="00795CAA"/>
      <w:r w:rsidR="002B6DD1" w:rsidRPr="002B6DD1"/>
      <w:r w:rsidRPr="00795CAA"/>
      <w:r w:rsidR="002B6DD1" w:rsidRPr="002B6DD1"/>
      <w:r w:rsidRPr="00795CAA"/>
      <w:r w:rsidR="007F0B04"/>
      <w:r w:rsidR="0095190C"/>
      <w:r w:rsidR="00256190"/>
      <w:r w:rsidR="002B6DD1" w:rsidRPr="002B6DD1"/>
      <w:r/>
    </w:p>
    <w:p w14:paraId="685CC6EA" w14:textId="21750211" w:rsidR="00795CAA" w:rsidRPr="00795CAA" w:rsidRDefault="003D5F85" w:rsidP="00750184">
      <w:pPr>
        <w:pStyle w:val="Subheading1"/>
      </w:pPr>
      <w:r>
        <w:t>Our Approach</w:t>
      </w:r>
      <w:r w:rsidR="00A20E75" w:rsidRPr="00A20E75"/>
      <w:r w:rsidR="00795CAA" w:rsidRPr="00795CAA"/>
    </w:p>
    <w:p w14:paraId="2FF406FD" w14:textId="473C2C04" w:rsidR="00087F21" w:rsidRPr="00795CAA" w:rsidRDefault="00087F21" w:rsidP="00750184">
      <w:pPr>
        <w:pStyle w:val="BodyText"/>
      </w:pPr>
      <w:r w:rsidRPr="00087F21">
        <w:t>Deloitte will operate Task 10 through six structured sub-lanes — short studies and special projects (10.1), ad hoc trainings (10.2), the annual FFE Enrollment Manual revision (10.3), Death PDM (10.4), the Employer Notice Helpdesk (10.5), and SOW-scope catch-all projects (10.6) — each with a defined activation protocol, a CMS-approved scoping artifact, and a Special Projects Tracker entry visible to the COR. The same cross-task SME bench used for Tasks 1–9 (issuer disputes, 1095-A casework, CCHC, FFE updates, notice generation, telephony, IT, SOPs, QA) supplies expertise on demand without standing up parallel capacity. The same Section 2 management governance applies, so Task 10 work neither operates in isolation nor disrupts steady-state operations.</w:t>
      </w:r>
    </w:p>
    <w:p w14:paraId="2A95F3FF" w14:textId="33ED690C" w:rsidR="00CA4C3D" w:rsidRPr="00795CAA" w:rsidRDefault="00CA4C3D" w:rsidP="00750184">
      <w:pPr>
        <w:pStyle w:val="Subheading1"/>
      </w:pPr>
      <w:r w:rsidRPr="00CA4C3D">
        <w:t>Task 10.1 — Short Studies, Special Projects, and Data Analyses</w:t>
      </w:r>
    </w:p>
    <w:p w14:paraId="3045E715" w14:textId="7190D35E" w:rsidR="00795CAA" w:rsidRPr="003414BC" w:rsidRDefault="00702997" w:rsidP="00750184">
      <w:pPr>
        <w:pStyle w:val="BodyText"/>
      </w:pPr>
      <w:r>
        <w:t>Deloitte will activate every COR-directed request through a standardized Intake and Scoping Protocol — a lightweight charter capturing problem statement, data requirements, success criteria, deliverable format, and timeline confirmed within two business days before analysis begins. A pre-positioned analytical playbook covers high-frequency study types (improper enrollment, failure-to-reconcile, SEP verification, DMI analysis, duplicate enrollment) with reusable methodologies, data dictionaries, QA checklists, and brief/memo/dashboard shells. Studies execute in CMS' Snowflake and Power BI environment under Task 9 governance, leverage cross-task data already governed under the contract (CERRS casework, 834/820 transactions, HICS flagging patterns), and convert recurring questions into repeatable monitoring products rather than one-off deliverables. Findings touching the 2025 Marketplace Integrity and Affordability Final Rule are framed against current regulatory requirements with awareness of any subsequent legal stays affecting specific provisions, so CMS receives compliance-aware conclusions.</w:t>
      </w:r>
      <w:r w:rsidR="00795CAA" w:rsidRPr="00795CAA"/>
    </w:p>
    <w:p w14:paraId="09159350" w14:textId="53508E60" w:rsidR="004C1628" w:rsidRPr="003414BC" w:rsidRDefault="004C1628" w:rsidP="004C1628">
      <w:pPr>
        <w:pStyle w:val="Subheading1"/>
      </w:pPr>
      <w:r w:rsidRPr="004C1628">
        <w:t>Task 10.2 — Ad Hoc Trainings</w:t>
      </w:r>
      <w:r w:rsidR="00750184"/>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BodyText"/>
        <w:rPr>
          <w:u w:val="single"/>
        </w:rPr>
      </w:pPr>
      <w:r w:rsidRPr="005E1602">
        <w:rPr>
          <w:u w:val="single"/>
        </w:rPr>
        <w:t>Deloitte will design training backward from desired business outcomes — speed to proficiency, policy adherence, quality, customer experience, reduced handle time — using role-based learning journeys, modular and reusable content anchored to the FFE Enrollment Manual, current SOPs, and live CERRS/HICS/SEED/EDA CORE configurations. Training is paired with human-performance design so format (microlearnings, scenario-based workshops, reinforcement nudges, performance support) matches audience and topic. Section 508 conformance is built into authoring, testing, and delivery; CMS infrastructure is used for hosting (REGTAP for issuer/SBE/assister, MLMS for agent/broker, CMS LMS for internal). Coordination with the Stakeholder Engagement contractor and adjacent contractors (Operations Analytics, FMPS, MSI, Eligibility Support, Federal Exchange Call Center) prevents duplication and aligns logistics.</w:t>
      </w:r>
    </w:p>
    <w:p w14:paraId="44FF59A4" w14:textId="5636226B" w:rsidR="00796F9F" w:rsidRPr="000324D6" w:rsidRDefault="004B1A93" w:rsidP="00750184">
      <w:pPr>
        <w:pStyle w:val="Subheading1"/>
        <w:rPr>
          <w:b w:val="0"/>
        </w:rPr>
      </w:pPr>
      <w:r>
        <w:t>Task 10.3 — Annual Revision of the FFE Enrollment Manual</w:t>
      </w:r>
      <w:r w:rsidR="00BF0924">
        <w:rPr>
          <w:bCs/>
        </w:rPr>
      </w:r>
      <w:r>
        <w:rPr>
          <w:bCs/>
        </w:rPr>
      </w:r>
      <w:r w:rsidR="00796F9F" w:rsidRPr="000324D6">
        <w:rPr>
          <w:bCs/>
        </w:rPr>
      </w:r>
    </w:p>
    <w:p w14:paraId="58EB0853" w14:textId="77C7930F" w:rsidR="000059FF" w:rsidRPr="000324D6" w:rsidRDefault="000059FF" w:rsidP="000059FF">
      <w:pPr>
        <w:pStyle w:val="BodyText"/>
        <w:jc w:val="center"/>
        <w:rPr>
          <w:b/>
          <w:bCs/>
        </w:rPr>
      </w:pPr>
      <w:r w:rsidRPr="000059FF">
        <w:rPr>
          <w:b/>
          <w:bCs/>
          <w:noProof/>
        </w:rPr>
        <w:t>Deloitte will operate the January–July Manual cycle as a four-phase project (Preparation, Edit/Review, Clearance, Education and Publication) led by a designated Manual Lead with embedded SMEs from Tasks 2, 3, 4, 8, and 9 — practitioners who see how chapters on DMIs, SEPs, FTR, ER&amp;R, HICS, PDM, UEs, 1095-A corrections, appeals, and HRAs play out in live casework. The Manual Project Plan tracks regulatory inputs (annual Payment Notice, Marketplace Stabilization Rule updates, the annual Letter to Issuers, in-cycle CMS guidance), structured redline proposals, AI-assisted cross-reference and citation checks (with editorial judgment retained by CMS SMEs and Deloitte content leads under a human-in-the-loop model), version control with edit attribution and decision logs, and a Manual Change Log accessible to the COR capturing every accepted/deferred/rejected change. The final Manual hands off cleanly to Stakeholder Engagement with a substantive change summary and quick-reference change matrices for issuers and SBEs, and Manual updates flow into ER&amp;R operations through SOP, QA checklist, training, and CERRS/HICS configuration refresh under Task 9.</w:t>
      </w:r>
    </w:p>
    <w:p w14:paraId="1FCA40E3" w14:textId="77777777" w:rsidR="00796F9F" w:rsidRPr="00796F9F" w:rsidRDefault="00796F9F" w:rsidP="004E4D55">
      <w:pPr>
        <w:pStyle w:val="Subheading1"/>
      </w:pPr>
      <w:r w:rsidRPr="00796F9F">
        <w:t>Task 10.4 — Death Periodic Data Matching</w:t>
      </w:r>
    </w:p>
    <w:p w14:paraId="2D281145" w14:textId="77777777" w:rsidR="00796F9F" w:rsidRPr="00796F9F" w:rsidRDefault="00796F9F" w:rsidP="004E4D55">
      <w:pPr>
        <w:pStyle w:val="BodyText"/>
      </w:pPr>
      <w:r w:rsidRPr="00796F9F">
        <w:t>Deloitte will operate Death PDM as a campaign-based, surge-ready response lane aligned to the twice-yearly cycle. The toll-free line (with TTY and outbound callback) routes through Deloitte's existing ER&amp;R contact center infrastructure under Task 7 with logical separation to protect caller privacy and dignity. A small specialized team is trained in trauma-informed, empathetic call handling for grieving family members and living individuals who received a wrongful death notice. Every call follows a rigorous attestation verification protocol (identity-verifying details, cross-reference against the CMS-provided notified-deceased list, escalation of failed verifications) with a single authoritative attestation log providing audit-ready traceability. Attestation receipt notices generate on a rolling basis under Task 6. Deloitte delivers the SOW-required weekly running list of successfully matched attestations to the FFE via secure email beginning the day the line opens, and submits post-cycle reporting capturing call volume, attestation rates, verification outcomes, common caller concerns, and any patterns suggesting SSA data quality issues or notice-content improvements.</w:t>
      </w:r>
    </w:p>
    <w:p w14:paraId="752B3E82" w14:textId="77777777" w:rsidR="00796F9F" w:rsidRPr="00796F9F" w:rsidRDefault="00796F9F" w:rsidP="004E4D55">
      <w:pPr>
        <w:pStyle w:val="Subheading1"/>
      </w:pPr>
      <w:r w:rsidRPr="00796F9F">
        <w:t>Task 10.5 — Employer Notice Helpdesk</w:t>
      </w:r>
    </w:p>
    <w:p w14:paraId="1709F525" w14:textId="77777777" w:rsidR="00796F9F" w:rsidRPr="00796F9F" w:rsidRDefault="00796F9F" w:rsidP="004E4D55">
      <w:pPr>
        <w:pStyle w:val="BodyText"/>
      </w:pPr>
      <w:r w:rsidRPr="00796F9F">
        <w:t>Deloitte will operate the Employer Notice Helpdesk on existing ER&amp;R contact center infrastructure (meeting the SOW preference for an existing system solution) with a dedicated toll-free line and TTY supporting real-time inbound, voicemail, outbound callback, and warm transfer to the OHI employer appeals call center, M-F 8 AM–8 PM ET excluding federal holidays. A CMS-approved script anchors current Employer Notice content and the underlying policy framework (employer-coverage affordability, minimum value, ICHRA/QSEHRA, appeals pathways) with a structured update cycle on notice changes, regulatory updates, or recurring caller patterns. An organized triage protocol classifies every contact, routes appeals to OHI, escalates suspected notice or data issues to CMS, and resolves informational inquiries at first contact. A single tracking system captures every call and voicemail with timestamp, employer identifier, inquiry category, disposition, transfer/escalation path, and resolution notes — providing audit-ready traceability and the data foundation for required weekly, monthly, and annual reports. Recurring caller themes surface to CMS as actionable feedback so the Helpdesk informs notice and policy refinement, not just inbound resolution.</w:t>
      </w:r>
    </w:p>
    <w:p w14:paraId="740E3FEA" w14:textId="77777777" w:rsidR="00796F9F" w:rsidRPr="00796F9F" w:rsidRDefault="00796F9F" w:rsidP="004E4D55">
      <w:pPr>
        <w:pStyle w:val="Subheading1"/>
      </w:pPr>
      <w:r w:rsidRPr="00796F9F">
        <w:t>Task 10.6 — Projects Related to the Scope of the SOW Inclusive of All Tasks</w:t>
      </w:r>
      <w:r w:rsidRPr="00796F9F"/>
    </w:p>
    <w:p w14:paraId="61B6EC0B" w14:textId="77777777" w:rsidR="00796F9F" w:rsidRPr="00796F9F" w:rsidRDefault="00796F9F" w:rsidP="004E4D55">
      <w:pPr>
        <w:pStyle w:val="BodyText"/>
      </w:pPr>
      <w:r w:rsidRPr="00796F9F">
        <w:t>Deloitte will treat the catch-all clause as a structured intake channel rather than unbounded scope. Every request applies the Ad Hoc Request Intake and Scoping Protocol from Task 10.1, rolls into the Special Projects Tracker for unified COR visibility, draws on the cross-task SME bench from Tasks 1–9, and applies Deloitte's surge-support model to scale resources up for short-duration projects without disrupting steady-state operations. Recurring requests convert to right-sized operational capabilities under Task 9 (dashboards, SOPs, task-level enhancements) so repeat work is institutionalized rather than re-executed.</w:t>
      </w:r>
    </w:p>
    <w:p w14:paraId="418A3B89" w14:textId="77777777" w:rsidR="00796F9F" w:rsidRPr="00796F9F" w:rsidRDefault="00796F9F" w:rsidP="004E4D55">
      <w:pPr>
        <w:pStyle w:val="Subheading1"/>
      </w:pPr>
      <w:r w:rsidRPr="00796F9F">
        <w:t>Proof Point</w:t>
      </w:r>
    </w:p>
    <w:p w14:paraId="6F1AD2EE" w14:textId="77777777" w:rsidR="00796F9F" w:rsidRPr="00796F9F" w:rsidRDefault="00796F9F" w:rsidP="004E4D55">
      <w:pPr>
        <w:pStyle w:val="BodyText"/>
      </w:pPr>
      <w:r w:rsidRPr="00796F9F">
        <w:t>Rapid activation of targeted federal support operations: Deloitte rapidly deployed a targeted contact center for CDC's Vaccine Administration Management System (VAMS) on AWS Connect to support end users, jurisdictions, and clinics during high-volume rollout, backed by training, QA, reporting, SLA monitoring, and knowledge management — supporting the administration of 9.5 million vaccines. The same activation discipline, structure, and reporting cadence apply to every Task 10 sub-lane.</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5D63E426" w14:textId="69ADBF65" w:rsidR="00A65DEF" w:rsidRPr="000324D6" w:rsidRDefault="00A65DEF" w:rsidP="0036747B">
      <w:pPr>
        <w:pStyle w:val="ParagraphSpacer"/>
      </w:pPr>
    </w:p>
    <w:p w14:paraId="7C7F4E57" w14:textId="6877A547" w:rsidR="002F76CB" w:rsidRDefault="00664E97" w:rsidP="004C7234">
      <w:pPr>
        <w:pStyle w:val="Heading2"/>
      </w:pPr>
      <w:bookmarkStart w:id="81" w:name="_Toc227883186"/>
      <w:r>
        <w:t>1.3</w:t>
      </w:r>
      <w:r>
        <w:tab/>
      </w:r>
      <w:r w:rsidRPr="00664E97">
        <w:t xml:space="preserve">Sub-Section 1C: Understanding and Mitigation of </w:t>
      </w:r>
      <w:r w:rsidRPr="00664E97">
        <w:t>Risks</w:t>
      </w:r>
      <w:bookmarkEnd w:id="81"/>
      <w:r w:rsidR="004F360B">
        <w:t xml:space="preserve"> </w:t>
      </w:r>
      <w:r w:rsidR="004F360B" w:rsidRPr="00806273">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t>(</w:t>
      </w:r>
      <w:r w:rsidR="003D0CAF">
        <w:rPr/>
        <w:t>Total 11</w:t>
      </w:r>
      <w:r w:rsidR="00A10BAA" w:rsidRPr="00806273">
        <w:rPr/>
        <w:t xml:space="preserve"> Pages)</w:t>
      </w:r>
    </w:p>
    <w:p w14:paraId="3ED7E47D" w14:textId="7B7E9D7E" w:rsidR="00775066" w:rsidRDefault="00775066" w:rsidP="00775066">
      <w:pPr>
        <w:pStyle w:val="Heading2"/>
      </w:pPr>
      <w:bookmarkStart w:id="85" w:name="_Toc227883188"/>
      <w:r>
        <w:t>2.1</w:t>
      </w:r>
      <w:r>
        <w:tab/>
      </w:r>
      <w:r w:rsidRPr="00775066">
        <w:t>Sub-Section 2A: Management Approach</w:t>
      </w:r>
      <w:bookmarkEnd w:id="85"/>
      <w:r w:rsidR="003D0CAF">
        <w:t xml:space="preserve"> </w:t>
      </w:r>
      <w:r w:rsidR="003D0CAF" w:rsidRPr="00806273">
        <w:rPr/>
        <w:t>(</w:t>
      </w:r>
      <w:r w:rsidR="003D0CAF">
        <w:rPr/>
        <w:t>6</w:t>
      </w:r>
      <w:r w:rsidR="003D0CAF" w:rsidRPr="00806273">
        <w:rPr/>
        <w:t xml:space="preserve"> </w:t>
      </w:r>
      <w:r w:rsidR="003D0CAF" w:rsidRPr="00806273">
        <w:rPr/>
        <w:t>Pages</w:t>
      </w:r>
      <w:r w:rsidR="003D0CAF" w:rsidRPr="00806273">
        <w:rPr/>
        <w:t>)</w:t>
      </w:r>
    </w:p>
    <w:p w14:paraId="50A74961" w14:textId="1FEE9EC3" w:rsidR="00775066" w:rsidRDefault="00BC43A6" w:rsidP="00BC43A6">
      <w:pPr>
        <w:pStyle w:val="Heading3"/>
      </w:pPr>
      <w:bookmarkStart w:id="88" w:name="_Toc227883189"/>
      <w:r>
        <w:t>2.1.1</w:t>
      </w:r>
      <w:r>
        <w:tab/>
      </w:r>
      <w:r w:rsidR="00036443" w:rsidRPr="00036443">
        <w:t>Task 1: Program Implementation and Oversight (PI&amp;O)</w:t>
      </w:r>
      <w:r w:rsidR="000306D0" w:rsidRPr="000306D0">
        <w:t xml:space="preserve"> </w:t>
      </w:r>
      <w:r w:rsidR="000306D0" w:rsidRPr="000306D0">
        <w:rPr>
          <w:vertAlign w:val="superscript"/>
        </w:rPr>
        <w:t>(SOW 3.1)</w:t>
      </w:r>
      <w:bookmarkEnd w:id="88"/>
    </w:p>
    <w:p w14:paraId="5E5E8A92" w14:textId="3A9333EF" w:rsidR="009F2DA5" w:rsidRDefault="009F2DA5" w:rsidP="009F2DA5">
      <w:pPr>
        <w:pStyle w:val="BodyText"/>
      </w:pPr>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r w:rsidR="004A3D30">
        <w:rPr>
          <w:rStyle w:val="CommentReference"/>
        </w:rPr>
      </w:r>
      <w:r>
        <w:rPr>
          <w:rStyle w:val="CommentReference"/>
        </w:rPr>
      </w:r>
      <w:r/>
      <w:r w:rsidRPr="00DD7489">
        <w:rPr>
          <w:rStyle w:val="CharacterBold"/>
        </w:rPr>
      </w:r>
      <w:r w:rsidRPr="006909BC">
        <w:rPr>
          <w:b/>
        </w:rPr>
      </w:r>
      <w:r/>
      <w:r w:rsidR="00887F22">
        <w:rPr>
          <w:rStyle w:val="CommentReference"/>
        </w:rPr>
      </w:r>
      <w:r w:rsidR="00241FD6">
        <w:rPr>
          <w:rStyle w:val="CommentReference"/>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r/>
      <w:r w:rsidR="00241FD6">
        <w:rPr>
          <w:rStyle w:val="CommentReference"/>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r w:rsidRPr="00C669B5">
              <w:t xml:space="preserve">Project </w:t>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455B46">
              <w:rPr>
                <w:rStyle w:val="CharacterBold"/>
              </w:rPr>
              <w:t>Key Milestones and Target Dates.</w:t>
            </w:r>
            <w:r w:rsidRPr="00A54353">
              <w:rPr>
                <w:rStyle w:val="CharacterBold"/>
              </w:rPr>
              <w:t xml:space="preserve"> </w:t>
            </w:r>
            <w:r w:rsidRPr="00A54353">
              <w:rPr>
                <w:rStyle w:val="CharacterBold"/>
                <w:b w:val="0"/>
                <w:bCs/>
              </w:rPr>
              <w:t>XXX</w:t>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A54353">
              <w:rPr>
                <w:rStyle w:val="CharacterBold"/>
              </w:rPr>
              <w:t xml:space="preserve">Organizational Chart.  </w:t>
            </w:r>
            <w:r w:rsidRPr="00A54353">
              <w:rPr>
                <w:rStyle w:val="CharacterBold"/>
                <w:b w:val="0"/>
                <w:bCs/>
              </w:rPr>
              <w:t>X</w:t>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r>
              <w:rPr>
                <w:b/>
                <w:bCs/>
              </w:rPr>
              <w:t>Example Risk and Mitigation Strategy:</w:t>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b/>
        </w:rPr>
        <w:t xml:space="preserve"> </w:t>
      </w:r>
      <w:r w:rsidRPr="00B07DCB">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b/>
        </w:rPr>
        <w:t xml:space="preserve"> </w:t>
      </w:r>
      <w:r w:rsidRPr="00B07DCB">
        <w:rPr/>
        <w:t xml:space="preserve">Rapid development of an initial Transition Management Plan </w:t>
      </w:r>
      <w:r w:rsidR="00FC057F">
        <w:rPr/>
        <w:t>–</w:t>
      </w:r>
      <w:r w:rsidRPr="00B07DCB">
        <w:rPr/>
        <w:t xml:space="preserve"> delivered within 8 business days </w:t>
      </w:r>
      <w:r w:rsidR="00FC057F">
        <w:rPr/>
        <w:t>–</w:t>
      </w:r>
      <w:r w:rsidRPr="00B07DCB">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b/>
        </w:rPr>
        <w:t xml:space="preserve"> </w:t>
      </w:r>
      <w:r w:rsidRPr="00B07DCB">
        <w:rPr/>
        <w:t xml:space="preserve">Establishment of a clear baseline of the current environment </w:t>
      </w:r>
      <w:r w:rsidR="00FC057F">
        <w:rPr/>
        <w:t>–</w:t>
      </w:r>
      <w:r w:rsidRPr="00B07DCB">
        <w:rPr/>
        <w:t xml:space="preserve"> covering systems, interfaces, data (including PII), in-flight activities, licenses, warranties, SOPs, and </w:t>
      </w:r>
      <w:r w:rsidRPr="00B07DCB">
        <w:rPr/>
        <w:lastRenderedPageBreak/>
        <w:t xml:space="preserve">security/ATO status </w:t>
      </w:r>
      <w:r w:rsidR="007513DF">
        <w:rPr/>
        <w:t>–</w:t>
      </w:r>
      <w:r w:rsidRPr="00B07DCB">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b/>
        </w:rPr>
        <w:t xml:space="preserve"> </w:t>
      </w:r>
      <w:r w:rsidRPr="00B07DCB">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t xml:space="preserve"> </w:t>
      </w:r>
      <w:r w:rsidR="00F0274C">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r w:rsidRPr="00775066">
        <w:t>Sub-Section 2B: Quality Assurance Approach</w:t>
      </w:r>
      <w:bookmarkEnd w:id="103"/>
      <w:r w:rsidR="003D0CAF">
        <w:t xml:space="preserve"> </w:t>
      </w:r>
      <w:r w:rsidR="003D0CAF" w:rsidRPr="00806273">
        <w:rPr/>
        <w:t>(</w:t>
      </w:r>
      <w:r w:rsidR="005038DA">
        <w:rPr/>
        <w:t>3</w:t>
      </w:r>
      <w:r w:rsidR="003D0CAF" w:rsidRPr="00806273">
        <w:rPr/>
        <w:t xml:space="preserve"> Pages)</w:t>
      </w:r>
    </w:p>
    <w:p w14:paraId="1DD94A57" w14:textId="2A83B19E" w:rsidR="006932F9" w:rsidRPr="006932F9" w:rsidRDefault="000B6E3E" w:rsidP="00F2405B">
      <w:pPr>
        <w:pStyle w:val="Subheading1"/>
      </w:pPr>
      <w:r w:rsidRPr="000B6E3E">
        <w:t>Performance Management and Quality Control Methodologies and Approach</w:t>
      </w:r>
    </w:p>
    <w:p w14:paraId="15C04957" w14:textId="74A3C0E6" w:rsidR="671ED0E9" w:rsidRDefault="6B933427" w:rsidP="001349CE">
      <w:pPr>
        <w:pStyle w:val="BodyText"/>
      </w:pPr>
      <w:r>
        <w:t>Quality assurance for ER&amp;R is governed by the Service Level Agreements in SOW Tables 3 and 4, the Acceptable Quality Levels (AQLs) and Key Performance Indicators (KPIs) developed under SOW §3.9, and a Quality Assurance Surveillance Plan (QASP) that Deloitte will deliver within 45 days of the start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r/>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or staffing-model adjustments.</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reviewer name, review date, and any discrepancy log retained for audit. QC accountability is reinforced through performance metrics built into supervisor and lead role descriptions and through the SBLO governance applied to subcontractor work.</w:t>
      </w:r>
      <w:r w:rsidR="5FB2FB71"/>
      <w:r/>
      <w:r w:rsidR="3E03E27C"/>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r w:rsidR="03D6186F"/>
      <w:r/>
      <w:r w:rsidR="366DEA8E"/>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caseworkers and supervisors and is the primary input to the quarterly performance trend review with CMS. The output also feeds Deloitte's Contractor Performance Assessment Reporting System (CPARS) input.</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
      </w:pPr>
      <w:r>
        <w:t>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per task.</w:t>
      </w:r>
      <w:r w:rsidR="3BCF5B88"/>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whenever a PWS change, regulatory update, or COR direction warrants revision. The QASP is the single instrument linking Deloitte's performance to CPARS — making the relationship between day-to-day execution and downstream contractor evaluation transparent and verifiable.</w:t>
      </w:r>
    </w:p>
    <w:p w14:paraId="6565CF54" w14:textId="2940BAE9" w:rsidR="00775066" w:rsidRPr="00B17029" w:rsidRDefault="00775066" w:rsidP="00775066">
      <w:pPr>
        <w:pStyle w:val="Heading2"/>
        <w:rPr>
          <w:color w:val="FF0000"/>
        </w:rPr>
      </w:pPr>
      <w:bookmarkStart w:id="109" w:name="_Toc227883193"/>
      <w:r>
        <w:t>2.3</w:t>
      </w:r>
      <w:r>
        <w:tab/>
      </w:r>
      <w:r w:rsidRPr="00775066">
        <w:t>Sub-Section 2C: Staffing Plan</w:t>
      </w:r>
      <w:bookmarkEnd w:id="109"/>
      <w:r w:rsidR="005038DA">
        <w:t xml:space="preserve"> </w:t>
      </w:r>
      <w:r w:rsidR="005038DA" w:rsidRPr="00806273">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r w:rsidRPr="00B22AFA">
        <w:t>Deloitte's staffing model responds to a single operating reality: ER&amp;R workload is concentrated, seasonal, and risk-sensitive.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r w:rsidRPr="001349CE">
        <w:rPr>
          <w:rStyle w:val="CharacterBold"/>
        </w:rPr>
      </w:r>
      <w:r w:rsidRPr="00B22AFA"/>
      <w:r w:rsidRPr="001349CE">
        <w:rPr>
          <w:rStyle w:val="CharacterBold"/>
        </w:rPr>
      </w:r>
      <w:r w:rsidRPr="00B22AFA"/>
      <w:r w:rsidRPr="001349CE">
        <w:rPr>
          <w:rStyle w:val="CharacterBold"/>
        </w:rPr>
      </w:r>
      <w:r w:rsidRPr="00B22AFA"/>
      <w:r w:rsidRPr="001349CE">
        <w:rPr>
          <w:rStyle w:val="CharacterBold"/>
        </w:rPr>
      </w:r>
      <w:r w:rsidRPr="00B22AFA"/>
      <w:r/>
      <w:r w:rsidR="00B17029" w:rsidRPr="001349CE">
        <w:rPr>
          <w:rStyle w:val="CharacterBold"/>
        </w:rPr>
      </w:r>
      <w:r w:rsidR="00C33993">
        <w:rPr>
          <w:rStyle w:val="CommentReference"/>
        </w:rPr>
      </w:r>
    </w:p>
    <w:p w14:paraId="419B470C" w14:textId="01B93D6E" w:rsidR="00B17029" w:rsidRPr="0071582C" w:rsidRDefault="00FB51CD" w:rsidP="001349CE">
      <w:pPr>
        <w:pStyle w:val="FigureTitle"/>
      </w:pPr>
      <w:r>
        <w:lastRenderedPageBreak/>
        <w:t>Figure</w:t>
      </w:r>
      <w:r>
        <w:t xml:space="preserve"> 2.3-1. </w:t>
      </w:r>
      <w:r w:rsidR="001349CE">
        <w:t>Organizational Chart.</w:t>
      </w:r>
    </w:p>
    <w:p w14:paraId="325B2AF5" w14:textId="70C868A4" w:rsidR="001349CE" w:rsidRPr="001349CE" w:rsidRDefault="001349CE" w:rsidP="001349CE">
      <w:pPr>
        <w:pStyle w:val="FigureGraphic"/>
      </w:pPr>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r w:rsidRPr="00367BA6">
        <w:rPr>
          <w:b/>
          <w:bCs/>
        </w:rPr>
        <w:t>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r w:rsidRPr="00367BA6"/>
      <w:r w:rsidR="00C91D75" w:rsidRPr="00C91D75"/>
      <w:r w:rsidR="00956174">
        <w:rPr>
          <w:rStyle w:val="CommentReference"/>
        </w:rPr>
      </w:r>
    </w:p>
    <w:p w14:paraId="63ABC5AC" w14:textId="63380A3E" w:rsidR="00760C47" w:rsidRPr="00760C47" w:rsidRDefault="00760C47" w:rsidP="0071582C">
      <w:pPr>
        <w:pStyle w:val="BodyText"/>
        <w:rPr>
          <w:b/>
          <w:color w:val="00B0F0"/>
        </w:rPr>
      </w:pPr>
      <w:r w:rsidRPr="00760C47">
        <w:rPr>
          <w:b/>
        </w:rPr>
        <w:t>[Deloitte to populate: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r>
        <w:rPr>
          <w:b/>
        </w:rPr>
      </w:r>
      <w:r w:rsidRPr="00760C47">
        <w:rPr>
          <w:b/>
        </w:rPr>
      </w:r>
      <w:r w:rsidR="00445B8E">
        <w:rPr>
          <w:b/>
        </w:rPr>
      </w:r>
    </w:p>
    <w:p w14:paraId="71020036" w14:textId="4EC42A6B" w:rsidR="00B8451D" w:rsidRPr="005C1CC9" w:rsidRDefault="0071582C" w:rsidP="0071582C">
      <w:pPr>
        <w:pStyle w:val="Subheading1"/>
      </w:pPr>
      <w:r w:rsidRPr="0071582C">
        <w:t>Surge</w:t>
      </w:r>
      <w:r w:rsidR="00760C47">
        <w:t xml:space="preserve"> </w:t>
      </w:r>
      <w:r w:rsidR="00760C47">
        <w:t>Support</w:t>
      </w:r>
      <w:r w:rsidR="00760C47">
        <w:t xml:space="preserve"> </w:t>
      </w:r>
    </w:p>
    <w:p w14:paraId="2B75A7BF" w14:textId="2DAEC4FA" w:rsidR="007840F7" w:rsidRPr="007840F7" w:rsidRDefault="007840F7" w:rsidP="00FB51CD">
      <w:pPr>
        <w:pStyle w:val="BodyText"/>
      </w:pPr>
      <w:r w:rsidRPr="00FB51CD">
        <w:rPr>
          <w:rStyle w:val="CharacterBold"/>
        </w:rPr>
        <w:t>Form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leads. CMS background investigations begin at offer acceptance to ensure the first wave is cleared, system-trained, and shadow-certified before January 1. A returner-first model preferentially re-engages prior-season caseworkers — they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r w:rsidRPr="007840F7"/>
      <w:r w:rsidRPr="007840F7"/>
      <w:r w:rsidRPr="007840F7">
        <w:rPr>
          <w:rStyle w:val="CommentReference"/>
        </w:rPr>
      </w:r>
    </w:p>
    <w:p>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t>(</w:t>
      </w:r>
      <w:r w:rsidR="00053351">
        <w:rPr/>
        <w:t>Total 8</w:t>
      </w:r>
      <w:r w:rsidR="00053351" w:rsidRPr="00806273">
        <w:rPr/>
        <w:t xml:space="preserve"> Pages)</w:t>
      </w:r>
    </w:p>
    <w:p w14:paraId="62D72ADA" w14:textId="4E0C3F0C" w:rsidR="007C62A0" w:rsidRDefault="00245804" w:rsidP="00245804">
      <w:pPr>
        <w:pStyle w:val="Heading2"/>
      </w:pPr>
      <w:bookmarkStart w:id="121" w:name="_Toc227883195"/>
      <w:r>
        <w:t>3.1</w:t>
      </w:r>
      <w:r>
        <w:tab/>
      </w:r>
      <w:r w:rsidR="007C62A0">
        <w:t>Sub-Section 3A: Key Personnel Qualifications</w:t>
      </w:r>
      <w:bookmarkEnd w:id="121"/>
      <w:r w:rsidR="000E4783">
        <w:t xml:space="preserve"> </w:t>
      </w:r>
      <w:r w:rsidR="000E4783" w:rsidRPr="00806273">
        <w:rPr/>
        <w:t>(</w:t>
      </w:r>
      <w:r w:rsidR="000E4783">
        <w:rPr/>
        <w:t>4</w:t>
      </w:r>
      <w:r w:rsidR="000E4783" w:rsidRPr="00806273">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t>E</w:t>
      </w:r>
      <w:r w:rsidR="00995647" w:rsidRPr="00995647">
        <w:rPr/>
        <w:t>ducation</w:t>
      </w:r>
      <w:r w:rsidR="0002087E">
        <w:rPr/>
        <w:t>,</w:t>
      </w:r>
      <w:r w:rsidR="000210FF">
        <w:rPr/>
        <w:t xml:space="preserve"> </w:t>
      </w:r>
      <w:r w:rsidR="00995647" w:rsidRPr="00995647">
        <w:rPr/>
        <w:t>Professional Experience</w:t>
      </w:r>
      <w:r w:rsidR="0002087E">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r>
        <w:t>Significant Leads</w:t>
      </w:r>
      <w:r w:rsidR="006B70F3">
        <w:t xml:space="preserve"> and Responsibilities </w:t>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b/>
                <w:bCs/>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r>
        <w:t>Level of Effort</w:t>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r w:rsidR="007C62A0">
        <w:t>Sub-Section 3B: Corporate Experience</w:t>
      </w:r>
      <w:bookmarkEnd w:id="126"/>
      <w:r w:rsidR="000E4783">
        <w:t xml:space="preserve"> </w:t>
      </w:r>
      <w:r w:rsidR="000E4783" w:rsidRPr="00806273">
        <w:rPr/>
        <w:t>(</w:t>
      </w:r>
      <w:r w:rsidR="000E4783">
        <w:rPr/>
        <w:t>4</w:t>
      </w:r>
      <w:r w:rsidR="000E4783" w:rsidRPr="00806273">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r w:rsidRPr="00802C4A"/>
      <w:r w:rsidR="00C52560" w:rsidRPr="00802C4A">
        <w:rPr>
          <w:rStyle w:val="CommentReference"/>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t xml:space="preserve">CalHEERS is </w:t>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r w:rsidRPr="00802C4A"/>
      <w:r w:rsidR="001F05BC" w:rsidRPr="00802C4A">
        <w:rPr>
          <w:rStyle w:val="CommentReference"/>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r w:rsidRPr="00845269">
        <w:t xml:space="preserve">Section 4: Small Business </w:t>
      </w:r>
      <w:r w:rsidRPr="00845269">
        <w:t>Utilization</w:t>
      </w:r>
      <w:r w:rsidR="00A2440B">
        <w:t xml:space="preserve"> </w:t>
      </w:r>
      <w:r w:rsidR="00A2440B" w:rsidRPr="009804E4">
        <w:rPr/>
        <w:t xml:space="preserve">(5 </w:t>
      </w:r>
      <w:r w:rsidR="009804E4" w:rsidRPr="009804E4">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r w:rsidR="00045B87">
        <w:t>Key Personnel Resumes</w:t>
      </w:r>
      <w:r w:rsidR="00CE4E4D">
        <w:t xml:space="preserve"> </w:t>
      </w:r>
      <w:r w:rsidR="00CE4E4D" w:rsidRPr="00CE4E4D">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r w:rsidRPr="00A07123">
        <w:t>Project Director</w:t>
      </w:r>
      <w:bookmarkEnd w:id="135"/>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r w:rsidRPr="006065FF">
        <w:t>Project Manager (ER&amp;R)</w:t>
      </w:r>
      <w:bookmarkEnd w:id="137"/>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r w:rsidRPr="006065FF">
        <w:t>Project Manager (Form 1095-A &amp; CCHC)</w:t>
      </w:r>
      <w:bookmarkEnd w:id="139"/>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r w:rsidRPr="006065FF">
        <w:t xml:space="preserve">Project Manager </w:t>
      </w:r>
      <w:r w:rsidR="005173D2" w:rsidRPr="005173D2">
        <w:t>(IT Data and Technical Support)</w:t>
      </w:r>
      <w:bookmarkEnd w:id="141"/>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r w:rsidR="00CE5E62" w:rsidRPr="00CE5E62">
        <w:t>Technical Director</w:t>
      </w:r>
      <w:bookmarkEnd w:id="143"/>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r w:rsidR="006079C6" w:rsidRPr="006079C6">
        <w:t>Security and Privacy Officer</w:t>
      </w:r>
      <w:bookmarkEnd w:id="145"/>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http://schemas.openxmlformats.org/wordprocessingml/2006/main"/>
</file>

<file path=word/commentsExtended.xml><?xml version="1.0" encoding="utf-8"?>
<w15:commentsEx xmlns:w15="http://schemas.microsoft.com/office/word/2012/wordml"/>
</file>

<file path=word/commentsExtensible.xml><?xml version="1.0" encoding="utf-8"?>
<w16ce:commentsExtensible xmlns:w16ce="http://schemas.microsoft.com/office/word/2018/wordml/cex"/>
</file>

<file path=word/commentsIds.xml><?xml version="1.0" encoding="utf-8"?>
<w16cid:commentsIds xmlns:w16cid="http://schemas.microsoft.com/office/word/2016/wordml/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