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600"/>
        <w:jc w:val="center"/>
      </w:pPr>
      <w:r>
        <w:drawing>
          <wp:inline distT="0" distB="0" distL="0" distR="0">
            <wp:extent cx="3429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895600"/>
                    </a:xfrm>
                    <a:prstGeom prst="rect">
                      <a:avLst/>
                    </a:prstGeom>
                  </pic:spPr>
                </pic:pic>
              </a:graphicData>
            </a:graphic>
          </wp:inline>
        </w:drawing>
      </w:r>
    </w:p>
    <w:p>
      <w:pPr>
        <w:spacing w:after="120"/>
      </w:pPr>
      <w:r>
        <w:rPr>
          <w:rFonts w:ascii="Times New Roman" w:cs="Times New Roman" w:eastAsia="Times New Roman" w:hAnsi="Times New Roman"/>
          <w:b/>
          <w:bCs/>
          <w:sz w:val="20"/>
          <w:szCs w:val="20"/>
        </w:rPr>
        <w:t xml:space="preserve">National Electronic Disease Surveillance System (NEDSS) Base System (NBS) Modernization and Support</w:t>
      </w:r>
    </w:p>
    <w:p>
      <w:pPr>
        <w:spacing w:after="360"/>
      </w:pPr>
      <w:r>
        <w:rPr>
          <w:rFonts w:ascii="Times New Roman" w:cs="Times New Roman" w:eastAsia="Times New Roman" w:hAnsi="Times New Roman"/>
          <w:b/>
          <w:bCs/>
          <w:sz w:val="20"/>
          <w:szCs w:val="20"/>
        </w:rPr>
        <w:t xml:space="preserve">April 27, 2026</w:t>
      </w:r>
    </w:p>
    <w:p>
      <w:pPr>
        <w:spacing w:after="80"/>
      </w:pPr>
      <w:r>
        <w:rPr>
          <w:rFonts w:ascii="Times New Roman" w:cs="Times New Roman" w:eastAsia="Times New Roman" w:hAnsi="Times New Roman"/>
          <w:b/>
          <w:bCs/>
          <w:sz w:val="20"/>
          <w:szCs w:val="20"/>
        </w:rPr>
        <w:t xml:space="preserve">Submitted By:</w:t>
      </w:r>
    </w:p>
    <w:p>
      <w:pPr>
        <w:spacing w:after="120"/>
      </w:pPr>
      <w:r>
        <w:rPr>
          <w:rFonts w:ascii="Times New Roman" w:cs="Times New Roman" w:eastAsia="Times New Roman" w:hAnsi="Times New Roman"/>
          <w:sz w:val="20"/>
          <w:szCs w:val="20"/>
        </w:rPr>
        <w:t xml:space="preserve">Deloitte Consulting LLP | 1919 North Lynn Street | Arlington, VA 22209</w:t>
      </w:r>
    </w:p>
    <w:p>
      <w:pPr>
        <w:sectPr>
          <w:headerReference w:type="default" r:id="rId7"/>
          <w:pgSz w:w="12240" w:h="15840" w:orient="portrait"/>
          <w:pgMar w:top="1440" w:right="1440" w:bottom="1440" w:left="1440" w:header="708" w:footer="708" w:gutter="0"/>
          <w:pgNumType/>
          <w:docGrid w:linePitch="360"/>
        </w:sectPr>
      </w:pPr>
    </w:p>
    <w:p>
      <w:pPr>
        <w:spacing w:after="240" w:before="480"/>
        <w:jc w:val="center"/>
      </w:pPr>
      <w:r>
        <w:rPr>
          <w:rFonts w:ascii="Times New Roman" w:cs="Times New Roman" w:eastAsia="Times New Roman" w:hAnsi="Times New Roman"/>
          <w:b/>
          <w:bCs/>
          <w:sz w:val="20"/>
          <w:szCs w:val="20"/>
        </w:rPr>
        <w:t xml:space="preserve">Centers for Disease Control and Prevention</w:t>
      </w:r>
    </w:p>
    <w:p>
      <w:pPr>
        <w:spacing w:after="240"/>
        <w:jc w:val="center"/>
      </w:pPr>
      <w:r>
        <w:rPr>
          <w:rFonts w:ascii="Times New Roman" w:cs="Times New Roman" w:eastAsia="Times New Roman" w:hAnsi="Times New Roman"/>
          <w:b/>
          <w:bCs/>
          <w:sz w:val="20"/>
          <w:szCs w:val="20"/>
        </w:rPr>
        <w:t xml:space="preserve">National Electronic Disease Surveillance System (NEDSS) Base System (NBS) Modernization and Support</w:t>
      </w:r>
    </w:p>
    <w:p>
      <w:pPr>
        <w:spacing w:after="240"/>
        <w:jc w:val="center"/>
      </w:pPr>
      <w:r>
        <w:rPr>
          <w:rFonts w:ascii="Times New Roman" w:cs="Times New Roman" w:eastAsia="Times New Roman" w:hAnsi="Times New Roman"/>
          <w:b/>
          <w:bCs/>
          <w:sz w:val="20"/>
          <w:szCs w:val="20"/>
        </w:rPr>
        <w:t xml:space="preserve">April 27, 2026</w:t>
      </w:r>
    </w:p>
    <w:p>
      <w:pPr>
        <w:spacing w:after="120"/>
        <w:jc w:val="center"/>
      </w:pPr>
      <w:r>
        <w:rPr>
          <w:rFonts w:ascii="Times New Roman" w:cs="Times New Roman" w:eastAsia="Times New Roman" w:hAnsi="Times New Roman"/>
          <w:sz w:val="20"/>
          <w:szCs w:val="20"/>
        </w:rPr>
        <w:t xml:space="preserve">Submitted by:</w:t>
      </w:r>
    </w:p>
    <w:p>
      <w:pPr>
        <w:spacing w:after="360"/>
        <w:jc w:val="center"/>
      </w:pPr>
      <w:r>
        <w:rPr>
          <w:rFonts w:ascii="Times New Roman" w:cs="Times New Roman" w:eastAsia="Times New Roman" w:hAnsi="Times New Roman"/>
          <w:b/>
          <w:bCs/>
          <w:sz w:val="20"/>
          <w:szCs w:val="20"/>
        </w:rPr>
        <w:t xml:space="preserve">Deloitte Consulting LLP | 1919 North Lynn Street | Arlington, VA 22209</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center"/>
            </w:pPr>
            <w:r>
              <w:rPr>
                <w:rFonts w:ascii="Times New Roman" w:cs="Times New Roman" w:eastAsia="Times New Roman" w:hAnsi="Times New Roman"/>
                <w:b/>
                <w:bCs/>
                <w:sz w:val="20"/>
                <w:szCs w:val="20"/>
              </w:rPr>
              <w:t xml:space="preserve">Technical POC and</w:t>
            </w:r>
          </w:p>
          <w:p>
            <w:pPr>
              <w:spacing w:after="60"/>
              <w:jc w:val="center"/>
            </w:pPr>
            <w:r>
              <w:rPr>
                <w:rFonts w:ascii="Times New Roman" w:cs="Times New Roman" w:eastAsia="Times New Roman" w:hAnsi="Times New Roman"/>
                <w:b/>
                <w:bCs/>
                <w:sz w:val="20"/>
                <w:szCs w:val="20"/>
              </w:rPr>
              <w:t xml:space="preserve">Authorized Negotiator:</w:t>
            </w:r>
          </w:p>
          <w:p>
            <w:pPr>
              <w:jc w:val="center"/>
            </w:pPr>
            <w:r>
              <w:rPr>
                <w:rFonts w:ascii="Times New Roman" w:cs="Times New Roman" w:eastAsia="Times New Roman" w:hAnsi="Times New Roman"/>
                <w:i/>
                <w:iCs/>
                <w:color w:val="C00000"/>
                <w:sz w:val="20"/>
                <w:szCs w:val="20"/>
              </w:rPr>
              <w:t xml:space="preserve">[PLACEHOLDER: Name, Title]</w:t>
            </w:r>
          </w:p>
          <w:p>
            <w:pPr>
              <w:jc w:val="center"/>
            </w:pPr>
            <w:r>
              <w:rPr>
                <w:rFonts w:ascii="Times New Roman" w:cs="Times New Roman" w:eastAsia="Times New Roman" w:hAnsi="Times New Roman"/>
                <w:i/>
                <w:iCs/>
                <w:color w:val="C00000"/>
                <w:sz w:val="20"/>
                <w:szCs w:val="20"/>
              </w:rPr>
              <w:t xml:space="preserve">Email: [PLACEHOLDER: email@deloitte.com]</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60"/>
              <w:jc w:val="center"/>
            </w:pPr>
            <w:r>
              <w:rPr>
                <w:rFonts w:ascii="Times New Roman" w:cs="Times New Roman" w:eastAsia="Times New Roman" w:hAnsi="Times New Roman"/>
                <w:b/>
                <w:bCs/>
                <w:sz w:val="20"/>
                <w:szCs w:val="20"/>
              </w:rPr>
              <w:t xml:space="preserve">Contracts POC:</w:t>
            </w:r>
          </w:p>
          <w:p>
            <w:pPr>
              <w:jc w:val="center"/>
            </w:pPr>
            <w:r>
              <w:rPr>
                <w:rFonts w:ascii="Times New Roman" w:cs="Times New Roman" w:eastAsia="Times New Roman" w:hAnsi="Times New Roman"/>
                <w:i/>
                <w:iCs/>
                <w:color w:val="C00000"/>
                <w:sz w:val="20"/>
                <w:szCs w:val="20"/>
              </w:rPr>
              <w:t xml:space="preserve">[PLACEHOLDER: Name, Title]</w:t>
            </w:r>
          </w:p>
          <w:p>
            <w:pPr>
              <w:jc w:val="center"/>
            </w:pPr>
            <w:r>
              <w:rPr>
                <w:rFonts w:ascii="Times New Roman" w:cs="Times New Roman" w:eastAsia="Times New Roman" w:hAnsi="Times New Roman"/>
                <w:i/>
                <w:iCs/>
                <w:color w:val="C00000"/>
                <w:sz w:val="20"/>
                <w:szCs w:val="20"/>
              </w:rPr>
              <w:t xml:space="preserve">Email: [PLACEHOLDER: email@deloitte.com]</w:t>
            </w:r>
          </w:p>
        </w:tc>
      </w:tr>
    </w:tbl>
    <w:p>
      <w:pPr>
        <w:spacing w:after="360" w:before="240"/>
        <w:jc w:val="center"/>
      </w:pPr>
      <w:r>
        <w:rPr>
          <w:rFonts w:ascii="Times New Roman" w:cs="Times New Roman" w:eastAsia="Times New Roman" w:hAnsi="Times New Roman"/>
          <w:b/>
          <w:bCs/>
          <w:sz w:val="20"/>
          <w:szCs w:val="20"/>
        </w:rPr>
        <w:t xml:space="preserve">Name, Address, and Phone</w:t>
      </w:r>
      <w:r>
        <w:rPr>
          <w:rFonts w:ascii="Times New Roman" w:cs="Times New Roman" w:eastAsia="Times New Roman" w:hAnsi="Times New Roman"/>
          <w:sz w:val="20"/>
          <w:szCs w:val="20"/>
        </w:rPr>
        <w:t xml:space="preserve">: Deloitte Consulting LLP, 1919 North Lynn Street, Arlington, VA 22209, Phone [PLACEHOLDER: 000-000-0000]</w:t>
      </w:r>
    </w:p>
    <w:p>
      <w:pPr>
        <w:spacing w:after="240" w:line="280"/>
      </w:pPr>
      <w:r>
        <w:rPr>
          <w:rFonts w:ascii="Times New Roman" w:cs="Times New Roman" w:eastAsia="Times New Roman" w:hAnsi="Times New Roman"/>
          <w:sz w:val="20"/>
          <w:szCs w:val="20"/>
        </w:rPr>
        <w:t xml:space="preserve">This request for information (RFI) response includes data that shall not be disclosed outside of the government and shall not be duplicated, used, or disclosed—in whole or in part—for any purpose other than consideration of this RFI response. The government may not rely upon its contents for accuracy or completeness nor to use it to formulate official policy or official decisions. The government may consider its contents “as-is” without any warranty of quality. In no event shall any part of this response be used in connection with the development of specifications or work statements with respect to any solicitation subject to full and open competition requirements, except as it pertains to this RFI. This restriction does not limit the government’s right to use information contained in this data if it is obtained from other sources without restriction.</w:t>
      </w:r>
    </w:p>
    <w:p>
      <w:pPr>
        <w:spacing w:after="240" w:line="280"/>
      </w:pPr>
      <w:r>
        <w:rPr>
          <w:rFonts w:ascii="Times New Roman" w:cs="Times New Roman" w:eastAsia="Times New Roman" w:hAnsi="Times New Roman"/>
          <w:sz w:val="20"/>
          <w:szCs w:val="20"/>
        </w:rPr>
        <w:t xml:space="preserve">As used in this document “Deloitte” means Deloitte Consulting LLP, a subsidiary of Deloitte LLP. Please see www.deloitte.com/us/about for a detailed description of the legal structure of Deloitte LLP and its subsidiaries. Certain services may not be available to attest clients under the rules and regulations of public accounting.</w:t>
      </w:r>
    </w:p>
    <w:p>
      <w:pPr>
        <w:sectPr>
          <w:headerReference w:type="default" r:id="rId8"/>
          <w:type w:val="nextPage"/>
          <w:pgSz w:w="12240" w:h="15840" w:orient="portrait"/>
          <w:pgMar w:top="1440" w:right="1440" w:bottom="1440" w:left="1440" w:header="708" w:footer="708" w:gutter="0"/>
          <w:pgNumType/>
          <w:docGrid w:linePitch="360"/>
        </w:sectPr>
      </w:pPr>
    </w:p>
    <w:p>
      <w:pPr>
        <w:keepNext/>
        <w:spacing w:after="120" w:before="360"/>
      </w:pPr>
      <w:r>
        <w:rPr>
          <w:rFonts w:ascii="Times New Roman" w:cs="Times New Roman" w:eastAsia="Times New Roman" w:hAnsi="Times New Roman"/>
          <w:b/>
          <w:bCs/>
          <w:color w:val="86BC25"/>
          <w:sz w:val="28"/>
          <w:szCs w:val="28"/>
        </w:rPr>
        <w:t xml:space="preserve">Table of Contents</w:t>
      </w:r>
    </w:p>
    <w:p>
      <w:pPr>
        <w:tabs>
          <w:tab w:val="right" w:pos="9360" w:leader="dot"/>
        </w:tabs>
        <w:spacing w:after="60" w:line="280"/>
        <w:ind w:left="0"/>
      </w:pPr>
      <w:r>
        <w:rPr>
          <w:rFonts w:ascii="Times New Roman" w:cs="Times New Roman" w:eastAsia="Times New Roman" w:hAnsi="Times New Roman"/>
          <w:sz w:val="20"/>
          <w:szCs w:val="20"/>
        </w:rPr>
        <w:t xml:space="preserve">Introduction</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left" w:pos="720"/>
          <w:tab w:val="right" w:pos="9360" w:leader="dot"/>
        </w:tabs>
        <w:spacing w:after="60" w:line="280"/>
        <w:ind w:left="0"/>
      </w:pPr>
      <w:r>
        <w:rPr>
          <w:rFonts w:ascii="Times New Roman" w:cs="Times New Roman" w:eastAsia="Times New Roman" w:hAnsi="Times New Roman"/>
          <w:sz w:val="20"/>
          <w:szCs w:val="20"/>
        </w:rPr>
        <w:t xml:space="preserve">1.0</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Company Capabilities, Staff Expertise, and Management Structure</w:t>
      </w:r>
      <w:r>
        <w:rPr>
          <w:rFonts w:ascii="Times New Roman" w:cs="Times New Roman" w:eastAsia="Times New Roman" w:hAnsi="Times New Roman"/>
        </w:rPr>
        <w:t xml:space="preserve">	</w:t>
      </w:r>
    </w:p>
    <w:p>
      <w:pPr>
        <w:tabs>
          <w:tab w:val="right" w:pos="9360" w:leader="dot"/>
        </w:tabs>
        <w:spacing w:after="60" w:line="280"/>
        <w:ind w:left="360"/>
      </w:pPr>
      <w:r>
        <w:rPr>
          <w:rFonts w:ascii="Times New Roman" w:cs="Times New Roman" w:eastAsia="Times New Roman" w:hAnsi="Times New Roman"/>
          <w:sz w:val="20"/>
          <w:szCs w:val="20"/>
        </w:rPr>
        <w:t xml:space="preserve">1.1 Deloitte Consulting LLP (Prime)</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1.2 Proposed Subcontractor(s)</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left" w:pos="720"/>
          <w:tab w:val="right" w:pos="9360" w:leader="dot"/>
        </w:tabs>
        <w:spacing w:after="60" w:line="280"/>
        <w:ind w:left="0"/>
      </w:pPr>
      <w:r>
        <w:rPr>
          <w:rFonts w:ascii="Times New Roman" w:cs="Times New Roman" w:eastAsia="Times New Roman" w:hAnsi="Times New Roman"/>
          <w:sz w:val="20"/>
          <w:szCs w:val="20"/>
        </w:rPr>
        <w:t xml:space="preserve">2.0</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Relevant Past Performance</w:t>
      </w:r>
      <w:r>
        <w:rPr>
          <w:rFonts w:ascii="Times New Roman" w:cs="Times New Roman" w:eastAsia="Times New Roman" w:hAnsi="Times New Roman"/>
        </w:rPr>
        <w:t xml:space="preserve">	</w:t>
      </w:r>
    </w:p>
    <w:p>
      <w:pPr>
        <w:tabs>
          <w:tab w:val="right" w:pos="9360" w:leader="dot"/>
        </w:tabs>
        <w:spacing w:after="60" w:line="280"/>
        <w:ind w:left="360"/>
      </w:pPr>
      <w:r>
        <w:rPr>
          <w:rFonts w:ascii="Times New Roman" w:cs="Times New Roman" w:eastAsia="Times New Roman" w:hAnsi="Times New Roman"/>
          <w:sz w:val="20"/>
          <w:szCs w:val="20"/>
        </w:rPr>
        <w:t xml:space="preserve">2.1 CDC / HHS Public Health Surveillance and Data Modernization</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2.2 Agile DevSecOps and Cloud-Native Federal Health IT</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2.3 STLT Onboarding, Migration, and Community of Practice</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2.4 Public Health Interoperability and Data Standards</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left" w:pos="720"/>
          <w:tab w:val="right" w:pos="9360" w:leader="dot"/>
        </w:tabs>
        <w:spacing w:after="60" w:line="280"/>
        <w:ind w:left="0"/>
      </w:pPr>
      <w:r>
        <w:rPr>
          <w:rFonts w:ascii="Times New Roman" w:cs="Times New Roman" w:eastAsia="Times New Roman" w:hAnsi="Times New Roman"/>
          <w:sz w:val="20"/>
          <w:szCs w:val="20"/>
        </w:rPr>
        <w:t xml:space="preserve">3.0</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Technical Approach to NBS Modernization and Support</w:t>
      </w:r>
      <w:r>
        <w:rPr>
          <w:rFonts w:ascii="Times New Roman" w:cs="Times New Roman" w:eastAsia="Times New Roman" w:hAnsi="Times New Roman"/>
        </w:rPr>
        <w:t xml:space="preserve">	</w:t>
      </w:r>
    </w:p>
    <w:p>
      <w:pPr>
        <w:tabs>
          <w:tab w:val="right" w:pos="9360" w:leader="dot"/>
        </w:tabs>
        <w:spacing w:after="60" w:line="280"/>
        <w:ind w:left="360"/>
      </w:pPr>
      <w:r>
        <w:rPr>
          <w:rFonts w:ascii="Times New Roman" w:cs="Times New Roman" w:eastAsia="Times New Roman" w:hAnsi="Times New Roman"/>
          <w:sz w:val="20"/>
          <w:szCs w:val="20"/>
        </w:rPr>
        <w:t xml:space="preserve">3.1 Operations &amp; Maintenance (PWS Task 1)</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3.2 Program Management (PWS Task 2)</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3.3 DevSecOps (PWS Task 3)</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3.4 Quality Assurance (PWS Task 4)</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3.5 CDC Case Notification Support (PWS Task 5)</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3.6 Migration and Onboarding Support (PWS Task 6)</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3.7 Person Match / Merge / Unmerge (PWS Task 7)</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3.8 eCR Processing and Workflow Integration (PWS Task 8)</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3.9 PageBuilder Modernization (PWS Task 9)</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3.10 NBS 6 Maintenance, 3rd-Party Application Support, and Sunset</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3.11 Multi-Hosting Model Support and Cloud Independence</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3.12 Optional Tasks: Custom Queues / Event Search and WDS (Tasks 10–11)</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3.13 Transition-In and Transition-Out (PWS Task 12)</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left" w:pos="720"/>
          <w:tab w:val="right" w:pos="9360" w:leader="dot"/>
        </w:tabs>
        <w:spacing w:after="60" w:line="280"/>
        <w:ind w:left="0"/>
      </w:pPr>
      <w:r>
        <w:rPr>
          <w:rFonts w:ascii="Times New Roman" w:cs="Times New Roman" w:eastAsia="Times New Roman" w:hAnsi="Times New Roman"/>
          <w:sz w:val="20"/>
          <w:szCs w:val="20"/>
        </w:rPr>
        <w:t xml:space="preserve">4.0</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Management Approach</w:t>
      </w:r>
      <w:r>
        <w:rPr>
          <w:rFonts w:ascii="Times New Roman" w:cs="Times New Roman" w:eastAsia="Times New Roman" w:hAnsi="Times New Roman"/>
        </w:rPr>
        <w:t xml:space="preserve">	</w:t>
      </w:r>
    </w:p>
    <w:p>
      <w:pPr>
        <w:tabs>
          <w:tab w:val="right" w:pos="9360" w:leader="dot"/>
        </w:tabs>
        <w:spacing w:after="60" w:line="280"/>
        <w:ind w:left="360"/>
      </w:pPr>
      <w:r>
        <w:rPr>
          <w:rFonts w:ascii="Times New Roman" w:cs="Times New Roman" w:eastAsia="Times New Roman" w:hAnsi="Times New Roman"/>
          <w:sz w:val="20"/>
          <w:szCs w:val="20"/>
        </w:rPr>
        <w:t xml:space="preserve">4.1 Governance Structure</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4.2 Quality Management</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4.3 Communications</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4.4 Risk Management</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4.5 Information Security, Privacy, and Compliance</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360"/>
      </w:pPr>
      <w:r>
        <w:rPr>
          <w:rFonts w:ascii="Times New Roman" w:cs="Times New Roman" w:eastAsia="Times New Roman" w:hAnsi="Times New Roman"/>
          <w:sz w:val="20"/>
          <w:szCs w:val="20"/>
        </w:rPr>
        <w:t xml:space="preserve">4.6 EPLC, CPIC, and Earned Value Management</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left" w:pos="720"/>
          <w:tab w:val="right" w:pos="9360" w:leader="dot"/>
        </w:tabs>
        <w:spacing w:after="60" w:line="280"/>
        <w:ind w:left="0"/>
      </w:pPr>
      <w:r>
        <w:rPr>
          <w:rFonts w:ascii="Times New Roman" w:cs="Times New Roman" w:eastAsia="Times New Roman" w:hAnsi="Times New Roman"/>
          <w:sz w:val="20"/>
          <w:szCs w:val="20"/>
        </w:rPr>
        <w:t xml:space="preserve">5.0</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Staffing Plan</w:t>
      </w:r>
      <w:r>
        <w:rPr>
          <w:rFonts w:ascii="Times New Roman" w:cs="Times New Roman" w:eastAsia="Times New Roman" w:hAnsi="Times New Roman"/>
        </w:rPr>
        <w:t xml:space="preserve">	</w:t>
      </w:r>
    </w:p>
    <w:p>
      <w:pPr>
        <w:tabs>
          <w:tab w:val="right" w:pos="9360" w:leader="dot"/>
        </w:tabs>
        <w:spacing w:after="60" w:line="280"/>
        <w:ind w:left="0"/>
      </w:pPr>
      <w:r>
        <w:rPr>
          <w:rFonts w:ascii="Times New Roman" w:cs="Times New Roman" w:eastAsia="Times New Roman" w:hAnsi="Times New Roman"/>
          <w:sz w:val="20"/>
          <w:szCs w:val="20"/>
        </w:rPr>
        <w:t xml:space="preserve">Appendix A: PWS Compliance Matrix</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0"/>
      </w:pPr>
      <w:r>
        <w:rPr>
          <w:rFonts w:ascii="Times New Roman" w:cs="Times New Roman" w:eastAsia="Times New Roman" w:hAnsi="Times New Roman"/>
          <w:sz w:val="20"/>
          <w:szCs w:val="20"/>
        </w:rPr>
        <w:t xml:space="preserve">Appendix B: Placeholder Summary</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pPr>
        <w:tabs>
          <w:tab w:val="right" w:pos="9360" w:leader="dot"/>
        </w:tabs>
        <w:spacing w:after="60" w:line="280"/>
        <w:ind w:left="0"/>
      </w:pPr>
      <w:r>
        <w:rPr>
          <w:rFonts w:ascii="Times New Roman" w:cs="Times New Roman" w:eastAsia="Times New Roman" w:hAnsi="Times New Roman"/>
          <w:sz w:val="20"/>
          <w:szCs w:val="20"/>
        </w:rPr>
        <w:t xml:space="preserve">Appendix C: Clarifying Questions for CDC Review</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
      </w:r>
    </w:p>
    <w:p>
      <w:r>
        <w:br w:type="page"/>
      </w:r>
    </w:p>
    <w:p>
      <w:pPr>
        <w:keepNext/>
        <w:spacing w:after="120" w:before="360"/>
      </w:pPr>
      <w:r>
        <w:rPr>
          <w:rFonts w:ascii="Times New Roman" w:cs="Times New Roman" w:eastAsia="Times New Roman" w:hAnsi="Times New Roman"/>
          <w:b/>
          <w:bCs/>
          <w:color w:val="86BC25"/>
          <w:sz w:val="28"/>
          <w:szCs w:val="28"/>
        </w:rPr>
        <w:t xml:space="preserve">Introduction</w:t>
      </w:r>
    </w:p>
    <w:p>
      <w:pPr>
        <w:spacing w:after="180" w:line="280"/>
      </w:pPr>
      <w:r>
        <w:rPr>
          <w:rFonts w:ascii="Times New Roman" w:cs="Times New Roman" w:eastAsia="Times New Roman" w:hAnsi="Times New Roman"/>
          <w:sz w:val="20"/>
          <w:szCs w:val="20"/>
        </w:rPr>
        <w:t xml:space="preserve">Deloitte Consulting LLP (Deloitte) is pleased to submit this response to the Centers for Disease Control and Prevention (CDC) Request for Information regarding the National Electronic Disease Surveillance System (NEDSS) Base System (NBS) Modernization and Support requirement. We submit this response on behalf of our Government &amp; Public Services (GPS) Health practice, which has supported virtually every major U.S. civilian health agency—including CDC, the National Institutes of Health (NIH), the Centers for Medicare &amp; Medicaid Services (CMS), the Food and Drug Administration (FDA), the Department of Veterans Affairs (VA), and the Military Health System—across surveillance modernization, public health data, cloud-native application development, and program governance.</w:t>
      </w:r>
    </w:p>
    <w:p>
      <w:pPr>
        <w:spacing w:after="180" w:line="280"/>
      </w:pPr>
      <w:r>
        <w:rPr>
          <w:rFonts w:ascii="Times New Roman" w:cs="Times New Roman" w:eastAsia="Times New Roman" w:hAnsi="Times New Roman"/>
          <w:sz w:val="20"/>
          <w:szCs w:val="20"/>
        </w:rPr>
        <w:t xml:space="preserve">The modernization of NBS sits at the intersection of two imperatives that define the future of public health: the urgent need for state, tribal, local, and territorial (STLT) jurisdictions to have modern, response-ready integrated disease surveillance systems (IDSS), and CDC’s broader Public Health Data Strategy (PHDS) commitment to delivering the right data, at the right time, to the right hands. Deloitte understands that NBS—serving 24 STLT jurisdictions including 18 states, 5 territories, and Washington D.C.—is the most widely adopted and cost-effective IDSS available to STLTs, and that the work ahead is uniquely demanding. The successful contractor must simultaneously sustain the Java-based NBS 6 (including embedded SAS, Rhapsody, and PHINMS components), continue the strangler-fig modernization of NBS 7, support three concurrent hosting models, migrate at least three jurisdictions per year, and remain open-source, FISMA High-compliant, and Section 508-conformant throughout a five-year period of performance.</w:t>
      </w:r>
    </w:p>
    <w:p>
      <w:pPr>
        <w:spacing w:after="180" w:line="280"/>
      </w:pPr>
      <w:r>
        <w:rPr>
          <w:rFonts w:ascii="Times New Roman" w:cs="Times New Roman" w:eastAsia="Times New Roman" w:hAnsi="Times New Roman"/>
          <w:sz w:val="20"/>
          <w:szCs w:val="20"/>
        </w:rPr>
        <w:t xml:space="preserve">Deloitte brings a delivery model purpose-built for this scope. Our response describes a holistic approach across all twelve PWS tasks (and both optional tasks), grounded in four differentiators we believe are uniquely relevant to NBS:</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Dual-track engineering capability</w:t>
      </w:r>
      <w:r>
        <w:rPr>
          <w:rFonts w:ascii="Times New Roman" w:cs="Times New Roman" w:eastAsia="Times New Roman" w:hAnsi="Times New Roman"/>
          <w:b w:val="false"/>
          <w:bCs w:val="false"/>
          <w:i w:val="false"/>
          <w:iCs w:val="false"/>
          <w:sz w:val="20"/>
          <w:szCs w:val="20"/>
        </w:rPr>
        <w:t xml:space="preserve">—a delivery team that maintains the embedded NBS 6 Java application server, supports SAS/Rhapsody/PHINMS, and remediates legacy security vulnerabilities while concurrently developing cloud-native NBS 7 microservices and APIs in CDC’s open-source GitHub.</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Public health domain depth</w:t>
      </w:r>
      <w:r>
        <w:rPr>
          <w:rFonts w:ascii="Times New Roman" w:cs="Times New Roman" w:eastAsia="Times New Roman" w:hAnsi="Times New Roman"/>
          <w:b w:val="false"/>
          <w:bCs w:val="false"/>
          <w:i w:val="false"/>
          <w:iCs w:val="false"/>
          <w:sz w:val="20"/>
          <w:szCs w:val="20"/>
        </w:rPr>
        <w:t xml:space="preserve">—dedicated Public Health Informaticians and Epidemiology/Surveillance Subject-Matter Experts (SMEs) embedded across workstreams, with hands-on experience in HL7v2, FHIR, CDA, MMG (including Gen V3), eCR, ELR, NNDSS messaging, and PHINMS-based data exchange.</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Configuration-over-customization discipline</w:t>
      </w:r>
      <w:r>
        <w:rPr>
          <w:rFonts w:ascii="Times New Roman" w:cs="Times New Roman" w:eastAsia="Times New Roman" w:hAnsi="Times New Roman"/>
          <w:b w:val="false"/>
          <w:bCs w:val="false"/>
          <w:i w:val="false"/>
          <w:iCs w:val="false"/>
          <w:sz w:val="20"/>
          <w:szCs w:val="20"/>
        </w:rPr>
        <w:t xml:space="preserve">—every design decision evaluated first against open-source components, standard configuration, and host-independent deployment, supporting the PWS objective that any feature delivered must run on multiple cloud providers without modification.</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Federal program management at scale</w:t>
      </w:r>
      <w:r>
        <w:rPr>
          <w:rFonts w:ascii="Times New Roman" w:cs="Times New Roman" w:eastAsia="Times New Roman" w:hAnsi="Times New Roman"/>
          <w:b w:val="false"/>
          <w:bCs w:val="false"/>
          <w:i w:val="false"/>
          <w:iCs w:val="false"/>
          <w:sz w:val="20"/>
          <w:szCs w:val="20"/>
        </w:rPr>
        <w:t xml:space="preserve">—PMP-led governance integrating ANSI/EIA-748-1998A-compliant EVMS, EPLC Stage Gates, CPIC reporting, and a continuous Risk-Issue-Opportunity (RIO) process, with monthly EVM reports delivered in CPR format by the 10th of each month.</w:t>
      </w:r>
    </w:p>
    <w:p>
      <w:pPr>
        <w:spacing w:after="180" w:line="280"/>
      </w:pPr>
      <w:r>
        <w:rPr>
          <w:rFonts w:ascii="Times New Roman" w:cs="Times New Roman" w:eastAsia="Times New Roman" w:hAnsi="Times New Roman"/>
          <w:sz w:val="20"/>
          <w:szCs w:val="20"/>
        </w:rPr>
        <w:t xml:space="preserve">The responses that follow are organized into the five major sections identified in the table of contents. Together they address all twelve PWS tasks, the two optional tasks, and the supporting management, security, and compliance requirements of the Performance Work Statement.</w:t>
      </w:r>
    </w:p>
    <w:p>
      <w:pPr>
        <w:keepNext/>
        <w:tabs>
          <w:tab w:val="left" w:pos="900"/>
        </w:tabs>
        <w:spacing w:after="120" w:before="360"/>
      </w:pPr>
      <w:r>
        <w:rPr>
          <w:rFonts w:ascii="Times New Roman" w:cs="Times New Roman" w:eastAsia="Times New Roman" w:hAnsi="Times New Roman"/>
          <w:b/>
          <w:bCs/>
          <w:color w:val="86BC25"/>
          <w:sz w:val="28"/>
          <w:szCs w:val="28"/>
        </w:rPr>
        <w:t xml:space="preserve">1.0</w:t>
      </w:r>
      <w:r>
        <w:rPr>
          <w:rFonts w:ascii="Times New Roman" w:cs="Times New Roman" w:eastAsia="Times New Roman" w:hAnsi="Times New Roman"/>
          <w:sz w:val="28"/>
          <w:szCs w:val="28"/>
        </w:rPr>
        <w:t xml:space="preserve">	</w:t>
      </w:r>
      <w:r>
        <w:rPr>
          <w:rFonts w:ascii="Times New Roman" w:cs="Times New Roman" w:eastAsia="Times New Roman" w:hAnsi="Times New Roman"/>
          <w:b/>
          <w:bCs/>
          <w:color w:val="86BC25"/>
          <w:sz w:val="28"/>
          <w:szCs w:val="28"/>
        </w:rPr>
        <w:t xml:space="preserve">Company Capabilities, Staff Expertise, and Management Structure</w:t>
      </w:r>
    </w:p>
    <w:p>
      <w:pPr>
        <w:keepNext/>
        <w:spacing w:after="80" w:before="200"/>
      </w:pPr>
      <w:r>
        <w:rPr>
          <w:rFonts w:ascii="Times New Roman" w:cs="Times New Roman" w:eastAsia="Times New Roman" w:hAnsi="Times New Roman"/>
          <w:b/>
          <w:bCs/>
          <w:sz w:val="26"/>
          <w:szCs w:val="26"/>
        </w:rPr>
        <w:t xml:space="preserve">1.1 Deloitte Consulting LLP (Prime)</w:t>
      </w:r>
    </w:p>
    <w:p>
      <w:pPr>
        <w:spacing w:after="180" w:line="280"/>
      </w:pPr>
      <w:r>
        <w:rPr>
          <w:rFonts w:ascii="Times New Roman" w:cs="Times New Roman" w:eastAsia="Times New Roman" w:hAnsi="Times New Roman"/>
          <w:sz w:val="20"/>
          <w:szCs w:val="20"/>
        </w:rPr>
        <w:t xml:space="preserve">Deloitte Consulting LLP is one of the largest providers of management, technology, and analytics consulting services to the U.S. federal government, with a dedicated Government &amp; Public Services (GPS) practice of more than 20,000 professionals. Within GPS, our Health Sector practice supports virtually every major civilian health agency, with current, deep experience in:</w:t>
      </w:r>
    </w:p>
    <w:p>
      <w:pPr>
        <w:pStyle w:val="ListParagraph"/>
        <w:numPr>
          <w:ilvl w:val="0"/>
          <w:numId w:val="2"/>
        </w:numPr>
        <w:spacing w:after="80" w:line="280"/>
      </w:pPr>
      <w:r>
        <w:rPr>
          <w:rFonts w:ascii="Times New Roman" w:cs="Times New Roman" w:eastAsia="Times New Roman" w:hAnsi="Times New Roman"/>
          <w:sz w:val="20"/>
          <w:szCs w:val="20"/>
        </w:rPr>
        <w:t xml:space="preserve">Public health surveillance modernization and IDSS implementation across federal and STLT environments, including HL7v2/FHIR-based case reporting, electronic lab reporting (ELR), and NNDSS messaging integration.</w:t>
      </w:r>
    </w:p>
    <w:p>
      <w:pPr>
        <w:pStyle w:val="ListParagraph"/>
        <w:numPr>
          <w:ilvl w:val="0"/>
          <w:numId w:val="2"/>
        </w:numPr>
        <w:spacing w:after="80" w:line="280"/>
      </w:pPr>
      <w:r>
        <w:rPr>
          <w:rFonts w:ascii="Times New Roman" w:cs="Times New Roman" w:eastAsia="Times New Roman" w:hAnsi="Times New Roman"/>
          <w:sz w:val="20"/>
          <w:szCs w:val="20"/>
        </w:rPr>
        <w:t xml:space="preserve">Agile software development, DevSecOps, and CI/CD pipeline management for federal health IT programs, with active contributions to open-source repositories under .gov GitHub organizations.</w:t>
      </w:r>
    </w:p>
    <w:p>
      <w:pPr>
        <w:pStyle w:val="ListParagraph"/>
        <w:numPr>
          <w:ilvl w:val="0"/>
          <w:numId w:val="2"/>
        </w:numPr>
        <w:spacing w:after="80" w:line="280"/>
      </w:pPr>
      <w:r>
        <w:rPr>
          <w:rFonts w:ascii="Times New Roman" w:cs="Times New Roman" w:eastAsia="Times New Roman" w:hAnsi="Times New Roman"/>
          <w:sz w:val="20"/>
          <w:szCs w:val="20"/>
        </w:rPr>
        <w:t xml:space="preserve">Cloud-native architecture (AWS, Azure) with FISMA High and FedRAMP compliance, including Authority to Operate (ATO) support, continuous monitoring, and Software Bill of Materials (SBOM) and provenance management.</w:t>
      </w:r>
    </w:p>
    <w:p>
      <w:pPr>
        <w:pStyle w:val="ListParagraph"/>
        <w:numPr>
          <w:ilvl w:val="0"/>
          <w:numId w:val="2"/>
        </w:numPr>
        <w:spacing w:after="80" w:line="280"/>
      </w:pPr>
      <w:r>
        <w:rPr>
          <w:rFonts w:ascii="Times New Roman" w:cs="Times New Roman" w:eastAsia="Times New Roman" w:hAnsi="Times New Roman"/>
          <w:sz w:val="20"/>
          <w:szCs w:val="20"/>
        </w:rPr>
        <w:t xml:space="preserve">Human-Centered Design (HCD), product management, and stakeholder engagement for complex government systems serving diverse user populations.</w:t>
      </w:r>
    </w:p>
    <w:p>
      <w:pPr>
        <w:pStyle w:val="ListParagraph"/>
        <w:numPr>
          <w:ilvl w:val="0"/>
          <w:numId w:val="2"/>
        </w:numPr>
        <w:spacing w:after="80" w:line="280"/>
      </w:pPr>
      <w:r>
        <w:rPr>
          <w:rFonts w:ascii="Times New Roman" w:cs="Times New Roman" w:eastAsia="Times New Roman" w:hAnsi="Times New Roman"/>
          <w:sz w:val="20"/>
          <w:szCs w:val="20"/>
        </w:rPr>
        <w:t xml:space="preserve">HL7 FHIR R4, HL7v2, electronic case reporting (eCR), Message Mapping Guides (MMG, including Gen V3), and PHIN data standards.</w:t>
      </w:r>
    </w:p>
    <w:p>
      <w:pPr>
        <w:pStyle w:val="ListParagraph"/>
        <w:numPr>
          <w:ilvl w:val="0"/>
          <w:numId w:val="2"/>
        </w:numPr>
        <w:spacing w:after="80" w:line="280"/>
      </w:pPr>
      <w:r>
        <w:rPr>
          <w:rFonts w:ascii="Times New Roman" w:cs="Times New Roman" w:eastAsia="Times New Roman" w:hAnsi="Times New Roman"/>
          <w:sz w:val="20"/>
          <w:szCs w:val="20"/>
        </w:rPr>
        <w:t xml:space="preserve">Community of practice facilitation and STLT partnership across the full spectrum of jurisdictional resourcing—from highly-resourced state programs to small territories with limited IT capacity.</w:t>
      </w:r>
    </w:p>
    <w:p>
      <w:pPr>
        <w:spacing w:after="180" w:line="280"/>
      </w:pPr>
      <w:r>
        <w:rPr>
          <w:rFonts w:ascii="Times New Roman" w:cs="Times New Roman" w:eastAsia="Times New Roman" w:hAnsi="Times New Roman"/>
          <w:sz w:val="20"/>
          <w:szCs w:val="20"/>
        </w:rPr>
        <w:t xml:space="preserve">Deloitte’s “One Firm” model enables us to convene integrated, cross-functional teams spanning consulting, technology, risk advisory, and health sciences. For NBS, this means a single accountable team that brings together software engineers, DevSecOps specialists, public health informaticians, epidemiologists, user experience designers, program managers, and security and compliance professionals—eliminating the handoff gaps that routinely plague siloed vendors.</w:t>
      </w:r>
    </w:p>
    <w:p>
      <w:pPr>
        <w:spacing w:after="180" w:line="280"/>
      </w:pPr>
      <w:r>
        <w:rPr>
          <w:rFonts w:ascii="Times New Roman" w:cs="Times New Roman" w:eastAsia="Times New Roman" w:hAnsi="Times New Roman"/>
          <w:sz w:val="20"/>
          <w:szCs w:val="20"/>
        </w:rPr>
        <w:t xml:space="preserve">Our GPS Health practice has supported CDC directly on data modernization, surveillance technology, and enterprise analytics programs. We bring institutional knowledge of CDC’s operating environment, governance structures (EPLC Stage Gates, CPIC, FISMA, EVMS), and technology ecosystem (Azure, GitHub, SharePoint, Confluence, Jira, Microsoft Teams), enabling a rapid transition-in with minimal disruption.</w:t>
      </w:r>
    </w:p>
    <w:p>
      <w:pPr>
        <w:shd w:fill="FFF2CC" w:color="auto" w:val="clear"/>
        <w:spacing w:after="180" w:line="280"/>
      </w:pPr>
      <w:r>
        <w:rPr>
          <w:rFonts w:ascii="Times New Roman" w:cs="Times New Roman" w:eastAsia="Times New Roman" w:hAnsi="Times New Roman"/>
          <w:b/>
          <w:bCs/>
          <w:i/>
          <w:iCs/>
          <w:color w:val="C00000"/>
          <w:sz w:val="20"/>
          <w:szCs w:val="20"/>
        </w:rPr>
        <w:t xml:space="preserve">[PLACEHOLDER] </w:t>
      </w:r>
      <w:r>
        <w:rPr>
          <w:rFonts w:ascii="Times New Roman" w:cs="Times New Roman" w:eastAsia="Times New Roman" w:hAnsi="Times New Roman"/>
          <w:i/>
          <w:iCs/>
          <w:color w:val="595959"/>
          <w:sz w:val="20"/>
          <w:szCs w:val="20"/>
        </w:rPr>
        <w:t xml:space="preserve">Insert specific CDC contract references where Deloitte GPS has supported surveillance, data modernization, or public health IT programs. Include contract numbers, COR contacts, period of performance, and 1–2 sentence outcome statements. Strongest references are NBS-adjacent (e.g., DMI-funded modernization, NNDSS messaging support) or directly involve OPHDST, IRD, or PHIT branch stakeholders.</w:t>
      </w:r>
    </w:p>
    <w:p>
      <w:pPr>
        <w:keepNext/>
        <w:spacing w:after="80" w:before="200"/>
      </w:pPr>
      <w:r>
        <w:rPr>
          <w:rFonts w:ascii="Times New Roman" w:cs="Times New Roman" w:eastAsia="Times New Roman" w:hAnsi="Times New Roman"/>
          <w:b/>
          <w:bCs/>
          <w:sz w:val="26"/>
          <w:szCs w:val="26"/>
        </w:rPr>
        <w:t xml:space="preserve">1.2 Proposed Subcontractor(s)</w:t>
      </w:r>
    </w:p>
    <w:p>
      <w:pPr>
        <w:spacing w:after="180" w:line="280"/>
      </w:pPr>
      <w:r>
        <w:rPr>
          <w:rFonts w:ascii="Times New Roman" w:cs="Times New Roman" w:eastAsia="Times New Roman" w:hAnsi="Times New Roman"/>
          <w:sz w:val="20"/>
          <w:szCs w:val="20"/>
        </w:rPr>
        <w:t xml:space="preserve">Deloitte’s teaming strategy for NBS Modernization and Support prioritizes depth in public health informatics, open-source software development, and STLT community engagement. Any proposed subcontractors will be vetted for demonstrated experience with IDSS platforms, federal agile delivery, FISMA High operating environments, and the NBS ecosystem specifically. Subcontracting plans will comply with all applicable CDC small business utilization goals and HHS subcontracting requirements.</w:t>
      </w:r>
    </w:p>
    <w:p>
      <w:pPr>
        <w:shd w:fill="FFF2CC" w:color="auto" w:val="clear"/>
        <w:spacing w:after="180" w:line="280"/>
      </w:pPr>
      <w:r>
        <w:rPr>
          <w:rFonts w:ascii="Times New Roman" w:cs="Times New Roman" w:eastAsia="Times New Roman" w:hAnsi="Times New Roman"/>
          <w:b/>
          <w:bCs/>
          <w:i/>
          <w:iCs/>
          <w:color w:val="C00000"/>
          <w:sz w:val="20"/>
          <w:szCs w:val="20"/>
        </w:rPr>
        <w:t xml:space="preserve">[PLACEHOLDER] </w:t>
      </w:r>
      <w:r>
        <w:rPr>
          <w:rFonts w:ascii="Times New Roman" w:cs="Times New Roman" w:eastAsia="Times New Roman" w:hAnsi="Times New Roman"/>
          <w:i/>
          <w:iCs/>
          <w:color w:val="595959"/>
          <w:sz w:val="20"/>
          <w:szCs w:val="20"/>
        </w:rPr>
        <w:t xml:space="preserve">Identify any proposed subcontractors and describe (1) their specific role on the NBS team, (2) relevant past performance, (3) staff expertise, (4) small business / 8(a) / SDVOSB / WOSB / HUBZone status as applicable, and (5) the subcontracting approach (e.g., labor mix, primary workstreams supported). If teaming with a small business, describe the subcontracting plan consistent with FAR 52.219-9 and CDC requirements. If pursuing a prime-only approach, state so explicitly and explain the rationale.</w:t>
      </w:r>
    </w:p>
    <w:p>
      <w:pPr>
        <w:keepNext/>
        <w:tabs>
          <w:tab w:val="left" w:pos="900"/>
        </w:tabs>
        <w:spacing w:after="120" w:before="360"/>
      </w:pPr>
      <w:r>
        <w:rPr>
          <w:rFonts w:ascii="Times New Roman" w:cs="Times New Roman" w:eastAsia="Times New Roman" w:hAnsi="Times New Roman"/>
          <w:b/>
          <w:bCs/>
          <w:color w:val="86BC25"/>
          <w:sz w:val="28"/>
          <w:szCs w:val="28"/>
        </w:rPr>
        <w:t xml:space="preserve">2.0</w:t>
      </w:r>
      <w:r>
        <w:rPr>
          <w:rFonts w:ascii="Times New Roman" w:cs="Times New Roman" w:eastAsia="Times New Roman" w:hAnsi="Times New Roman"/>
          <w:sz w:val="28"/>
          <w:szCs w:val="28"/>
        </w:rPr>
        <w:t xml:space="preserve">	</w:t>
      </w:r>
      <w:r>
        <w:rPr>
          <w:rFonts w:ascii="Times New Roman" w:cs="Times New Roman" w:eastAsia="Times New Roman" w:hAnsi="Times New Roman"/>
          <w:b/>
          <w:bCs/>
          <w:color w:val="86BC25"/>
          <w:sz w:val="28"/>
          <w:szCs w:val="28"/>
        </w:rPr>
        <w:t xml:space="preserve">Relevant Past Performance</w:t>
      </w:r>
    </w:p>
    <w:p>
      <w:pPr>
        <w:spacing w:after="180" w:line="280"/>
      </w:pPr>
      <w:r>
        <w:rPr>
          <w:rFonts w:ascii="Times New Roman" w:cs="Times New Roman" w:eastAsia="Times New Roman" w:hAnsi="Times New Roman"/>
          <w:sz w:val="20"/>
          <w:szCs w:val="20"/>
        </w:rPr>
        <w:t xml:space="preserve">Deloitte brings directly relevant past performance across federal public health IT modernization, cloud-native surveillance system development, STLT engagement, and agile DevSecOps delivery. The four examples below illustrate our ability to meet the scope, scale, and complexity demands of the NBS Modernization and Support requirement. Each summary identifies the contract, agency, period of performance, role, scope, and quantifiable outcomes most relevant to NBS.</w:t>
      </w:r>
    </w:p>
    <w:p>
      <w:pPr>
        <w:keepNext/>
        <w:spacing w:after="80" w:before="200"/>
      </w:pPr>
      <w:r>
        <w:rPr>
          <w:rFonts w:ascii="Times New Roman" w:cs="Times New Roman" w:eastAsia="Times New Roman" w:hAnsi="Times New Roman"/>
          <w:b/>
          <w:bCs/>
          <w:sz w:val="26"/>
          <w:szCs w:val="26"/>
        </w:rPr>
        <w:t xml:space="preserve">2.1 CDC / HHS Public Health Surveillance and Data Modernization</w:t>
      </w:r>
    </w:p>
    <w:p>
      <w:pPr>
        <w:shd w:fill="FFF2CC" w:color="auto" w:val="clear"/>
        <w:spacing w:after="180" w:line="280"/>
      </w:pPr>
      <w:r>
        <w:rPr>
          <w:rFonts w:ascii="Times New Roman" w:cs="Times New Roman" w:eastAsia="Times New Roman" w:hAnsi="Times New Roman"/>
          <w:b/>
          <w:bCs/>
          <w:i/>
          <w:iCs/>
          <w:color w:val="C00000"/>
          <w:sz w:val="20"/>
          <w:szCs w:val="20"/>
        </w:rPr>
        <w:t xml:space="preserve">[PLACEHOLDER] </w:t>
      </w:r>
      <w:r>
        <w:rPr>
          <w:rFonts w:ascii="Times New Roman" w:cs="Times New Roman" w:eastAsia="Times New Roman" w:hAnsi="Times New Roman"/>
          <w:i/>
          <w:iCs/>
          <w:color w:val="595959"/>
          <w:sz w:val="20"/>
          <w:szCs w:val="20"/>
        </w:rPr>
        <w:t xml:space="preserve">Insert CDC or HHS past performance example. Include: Contract Number, Contract Name, Agency, Period of Performance, Contract Value, COR Contact, and a 2–3 paragraph description of scope, approach, and outcomes demonstrating relevance to NBS Modernization. Strongest examples will demonstrate: (a) IDSS or notifiable-disease surveillance work; (b) STLT engagement at scale; (c) agile delivery in a FISMA High environment; (d) cloud hosting (Azure or AWS) of public health data systems; (e) open-source contribution under a CDC or HHS GitHub organization.</w:t>
      </w:r>
    </w:p>
    <w:p>
      <w:pPr>
        <w:keepNext/>
        <w:spacing w:after="80" w:before="200"/>
      </w:pPr>
      <w:r>
        <w:rPr>
          <w:rFonts w:ascii="Times New Roman" w:cs="Times New Roman" w:eastAsia="Times New Roman" w:hAnsi="Times New Roman"/>
          <w:b/>
          <w:bCs/>
          <w:sz w:val="26"/>
          <w:szCs w:val="26"/>
        </w:rPr>
        <w:t xml:space="preserve">2.2 Agile DevSecOps and Cloud-Native Federal Health IT</w:t>
      </w:r>
    </w:p>
    <w:p>
      <w:pPr>
        <w:shd w:fill="FFF2CC" w:color="auto" w:val="clear"/>
        <w:spacing w:after="180" w:line="280"/>
      </w:pPr>
      <w:r>
        <w:rPr>
          <w:rFonts w:ascii="Times New Roman" w:cs="Times New Roman" w:eastAsia="Times New Roman" w:hAnsi="Times New Roman"/>
          <w:b/>
          <w:bCs/>
          <w:i/>
          <w:iCs/>
          <w:color w:val="C00000"/>
          <w:sz w:val="20"/>
          <w:szCs w:val="20"/>
        </w:rPr>
        <w:t xml:space="preserve">[PLACEHOLDER] </w:t>
      </w:r>
      <w:r>
        <w:rPr>
          <w:rFonts w:ascii="Times New Roman" w:cs="Times New Roman" w:eastAsia="Times New Roman" w:hAnsi="Times New Roman"/>
          <w:i/>
          <w:iCs/>
          <w:color w:val="595959"/>
          <w:sz w:val="20"/>
          <w:szCs w:val="20"/>
        </w:rPr>
        <w:t xml:space="preserve">Insert federal health IT agile/DevSecOps past performance example. Describe CI/CD pipeline management, open-source repository governance, automated security scanning (SAST/SCA/container/IaC), test automation, FISMA compliance, ANSI/EIA-748 EVMS implementation, and release management at scale. Include contract number, agency, period of performance, contract value, and COR contact. Quantify outcomes where possible (e.g., release cadence achieved, defect-leakage rate, vulnerability remediation timeliness, automation coverage).</w:t>
      </w:r>
    </w:p>
    <w:p>
      <w:pPr>
        <w:keepNext/>
        <w:spacing w:after="80" w:before="200"/>
      </w:pPr>
      <w:r>
        <w:rPr>
          <w:rFonts w:ascii="Times New Roman" w:cs="Times New Roman" w:eastAsia="Times New Roman" w:hAnsi="Times New Roman"/>
          <w:b/>
          <w:bCs/>
          <w:sz w:val="26"/>
          <w:szCs w:val="26"/>
        </w:rPr>
        <w:t xml:space="preserve">2.3 STLT Onboarding, Migration, and Community of Practice</w:t>
      </w:r>
    </w:p>
    <w:p>
      <w:pPr>
        <w:shd w:fill="FFF2CC" w:color="auto" w:val="clear"/>
        <w:spacing w:after="180" w:line="280"/>
      </w:pPr>
      <w:r>
        <w:rPr>
          <w:rFonts w:ascii="Times New Roman" w:cs="Times New Roman" w:eastAsia="Times New Roman" w:hAnsi="Times New Roman"/>
          <w:b/>
          <w:bCs/>
          <w:i/>
          <w:iCs/>
          <w:color w:val="C00000"/>
          <w:sz w:val="20"/>
          <w:szCs w:val="20"/>
        </w:rPr>
        <w:t xml:space="preserve">[PLACEHOLDER] </w:t>
      </w:r>
      <w:r>
        <w:rPr>
          <w:rFonts w:ascii="Times New Roman" w:cs="Times New Roman" w:eastAsia="Times New Roman" w:hAnsi="Times New Roman"/>
          <w:i/>
          <w:iCs/>
          <w:color w:val="595959"/>
          <w:sz w:val="20"/>
          <w:szCs w:val="20"/>
        </w:rPr>
        <w:t xml:space="preserve">Insert past performance example demonstrating STLT engagement, jurisdiction onboarding/migration support, help desk operations under SLA, or community-of-practice facilitation. Describe scope, approach, volume of jurisdictions supported, hosting-environment diversity (on-prem, hybrid, cloud), and measurable outcomes (e.g., SLA attainment rate, onboarding cycle time, satisfaction scores). Include contract number, agency, period of performance, and COR contact.</w:t>
      </w:r>
    </w:p>
    <w:p>
      <w:pPr>
        <w:keepNext/>
        <w:spacing w:after="80" w:before="200"/>
      </w:pPr>
      <w:r>
        <w:rPr>
          <w:rFonts w:ascii="Times New Roman" w:cs="Times New Roman" w:eastAsia="Times New Roman" w:hAnsi="Times New Roman"/>
          <w:b/>
          <w:bCs/>
          <w:sz w:val="26"/>
          <w:szCs w:val="26"/>
        </w:rPr>
        <w:t xml:space="preserve">2.4 Public Health Interoperability and Data Standards</w:t>
      </w:r>
    </w:p>
    <w:p>
      <w:pPr>
        <w:shd w:fill="FFF2CC" w:color="auto" w:val="clear"/>
        <w:spacing w:after="180" w:line="280"/>
      </w:pPr>
      <w:r>
        <w:rPr>
          <w:rFonts w:ascii="Times New Roman" w:cs="Times New Roman" w:eastAsia="Times New Roman" w:hAnsi="Times New Roman"/>
          <w:b/>
          <w:bCs/>
          <w:i/>
          <w:iCs/>
          <w:color w:val="C00000"/>
          <w:sz w:val="20"/>
          <w:szCs w:val="20"/>
        </w:rPr>
        <w:t xml:space="preserve">[PLACEHOLDER] </w:t>
      </w:r>
      <w:r>
        <w:rPr>
          <w:rFonts w:ascii="Times New Roman" w:cs="Times New Roman" w:eastAsia="Times New Roman" w:hAnsi="Times New Roman"/>
          <w:i/>
          <w:iCs/>
          <w:color w:val="595959"/>
          <w:sz w:val="20"/>
          <w:szCs w:val="20"/>
        </w:rPr>
        <w:t xml:space="preserve">Insert past performance example relevant to HL7 FHIR R4, HL7v2, eCR, ELR, MMG (Gen V3 if available), or NNDSS messaging implementation. Describe the data standards work, system integrations supported (e.g., PHINMS, Rhapsody, NHSN), volume of messages processed, and public health outcomes achieved. Include contract number, agency, period of performance, contract value, and COR contact.</w:t>
      </w:r>
    </w:p>
    <w:p>
      <w:pPr>
        <w:keepNext/>
        <w:tabs>
          <w:tab w:val="left" w:pos="900"/>
        </w:tabs>
        <w:spacing w:after="120" w:before="360"/>
      </w:pPr>
      <w:r>
        <w:rPr>
          <w:rFonts w:ascii="Times New Roman" w:cs="Times New Roman" w:eastAsia="Times New Roman" w:hAnsi="Times New Roman"/>
          <w:b/>
          <w:bCs/>
          <w:color w:val="86BC25"/>
          <w:sz w:val="28"/>
          <w:szCs w:val="28"/>
        </w:rPr>
        <w:t xml:space="preserve">3.0</w:t>
      </w:r>
      <w:r>
        <w:rPr>
          <w:rFonts w:ascii="Times New Roman" w:cs="Times New Roman" w:eastAsia="Times New Roman" w:hAnsi="Times New Roman"/>
          <w:sz w:val="28"/>
          <w:szCs w:val="28"/>
        </w:rPr>
        <w:t xml:space="preserve">	</w:t>
      </w:r>
      <w:r>
        <w:rPr>
          <w:rFonts w:ascii="Times New Roman" w:cs="Times New Roman" w:eastAsia="Times New Roman" w:hAnsi="Times New Roman"/>
          <w:b/>
          <w:bCs/>
          <w:color w:val="86BC25"/>
          <w:sz w:val="28"/>
          <w:szCs w:val="28"/>
        </w:rPr>
        <w:t xml:space="preserve">Technical Approach to NBS Modernization and Support</w:t>
      </w:r>
    </w:p>
    <w:p>
      <w:pPr>
        <w:spacing w:after="180" w:line="280"/>
      </w:pPr>
      <w:r>
        <w:rPr>
          <w:rFonts w:ascii="Times New Roman" w:cs="Times New Roman" w:eastAsia="Times New Roman" w:hAnsi="Times New Roman"/>
          <w:sz w:val="20"/>
          <w:szCs w:val="20"/>
        </w:rPr>
        <w:t xml:space="preserve">Deloitte’s technical approach is organized around the five overarching objectives CDC has articulated in the PWS: (1) migrate as many STLTs as possible from NBS 6 to NBS 7; (2) sustain NBS 6 stability and security throughout the transition, including support for the embedded NBS 6 Java application server within NBS 7; (3) continue iterative modernization of NBS 7 toward a fully cloud-native, open-source IDSS; (4) support all three current hosting models with cloud-host-independent designs; and (5) build a sustainable, low-burden system that STLTs of all resource levels can adopt and maintain.</w:t>
      </w:r>
    </w:p>
    <w:p>
      <w:pPr>
        <w:spacing w:after="180" w:line="280"/>
      </w:pPr>
      <w:r>
        <w:rPr>
          <w:rFonts w:ascii="Times New Roman" w:cs="Times New Roman" w:eastAsia="Times New Roman" w:hAnsi="Times New Roman"/>
          <w:sz w:val="20"/>
          <w:szCs w:val="20"/>
        </w:rPr>
        <w:t xml:space="preserve">Our delivery model is anchored in four horizontal capabilities that cut across all twelve PWS tasks:</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Discovery and Human-Centered Design</w:t>
      </w:r>
      <w:r>
        <w:rPr>
          <w:rFonts w:ascii="Times New Roman" w:cs="Times New Roman" w:eastAsia="Times New Roman" w:hAnsi="Times New Roman"/>
          <w:b w:val="false"/>
          <w:bCs w:val="false"/>
          <w:i w:val="false"/>
          <w:iCs w:val="false"/>
          <w:sz w:val="20"/>
          <w:szCs w:val="20"/>
        </w:rPr>
        <w:t xml:space="preserve">—Public Health Informaticians, Epidemiology/Surveillance SMEs, and UX researchers embedded in every workstream to ensure features reflect real-world STLT workflows and applied public health practice. Discovery is continuous, not phased: stakeholder interviews, usability tests, journey maps, and low-fidelity prototypes are part of every sprint where new functionality is in flight.</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Agile Product Delivery</w:t>
      </w:r>
      <w:r>
        <w:rPr>
          <w:rFonts w:ascii="Times New Roman" w:cs="Times New Roman" w:eastAsia="Times New Roman" w:hAnsi="Times New Roman"/>
          <w:b w:val="false"/>
          <w:bCs w:val="false"/>
          <w:i w:val="false"/>
          <w:iCs w:val="false"/>
          <w:sz w:val="20"/>
          <w:szCs w:val="20"/>
        </w:rPr>
        <w:t xml:space="preserve">—Two-week sprints, continuous backlog refinement, and a regularly updated product roadmap maintained in partnership with CDC federal Product Owners and the STLT community of practice. Bi-weekly sprint reports submitted within 2 working days of sprint close.</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DevSecOps and Open Source</w:t>
      </w:r>
      <w:r>
        <w:rPr>
          <w:rFonts w:ascii="Times New Roman" w:cs="Times New Roman" w:eastAsia="Times New Roman" w:hAnsi="Times New Roman"/>
          <w:b w:val="false"/>
          <w:bCs w:val="false"/>
          <w:i w:val="false"/>
          <w:iCs w:val="false"/>
          <w:sz w:val="20"/>
          <w:szCs w:val="20"/>
        </w:rPr>
        <w:t xml:space="preserve">—FISMA High-compliant CI/CD pipelines, automated SAST/SCA/container/IaC scanning, immutable build artifacts with provenance, and fully open-source code in CDC’s GitHub repositories—ensuring NBS remains a community-owned, freely available resource for all STLTs.</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Configuration over Customization</w:t>
      </w:r>
      <w:r>
        <w:rPr>
          <w:rFonts w:ascii="Times New Roman" w:cs="Times New Roman" w:eastAsia="Times New Roman" w:hAnsi="Times New Roman"/>
          <w:b w:val="false"/>
          <w:bCs w:val="false"/>
          <w:i w:val="false"/>
          <w:iCs w:val="false"/>
          <w:sz w:val="20"/>
          <w:szCs w:val="20"/>
        </w:rPr>
        <w:t xml:space="preserve">—Every design decision is evaluated first against open-source components and standard configuration. Custom code is the last resort, not the first. This principle, called out as a PWS Modernized NBS 7 Supportability Objective, drives long-term maintainability and reduces total cost of ownership for both CDC and STLTs.</w:t>
      </w:r>
    </w:p>
    <w:p>
      <w:pPr>
        <w:keepNext/>
        <w:spacing w:after="80" w:before="200"/>
      </w:pPr>
      <w:r>
        <w:rPr>
          <w:rFonts w:ascii="Times New Roman" w:cs="Times New Roman" w:eastAsia="Times New Roman" w:hAnsi="Times New Roman"/>
          <w:b/>
          <w:bCs/>
          <w:sz w:val="26"/>
          <w:szCs w:val="26"/>
        </w:rPr>
        <w:t xml:space="preserve">3.1 Operations &amp; Maintenance (PWS Task 1)</w:t>
      </w:r>
    </w:p>
    <w:p>
      <w:pPr>
        <w:spacing w:after="180" w:line="280"/>
      </w:pPr>
      <w:r>
        <w:rPr>
          <w:rFonts w:ascii="Times New Roman" w:cs="Times New Roman" w:eastAsia="Times New Roman" w:hAnsi="Times New Roman"/>
          <w:sz w:val="20"/>
          <w:szCs w:val="20"/>
        </w:rPr>
        <w:t xml:space="preserve">Deloitte will establish a structured, metrics-driven help desk capability that serves as the primary interface between NBS users and the broader delivery team. We treat NBS Central as the system of record for all support tickets, defects, enhancement requests, and known issues, and we will manage the program’s community documentation portal as part of our O&amp;M responsibilities. Our approach distinguishes between Tier 1 support (user errors, configuration questions, onboarding guidance) and Tier 2 support (defect triage, environment-specific troubleshooting, escalation to engineering), with documented service level agreements (SLAs) for each severity tier.</w:t>
      </w:r>
    </w:p>
    <w:p>
      <w:pPr>
        <w:spacing w:after="180" w:line="280"/>
      </w:pPr>
      <w:r>
        <w:rPr>
          <w:rFonts w:ascii="Times New Roman" w:cs="Times New Roman" w:eastAsia="Times New Roman" w:hAnsi="Times New Roman"/>
          <w:sz w:val="20"/>
          <w:szCs w:val="20"/>
        </w:rPr>
        <w:t xml:space="preserve">Key elements of our O&amp;M approach include:</w:t>
      </w:r>
    </w:p>
    <w:p>
      <w:pPr>
        <w:pStyle w:val="ListParagraph"/>
        <w:numPr>
          <w:ilvl w:val="0"/>
          <w:numId w:val="2"/>
        </w:numPr>
        <w:spacing w:after="80" w:line="280"/>
      </w:pPr>
      <w:r>
        <w:rPr>
          <w:rFonts w:ascii="Times New Roman" w:cs="Times New Roman" w:eastAsia="Times New Roman" w:hAnsi="Times New Roman"/>
          <w:sz w:val="20"/>
          <w:szCs w:val="20"/>
        </w:rPr>
        <w:t xml:space="preserve">A centralized NBS Central–integrated ticketing workflow covering intake, triage, assignment, status tracking, and closure with documented resolution evidence; standardized triage categories and required ticket fields (product/version, environment, steps to reproduce, logs/screenshots) applied to every ticket.</w:t>
      </w:r>
    </w:p>
    <w:p>
      <w:pPr>
        <w:pStyle w:val="ListParagraph"/>
        <w:numPr>
          <w:ilvl w:val="0"/>
          <w:numId w:val="2"/>
        </w:numPr>
        <w:spacing w:after="80" w:line="280"/>
      </w:pPr>
      <w:r>
        <w:rPr>
          <w:rFonts w:ascii="Times New Roman" w:cs="Times New Roman" w:eastAsia="Times New Roman" w:hAnsi="Times New Roman"/>
          <w:sz w:val="20"/>
          <w:szCs w:val="20"/>
        </w:rPr>
        <w:t xml:space="preserve">Duplicate detection performed before creating new records; related issues linked and known issues referenced; backlog hygiene activities (tagging, deduping, aging review) executed on a weekly cadence.</w:t>
      </w:r>
    </w:p>
    <w:p>
      <w:pPr>
        <w:pStyle w:val="ListParagraph"/>
        <w:numPr>
          <w:ilvl w:val="0"/>
          <w:numId w:val="2"/>
        </w:numPr>
        <w:spacing w:after="80" w:line="280"/>
      </w:pPr>
      <w:r>
        <w:rPr>
          <w:rFonts w:ascii="Times New Roman" w:cs="Times New Roman" w:eastAsia="Times New Roman" w:hAnsi="Times New Roman"/>
          <w:sz w:val="20"/>
          <w:szCs w:val="20"/>
        </w:rPr>
        <w:t xml:space="preserve">A knowledge base (KB) program that converts recurring user inquiries into searchable FAQs and troubleshooting guides within five (5) business days of issue identification, measurably reducing repeat contacts.</w:t>
      </w:r>
    </w:p>
    <w:p>
      <w:pPr>
        <w:pStyle w:val="ListParagraph"/>
        <w:numPr>
          <w:ilvl w:val="0"/>
          <w:numId w:val="2"/>
        </w:numPr>
        <w:spacing w:after="80" w:line="280"/>
      </w:pPr>
      <w:r>
        <w:rPr>
          <w:rFonts w:ascii="Times New Roman" w:cs="Times New Roman" w:eastAsia="Times New Roman" w:hAnsi="Times New Roman"/>
          <w:sz w:val="20"/>
          <w:szCs w:val="20"/>
        </w:rPr>
        <w:t xml:space="preserve">Dedicated runbooks and playbooks for common incident scenarios, reviewed quarterly and updated following major incidents.</w:t>
      </w:r>
    </w:p>
    <w:p>
      <w:pPr>
        <w:pStyle w:val="ListParagraph"/>
        <w:numPr>
          <w:ilvl w:val="0"/>
          <w:numId w:val="2"/>
        </w:numPr>
        <w:spacing w:after="80" w:line="280"/>
      </w:pPr>
      <w:r>
        <w:rPr>
          <w:rFonts w:ascii="Times New Roman" w:cs="Times New Roman" w:eastAsia="Times New Roman" w:hAnsi="Times New Roman"/>
          <w:sz w:val="20"/>
          <w:szCs w:val="20"/>
        </w:rPr>
        <w:t xml:space="preserve">Monthly metrics dashboards covering ticket volume, time-to-acknowledge, time-to-resolution, reopen rate, first-contact resolution rate, backlog aging, and top categories—used to drive continuous improvement initiatives.</w:t>
      </w:r>
    </w:p>
    <w:p>
      <w:pPr>
        <w:pStyle w:val="ListParagraph"/>
        <w:numPr>
          <w:ilvl w:val="0"/>
          <w:numId w:val="2"/>
        </w:numPr>
        <w:spacing w:after="80" w:line="280"/>
      </w:pPr>
      <w:r>
        <w:rPr>
          <w:rFonts w:ascii="Times New Roman" w:cs="Times New Roman" w:eastAsia="Times New Roman" w:hAnsi="Times New Roman"/>
          <w:sz w:val="20"/>
          <w:szCs w:val="20"/>
        </w:rPr>
        <w:t xml:space="preserve">Proactive user communications: status updates on open Severity 1–2 issues within one (1) business day; Severity 3–4 updates every three to five (3–5) business days; tickets closed only after confirming resolution or after three (3) outreach attempts over ten (10) business days per documented policy.</w:t>
      </w:r>
    </w:p>
    <w:p>
      <w:pPr>
        <w:pStyle w:val="ListParagraph"/>
        <w:numPr>
          <w:ilvl w:val="0"/>
          <w:numId w:val="2"/>
        </w:numPr>
        <w:spacing w:after="80" w:line="280"/>
      </w:pPr>
      <w:r>
        <w:rPr>
          <w:rFonts w:ascii="Times New Roman" w:cs="Times New Roman" w:eastAsia="Times New Roman" w:hAnsi="Times New Roman"/>
          <w:sz w:val="20"/>
          <w:szCs w:val="20"/>
        </w:rPr>
        <w:t xml:space="preserve">NBS Central access provisioning support: standard access requests completed within two (2) business days, subject to system-owner approvals.</w:t>
      </w:r>
    </w:p>
    <w:p>
      <w:pPr>
        <w:pStyle w:val="ListParagraph"/>
        <w:numPr>
          <w:ilvl w:val="0"/>
          <w:numId w:val="2"/>
        </w:numPr>
        <w:spacing w:after="80" w:line="280"/>
      </w:pPr>
      <w:r>
        <w:rPr>
          <w:rFonts w:ascii="Times New Roman" w:cs="Times New Roman" w:eastAsia="Times New Roman" w:hAnsi="Times New Roman"/>
          <w:sz w:val="20"/>
          <w:szCs w:val="20"/>
        </w:rPr>
        <w:t xml:space="preserve">Maintenance of at least one publicly accessible demonstration environment running the latest General Availability (GA) release of NBS, available to STLTs and prospective adopters for evaluation.</w:t>
      </w:r>
    </w:p>
    <w:p>
      <w:pPr>
        <w:keepNext/>
        <w:spacing w:after="80" w:before="200"/>
      </w:pPr>
      <w:r>
        <w:rPr>
          <w:rFonts w:ascii="Times New Roman" w:cs="Times New Roman" w:eastAsia="Times New Roman" w:hAnsi="Times New Roman"/>
          <w:b/>
          <w:bCs/>
          <w:sz w:val="26"/>
          <w:szCs w:val="26"/>
        </w:rPr>
        <w:t xml:space="preserve">3.2 Program Management (PWS Task 2)</w:t>
      </w:r>
    </w:p>
    <w:p>
      <w:pPr>
        <w:spacing w:after="180" w:line="280"/>
      </w:pPr>
      <w:r>
        <w:rPr>
          <w:rFonts w:ascii="Times New Roman" w:cs="Times New Roman" w:eastAsia="Times New Roman" w:hAnsi="Times New Roman"/>
          <w:sz w:val="20"/>
          <w:szCs w:val="20"/>
        </w:rPr>
        <w:t xml:space="preserve">Deloitte will apply a disciplined, federally-aligned program management framework that integrates governance, release planning, risk management, and stakeholder communication into a cohesive delivery operation. Program Management is the final authority for release prioritization, sequencing, and go/no-go decisions across Product Support, Development, DevSecOps, QA, and Operations—as required by the PWS—while Product Support executes user-facing support, ticket resolution, training, and onboarding activities under PM coordination.</w:t>
      </w:r>
    </w:p>
    <w:p>
      <w:pPr>
        <w:spacing w:after="180" w:line="280"/>
      </w:pPr>
      <w:r>
        <w:rPr>
          <w:rFonts w:ascii="Times New Roman" w:cs="Times New Roman" w:eastAsia="Times New Roman" w:hAnsi="Times New Roman"/>
          <w:sz w:val="20"/>
          <w:szCs w:val="20"/>
        </w:rPr>
        <w:t xml:space="preserve">Core PM capabilities include:</w:t>
      </w:r>
    </w:p>
    <w:p>
      <w:pPr>
        <w:pStyle w:val="ListParagraph"/>
        <w:numPr>
          <w:ilvl w:val="0"/>
          <w:numId w:val="2"/>
        </w:numPr>
        <w:spacing w:after="80" w:line="280"/>
      </w:pPr>
      <w:r>
        <w:rPr>
          <w:rFonts w:ascii="Times New Roman" w:cs="Times New Roman" w:eastAsia="Times New Roman" w:hAnsi="Times New Roman"/>
          <w:sz w:val="20"/>
          <w:szCs w:val="20"/>
        </w:rPr>
        <w:t xml:space="preserve">A Program Management Plan (PMP) that documents delivery approach, roles/responsibilities, governance, communications, risk management, quality management, and reporting—reviewed and updated as program conditions evolve.</w:t>
      </w:r>
    </w:p>
    <w:p>
      <w:pPr>
        <w:pStyle w:val="ListParagraph"/>
        <w:numPr>
          <w:ilvl w:val="0"/>
          <w:numId w:val="2"/>
        </w:numPr>
        <w:spacing w:after="80" w:line="280"/>
      </w:pPr>
      <w:r>
        <w:rPr>
          <w:rFonts w:ascii="Times New Roman" w:cs="Times New Roman" w:eastAsia="Times New Roman" w:hAnsi="Times New Roman"/>
          <w:sz w:val="20"/>
          <w:szCs w:val="20"/>
        </w:rPr>
        <w:t xml:space="preserve">An integrated Release Calendar that sequences sprint deliverables, STLT migration cohorts, and NBS Central–tracked enhancement requests across all workstreams; release readiness reviews with documented entry/exit criteria and formal go/no-go decisions.</w:t>
      </w:r>
    </w:p>
    <w:p>
      <w:pPr>
        <w:pStyle w:val="ListParagraph"/>
        <w:numPr>
          <w:ilvl w:val="0"/>
          <w:numId w:val="2"/>
        </w:numPr>
        <w:spacing w:after="80" w:line="280"/>
      </w:pPr>
      <w:r>
        <w:rPr>
          <w:rFonts w:ascii="Times New Roman" w:cs="Times New Roman" w:eastAsia="Times New Roman" w:hAnsi="Times New Roman"/>
          <w:sz w:val="20"/>
          <w:szCs w:val="20"/>
        </w:rPr>
        <w:t xml:space="preserve">A Risk, Issue, and Opportunity (RIO) register reviewed weekly, with high/critical items escalated within one (1) business day; release-critical blockers tracked daily during release windows; immediate escalation for high-severity issues.</w:t>
      </w:r>
    </w:p>
    <w:p>
      <w:pPr>
        <w:pStyle w:val="ListParagraph"/>
        <w:numPr>
          <w:ilvl w:val="0"/>
          <w:numId w:val="2"/>
        </w:numPr>
        <w:spacing w:after="80" w:line="280"/>
      </w:pPr>
      <w:r>
        <w:rPr>
          <w:rFonts w:ascii="Times New Roman" w:cs="Times New Roman" w:eastAsia="Times New Roman" w:hAnsi="Times New Roman"/>
          <w:sz w:val="20"/>
          <w:szCs w:val="20"/>
        </w:rPr>
        <w:t xml:space="preserve">Earned Value Management aligned to ANSI/EIA-748-1998A under HHS OCIO EVM Policy. Deloitte will deliver Tier 1 (Major) Investment-grade EVMS data in the standard CPR format, supporting consolidation across CDC contract vehicles for HHS and OMB submission. EVMS implementation phasing will be coordinated with the CDC Investment Manager.</w:t>
      </w:r>
    </w:p>
    <w:p>
      <w:pPr>
        <w:pStyle w:val="ListParagraph"/>
        <w:numPr>
          <w:ilvl w:val="0"/>
          <w:numId w:val="2"/>
        </w:numPr>
        <w:spacing w:after="80" w:line="280"/>
      </w:pPr>
      <w:r>
        <w:rPr>
          <w:rFonts w:ascii="Times New Roman" w:cs="Times New Roman" w:eastAsia="Times New Roman" w:hAnsi="Times New Roman"/>
          <w:sz w:val="20"/>
          <w:szCs w:val="20"/>
        </w:rPr>
        <w:t xml:space="preserve">Adherence to CDC Enterprise Performance Life Cycle (EPLC) governance, including Stage Gate reviews, Work-Breakdown Structure development and maintenance, and master project schedule maintenance, with all IT costs captured in the Enterprise Systems Catalog (ESC) per the CPIC process.</w:t>
      </w:r>
    </w:p>
    <w:p>
      <w:pPr>
        <w:pStyle w:val="ListParagraph"/>
        <w:numPr>
          <w:ilvl w:val="0"/>
          <w:numId w:val="2"/>
        </w:numPr>
        <w:spacing w:after="80" w:line="280"/>
      </w:pPr>
      <w:r>
        <w:rPr>
          <w:rFonts w:ascii="Times New Roman" w:cs="Times New Roman" w:eastAsia="Times New Roman" w:hAnsi="Times New Roman"/>
          <w:sz w:val="20"/>
          <w:szCs w:val="20"/>
        </w:rPr>
        <w:t xml:space="preserve">A staffing plan with documented backups for all key roles, 30-day continuity coverage for any unplanned departure, and surge plans for emergent public health priorities (e.g., new emergent notifiable conditions, ingestion volume spikes).</w:t>
      </w:r>
    </w:p>
    <w:p>
      <w:pPr>
        <w:pStyle w:val="ListParagraph"/>
        <w:numPr>
          <w:ilvl w:val="0"/>
          <w:numId w:val="2"/>
        </w:numPr>
        <w:spacing w:after="80" w:line="280"/>
      </w:pPr>
      <w:r>
        <w:rPr>
          <w:rFonts w:ascii="Times New Roman" w:cs="Times New Roman" w:eastAsia="Times New Roman" w:hAnsi="Times New Roman"/>
          <w:sz w:val="20"/>
          <w:szCs w:val="20"/>
        </w:rPr>
        <w:t xml:space="preserve">A weekly execution cadence (sprint planning, daily stand-ups, retrospectives, stakeholder updates) supported by documented agendas, action items, and decision logs in CDC-designated collaboration platforms (Confluence, Jira, SharePoint, Teams).</w:t>
      </w:r>
    </w:p>
    <w:p>
      <w:pPr>
        <w:pStyle w:val="ListParagraph"/>
        <w:numPr>
          <w:ilvl w:val="0"/>
          <w:numId w:val="2"/>
        </w:numPr>
        <w:spacing w:after="80" w:line="280"/>
      </w:pPr>
      <w:r>
        <w:rPr>
          <w:rFonts w:ascii="Times New Roman" w:cs="Times New Roman" w:eastAsia="Times New Roman" w:hAnsi="Times New Roman"/>
          <w:sz w:val="20"/>
          <w:szCs w:val="20"/>
        </w:rPr>
        <w:t xml:space="preserve">Bi-weekly sprint reports submitted within two (2) working days of sprint end with 100% accuracy on planned-vs-completed work, per the PWS Performance Matrix.</w:t>
      </w:r>
    </w:p>
    <w:p>
      <w:pPr>
        <w:pStyle w:val="ListParagraph"/>
        <w:numPr>
          <w:ilvl w:val="0"/>
          <w:numId w:val="2"/>
        </w:numPr>
        <w:spacing w:after="80" w:line="280"/>
      </w:pPr>
      <w:r>
        <w:rPr>
          <w:rFonts w:ascii="Times New Roman" w:cs="Times New Roman" w:eastAsia="Times New Roman" w:hAnsi="Times New Roman"/>
          <w:sz w:val="20"/>
          <w:szCs w:val="20"/>
        </w:rPr>
        <w:t xml:space="preserve">Monthly Status Reports, Monthly Staff Roster, and Monthly EVM Reports delivered by the 10th calendar day of every month to the CDC COR and CDC Investment Manager as applicable.</w:t>
      </w:r>
    </w:p>
    <w:p>
      <w:pPr>
        <w:keepNext/>
        <w:spacing w:after="80" w:before="200"/>
      </w:pPr>
      <w:r>
        <w:rPr>
          <w:rFonts w:ascii="Times New Roman" w:cs="Times New Roman" w:eastAsia="Times New Roman" w:hAnsi="Times New Roman"/>
          <w:b/>
          <w:bCs/>
          <w:sz w:val="26"/>
          <w:szCs w:val="26"/>
        </w:rPr>
        <w:t xml:space="preserve">3.3 DevSecOps (PWS Task 3)</w:t>
      </w:r>
    </w:p>
    <w:p>
      <w:pPr>
        <w:spacing w:after="180" w:line="280"/>
      </w:pPr>
      <w:r>
        <w:rPr>
          <w:rFonts w:ascii="Times New Roman" w:cs="Times New Roman" w:eastAsia="Times New Roman" w:hAnsi="Times New Roman"/>
          <w:sz w:val="20"/>
          <w:szCs w:val="20"/>
        </w:rPr>
        <w:t xml:space="preserve">Deloitte’s DevSecOps capability is the engineering backbone of the NBS program. We will operate and continuously improve CDC’s CI/CD pipelines to ensure that every code change—from any contributing team or vendor—passes through automated quality, security, and compliance gates before reaching production. Our pipelines are designed to support multiple deployment targets in parallel: STLT-managed cloud environments (AWS and Azure), CDC-hosted Azure, and STLT on-premises Windows environments running NBS 6.</w:t>
      </w:r>
    </w:p>
    <w:p>
      <w:pPr>
        <w:spacing w:after="180" w:line="280"/>
      </w:pPr>
      <w:r>
        <w:rPr>
          <w:rFonts w:ascii="Times New Roman" w:cs="Times New Roman" w:eastAsia="Times New Roman" w:hAnsi="Times New Roman"/>
          <w:sz w:val="20"/>
          <w:szCs w:val="20"/>
        </w:rPr>
        <w:t xml:space="preserve">Our DevSecOps approach includes:</w:t>
      </w:r>
    </w:p>
    <w:p>
      <w:pPr>
        <w:pStyle w:val="ListParagraph"/>
        <w:numPr>
          <w:ilvl w:val="0"/>
          <w:numId w:val="2"/>
        </w:numPr>
        <w:spacing w:after="80" w:line="280"/>
      </w:pPr>
      <w:r>
        <w:rPr>
          <w:rFonts w:ascii="Times New Roman" w:cs="Times New Roman" w:eastAsia="Times New Roman" w:hAnsi="Times New Roman"/>
          <w:sz w:val="20"/>
          <w:szCs w:val="20"/>
        </w:rPr>
        <w:t xml:space="preserve">Immutable build artifacts with full provenance traceability: every release includes release notes, SBOM, signatures, checksums, and version metadata published to CDC-approved repositories. Artifacts are traceable to source revision and build metadata.</w:t>
      </w:r>
    </w:p>
    <w:p>
      <w:pPr>
        <w:pStyle w:val="ListParagraph"/>
        <w:numPr>
          <w:ilvl w:val="0"/>
          <w:numId w:val="2"/>
        </w:numPr>
        <w:spacing w:after="80" w:line="280"/>
      </w:pPr>
      <w:r>
        <w:rPr>
          <w:rFonts w:ascii="Times New Roman" w:cs="Times New Roman" w:eastAsia="Times New Roman" w:hAnsi="Times New Roman"/>
          <w:sz w:val="20"/>
          <w:szCs w:val="20"/>
        </w:rPr>
        <w:t xml:space="preserve">Automated security scanning across source code (SAST), dependencies (SCA), containers, and infrastructure-as-code (IaC); license compliance checks; results integrated into program workflows and provided to CDC. Critical vulnerabilities remediated or mitigated within 15 calendar days; high-severity within 30 calendar days.</w:t>
      </w:r>
    </w:p>
    <w:p>
      <w:pPr>
        <w:pStyle w:val="ListParagraph"/>
        <w:numPr>
          <w:ilvl w:val="0"/>
          <w:numId w:val="2"/>
        </w:numPr>
        <w:spacing w:after="80" w:line="280"/>
      </w:pPr>
      <w:r>
        <w:rPr>
          <w:rFonts w:ascii="Times New Roman" w:cs="Times New Roman" w:eastAsia="Times New Roman" w:hAnsi="Times New Roman"/>
          <w:sz w:val="20"/>
          <w:szCs w:val="20"/>
        </w:rPr>
        <w:t xml:space="preserve">Published DevSecOps standards covering branching strategy, build configuration, artifact signing, scanning, container baselines, and IaC scanning—reviewed quarterly and updated with each major platform change.</w:t>
      </w:r>
    </w:p>
    <w:p>
      <w:pPr>
        <w:pStyle w:val="ListParagraph"/>
        <w:numPr>
          <w:ilvl w:val="0"/>
          <w:numId w:val="2"/>
        </w:numPr>
        <w:spacing w:after="80" w:line="280"/>
      </w:pPr>
      <w:r>
        <w:rPr>
          <w:rFonts w:ascii="Times New Roman" w:cs="Times New Roman" w:eastAsia="Times New Roman" w:hAnsi="Times New Roman"/>
          <w:sz w:val="20"/>
          <w:szCs w:val="20"/>
        </w:rPr>
        <w:t xml:space="preserve">Mandatory gate enforcement: no merge or release proceeds without passing unit tests, SAST, dependency scan, container scan, IaC scan, and license checks. Documented gate criteria; exceptions require approval and have mandatory expiration dates.</w:t>
      </w:r>
    </w:p>
    <w:p>
      <w:pPr>
        <w:pStyle w:val="ListParagraph"/>
        <w:numPr>
          <w:ilvl w:val="0"/>
          <w:numId w:val="2"/>
        </w:numPr>
        <w:spacing w:after="80" w:line="280"/>
      </w:pPr>
      <w:r>
        <w:rPr>
          <w:rFonts w:ascii="Times New Roman" w:cs="Times New Roman" w:eastAsia="Times New Roman" w:hAnsi="Times New Roman"/>
          <w:sz w:val="20"/>
          <w:szCs w:val="20"/>
        </w:rPr>
        <w:t xml:space="preserve">Multi-target build and deploy: scripted, automated deployment pipelines for STLT-contracted AWS, STLT-contracted Azure, and CDC-contracted Azure environments—replacing manual “click ops” with idempotent, version-controlled infrastructure-as-code.</w:t>
      </w:r>
    </w:p>
    <w:p>
      <w:pPr>
        <w:pStyle w:val="ListParagraph"/>
        <w:numPr>
          <w:ilvl w:val="0"/>
          <w:numId w:val="2"/>
        </w:numPr>
        <w:spacing w:after="80" w:line="280"/>
      </w:pPr>
      <w:r>
        <w:rPr>
          <w:rFonts w:ascii="Times New Roman" w:cs="Times New Roman" w:eastAsia="Times New Roman" w:hAnsi="Times New Roman"/>
          <w:sz w:val="20"/>
          <w:szCs w:val="20"/>
        </w:rPr>
        <w:t xml:space="preserve">Secure coding practices aligned to United States Computer Emergency Readiness Team (US-CERT) guidance and Open Web Application Security Project (OWASP) standards; vulnerability remediation prioritized by severity.</w:t>
      </w:r>
    </w:p>
    <w:p>
      <w:pPr>
        <w:pStyle w:val="ListParagraph"/>
        <w:numPr>
          <w:ilvl w:val="0"/>
          <w:numId w:val="2"/>
        </w:numPr>
        <w:spacing w:after="80" w:line="280"/>
      </w:pPr>
      <w:r>
        <w:rPr>
          <w:rFonts w:ascii="Times New Roman" w:cs="Times New Roman" w:eastAsia="Times New Roman" w:hAnsi="Times New Roman"/>
          <w:sz w:val="20"/>
          <w:szCs w:val="20"/>
        </w:rPr>
        <w:t xml:space="preserve">Documentation maintained for platform architecture, pipeline usage, onboarding, troubleshooting, and security controls—all stored in Government-designated repositories.</w:t>
      </w:r>
    </w:p>
    <w:p>
      <w:pPr>
        <w:pStyle w:val="ListParagraph"/>
        <w:numPr>
          <w:ilvl w:val="0"/>
          <w:numId w:val="2"/>
        </w:numPr>
        <w:spacing w:after="80" w:line="280"/>
      </w:pPr>
      <w:r>
        <w:rPr>
          <w:rFonts w:ascii="Times New Roman" w:cs="Times New Roman" w:eastAsia="Times New Roman" w:hAnsi="Times New Roman"/>
          <w:sz w:val="20"/>
          <w:szCs w:val="20"/>
        </w:rPr>
        <w:t xml:space="preserve">Compliance evidence generation: configuration records, change logs, audit logs, scan results, and control implementations produced from DevSecOps systems to support FISMA/ATO artifacts as required by CDC policy.</w:t>
      </w:r>
    </w:p>
    <w:p>
      <w:pPr>
        <w:keepNext/>
        <w:spacing w:after="80" w:before="200"/>
      </w:pPr>
      <w:r>
        <w:rPr>
          <w:rFonts w:ascii="Times New Roman" w:cs="Times New Roman" w:eastAsia="Times New Roman" w:hAnsi="Times New Roman"/>
          <w:b/>
          <w:bCs/>
          <w:sz w:val="26"/>
          <w:szCs w:val="26"/>
        </w:rPr>
        <w:t xml:space="preserve">3.4 Quality Assurance (PWS Task 4)</w:t>
      </w:r>
    </w:p>
    <w:p>
      <w:pPr>
        <w:spacing w:after="180" w:line="280"/>
      </w:pPr>
      <w:r>
        <w:rPr>
          <w:rFonts w:ascii="Times New Roman" w:cs="Times New Roman" w:eastAsia="Times New Roman" w:hAnsi="Times New Roman"/>
          <w:sz w:val="20"/>
          <w:szCs w:val="20"/>
        </w:rPr>
        <w:t xml:space="preserve">Quality at Deloitte is not a gate—it is a continuous practice embedded in every sprint. Our QA approach covers the full testing spectrum: functional, integration, system, regression, accessibility (Section 508 / WCAG 2.0 Level A &amp; AA), performance, and security-related testing, all coordinated with development and DevSecOps to enforce a shared Definition of Ready and Definition of Done.</w:t>
      </w:r>
    </w:p>
    <w:p>
      <w:pPr>
        <w:spacing w:after="180" w:line="280"/>
      </w:pPr>
      <w:r>
        <w:rPr>
          <w:rFonts w:ascii="Times New Roman" w:cs="Times New Roman" w:eastAsia="Times New Roman" w:hAnsi="Times New Roman"/>
          <w:sz w:val="20"/>
          <w:szCs w:val="20"/>
        </w:rPr>
        <w:t xml:space="preserve">Key QA commitments include:</w:t>
      </w:r>
    </w:p>
    <w:p>
      <w:pPr>
        <w:pStyle w:val="ListParagraph"/>
        <w:numPr>
          <w:ilvl w:val="0"/>
          <w:numId w:val="2"/>
        </w:numPr>
        <w:spacing w:after="80" w:line="280"/>
      </w:pPr>
      <w:r>
        <w:rPr>
          <w:rFonts w:ascii="Times New Roman" w:cs="Times New Roman" w:eastAsia="Times New Roman" w:hAnsi="Times New Roman"/>
          <w:sz w:val="20"/>
          <w:szCs w:val="20"/>
        </w:rPr>
        <w:t xml:space="preserve">Program test strategy and test approach published and updated at least quarterly and upon major changes; test plans for releases/sprints include scope, approach, entry/exit criteria, and responsibilities.</w:t>
      </w:r>
    </w:p>
    <w:p>
      <w:pPr>
        <w:pStyle w:val="ListParagraph"/>
        <w:numPr>
          <w:ilvl w:val="0"/>
          <w:numId w:val="2"/>
        </w:numPr>
        <w:spacing w:after="80" w:line="280"/>
      </w:pPr>
      <w:r>
        <w:rPr>
          <w:rFonts w:ascii="Times New Roman" w:cs="Times New Roman" w:eastAsia="Times New Roman" w:hAnsi="Times New Roman"/>
          <w:sz w:val="20"/>
          <w:szCs w:val="20"/>
        </w:rPr>
        <w:t xml:space="preserve">Shared Definition of Ready and Definition of Done across all workstreams, including minimum test coverage and evidence requirements—ensuring user stories are testable before sprint commitment.</w:t>
      </w:r>
    </w:p>
    <w:p>
      <w:pPr>
        <w:pStyle w:val="ListParagraph"/>
        <w:numPr>
          <w:ilvl w:val="0"/>
          <w:numId w:val="2"/>
        </w:numPr>
        <w:spacing w:after="80" w:line="280"/>
      </w:pPr>
      <w:r>
        <w:rPr>
          <w:rFonts w:ascii="Times New Roman" w:cs="Times New Roman" w:eastAsia="Times New Roman" w:hAnsi="Times New Roman"/>
          <w:sz w:val="20"/>
          <w:szCs w:val="20"/>
        </w:rPr>
        <w:t xml:space="preserve">An 80%+ unit test coverage target (or higher threshold agreed with the federal Product Owner at task-order outset), enforced in CI/CD gates.</w:t>
      </w:r>
    </w:p>
    <w:p>
      <w:pPr>
        <w:pStyle w:val="ListParagraph"/>
        <w:numPr>
          <w:ilvl w:val="0"/>
          <w:numId w:val="2"/>
        </w:numPr>
        <w:spacing w:after="80" w:line="280"/>
      </w:pPr>
      <w:r>
        <w:rPr>
          <w:rFonts w:ascii="Times New Roman" w:cs="Times New Roman" w:eastAsia="Times New Roman" w:hAnsi="Times New Roman"/>
          <w:sz w:val="20"/>
          <w:szCs w:val="20"/>
        </w:rPr>
        <w:t xml:space="preserve">Automated test suites (unit-supporting, API, UI, integration, end-to-end, and regression) maintained in alignment with program architecture and delivery cadence; integrated into CI/CD with clearly defined gating behavior.</w:t>
      </w:r>
    </w:p>
    <w:p>
      <w:pPr>
        <w:pStyle w:val="ListParagraph"/>
        <w:numPr>
          <w:ilvl w:val="0"/>
          <w:numId w:val="2"/>
        </w:numPr>
        <w:spacing w:after="80" w:line="280"/>
      </w:pPr>
      <w:r>
        <w:rPr>
          <w:rFonts w:ascii="Times New Roman" w:cs="Times New Roman" w:eastAsia="Times New Roman" w:hAnsi="Times New Roman"/>
          <w:sz w:val="20"/>
          <w:szCs w:val="20"/>
        </w:rPr>
        <w:t xml:space="preserve">A prioritized “critical path” test suite executed against every release candidate, covering mission-critical surveillance workflows and NNDSS messaging functions.</w:t>
      </w:r>
    </w:p>
    <w:p>
      <w:pPr>
        <w:pStyle w:val="ListParagraph"/>
        <w:numPr>
          <w:ilvl w:val="0"/>
          <w:numId w:val="2"/>
        </w:numPr>
        <w:spacing w:after="80" w:line="280"/>
      </w:pPr>
      <w:r>
        <w:rPr>
          <w:rFonts w:ascii="Times New Roman" w:cs="Times New Roman" w:eastAsia="Times New Roman" w:hAnsi="Times New Roman"/>
          <w:sz w:val="20"/>
          <w:szCs w:val="20"/>
        </w:rPr>
        <w:t xml:space="preserve">Baseline performance metrics established at program inception, with automated regression alerts for any greater-than-10% degradation release-over-release without prior approval.</w:t>
      </w:r>
    </w:p>
    <w:p>
      <w:pPr>
        <w:pStyle w:val="ListParagraph"/>
        <w:numPr>
          <w:ilvl w:val="0"/>
          <w:numId w:val="2"/>
        </w:numPr>
        <w:spacing w:after="80" w:line="280"/>
      </w:pPr>
      <w:r>
        <w:rPr>
          <w:rFonts w:ascii="Times New Roman" w:cs="Times New Roman" w:eastAsia="Times New Roman" w:hAnsi="Times New Roman"/>
          <w:sz w:val="20"/>
          <w:szCs w:val="20"/>
        </w:rPr>
        <w:t xml:space="preserve">Section 508 / WCAG 2.0 Level A &amp; AA accessibility checks for every major UI release, with defects tracked and remediated per severity SLA; VPAT/ACR submitted for all applicable deliverables.</w:t>
      </w:r>
    </w:p>
    <w:p>
      <w:pPr>
        <w:pStyle w:val="ListParagraph"/>
        <w:numPr>
          <w:ilvl w:val="0"/>
          <w:numId w:val="2"/>
        </w:numPr>
        <w:spacing w:after="80" w:line="280"/>
      </w:pPr>
      <w:r>
        <w:rPr>
          <w:rFonts w:ascii="Times New Roman" w:cs="Times New Roman" w:eastAsia="Times New Roman" w:hAnsi="Times New Roman"/>
          <w:sz w:val="20"/>
          <w:szCs w:val="20"/>
        </w:rPr>
        <w:t xml:space="preserve">Test artifacts (plans, cases, results, defect logs) stored in approved repositories with versioning and traceability; complete release test reports and defect summaries delivered with every release candidate as required evidence for CDC approval.</w:t>
      </w:r>
    </w:p>
    <w:p>
      <w:pPr>
        <w:pStyle w:val="ListParagraph"/>
        <w:numPr>
          <w:ilvl w:val="0"/>
          <w:numId w:val="2"/>
        </w:numPr>
        <w:spacing w:after="80" w:line="280"/>
      </w:pPr>
      <w:r>
        <w:rPr>
          <w:rFonts w:ascii="Times New Roman" w:cs="Times New Roman" w:eastAsia="Times New Roman" w:hAnsi="Times New Roman"/>
          <w:sz w:val="20"/>
          <w:szCs w:val="20"/>
        </w:rPr>
        <w:t xml:space="preserve">Test environment requirements coordinated with DevSecOps and development teams to ensure environments are available, representative, and stable for test execution.</w:t>
      </w:r>
    </w:p>
    <w:p>
      <w:pPr>
        <w:keepNext/>
        <w:spacing w:after="80" w:before="200"/>
      </w:pPr>
      <w:r>
        <w:rPr>
          <w:rFonts w:ascii="Times New Roman" w:cs="Times New Roman" w:eastAsia="Times New Roman" w:hAnsi="Times New Roman"/>
          <w:b/>
          <w:bCs/>
          <w:sz w:val="26"/>
          <w:szCs w:val="26"/>
        </w:rPr>
        <w:t xml:space="preserve">3.5 CDC Case Notification Support (PWS Task 5)</w:t>
      </w:r>
    </w:p>
    <w:p>
      <w:pPr>
        <w:spacing w:after="180" w:line="280"/>
      </w:pPr>
      <w:r>
        <w:rPr>
          <w:rFonts w:ascii="Times New Roman" w:cs="Times New Roman" w:eastAsia="Times New Roman" w:hAnsi="Times New Roman"/>
          <w:sz w:val="20"/>
          <w:szCs w:val="20"/>
        </w:rPr>
        <w:t xml:space="preserve">Deloitte’s public health informatics team—including HL7 and FHIR specialists with hands-on MMG implementation experience—will ensure that NBS continuously supports CDC’s evolving NNDSS case notification requirements. We will deliver timely PageBuilder pages and data porting packages for all current and new MMGs, including the Gen V3 MMG, in accordance with CDC-approved timelines and milestones.</w:t>
      </w:r>
    </w:p>
    <w:p>
      <w:pPr>
        <w:spacing w:after="180" w:line="280"/>
      </w:pPr>
      <w:r>
        <w:rPr>
          <w:rFonts w:ascii="Times New Roman" w:cs="Times New Roman" w:eastAsia="Times New Roman" w:hAnsi="Times New Roman"/>
          <w:sz w:val="20"/>
          <w:szCs w:val="20"/>
        </w:rPr>
        <w:t xml:space="preserve">Our approach to case notification support includes:</w:t>
      </w:r>
    </w:p>
    <w:p>
      <w:pPr>
        <w:pStyle w:val="ListParagraph"/>
        <w:numPr>
          <w:ilvl w:val="0"/>
          <w:numId w:val="2"/>
        </w:numPr>
        <w:spacing w:after="80" w:line="280"/>
      </w:pPr>
      <w:r>
        <w:rPr>
          <w:rFonts w:ascii="Times New Roman" w:cs="Times New Roman" w:eastAsia="Times New Roman" w:hAnsi="Times New Roman"/>
          <w:sz w:val="20"/>
          <w:szCs w:val="20"/>
        </w:rPr>
        <w:t xml:space="preserve">Dedicated MMG tracking: a standing backlog of PageBuilder and data porting package work items, maintained in NBS Central and prioritized in coordination with CDC’s NNDSS program, the 1CDP team, and the Association of Public Health Laboratories (APHL) MMG onboarding team.</w:t>
      </w:r>
    </w:p>
    <w:p>
      <w:pPr>
        <w:pStyle w:val="ListParagraph"/>
        <w:numPr>
          <w:ilvl w:val="0"/>
          <w:numId w:val="2"/>
        </w:numPr>
        <w:spacing w:after="80" w:line="280"/>
      </w:pPr>
      <w:r>
        <w:rPr>
          <w:rFonts w:ascii="Times New Roman" w:cs="Times New Roman" w:eastAsia="Times New Roman" w:hAnsi="Times New Roman"/>
          <w:sz w:val="20"/>
          <w:szCs w:val="20"/>
        </w:rPr>
        <w:t xml:space="preserve">Replacement of legacy NBS pages with PageBuilder pages and corresponding data porting packages, sequenced with CDC-approved priorities.</w:t>
      </w:r>
    </w:p>
    <w:p>
      <w:pPr>
        <w:pStyle w:val="ListParagraph"/>
        <w:numPr>
          <w:ilvl w:val="0"/>
          <w:numId w:val="2"/>
        </w:numPr>
        <w:spacing w:after="80" w:line="280"/>
      </w:pPr>
      <w:r>
        <w:rPr>
          <w:rFonts w:ascii="Times New Roman" w:cs="Times New Roman" w:eastAsia="Times New Roman" w:hAnsi="Times New Roman"/>
          <w:sz w:val="20"/>
          <w:szCs w:val="20"/>
        </w:rPr>
        <w:t xml:space="preserve">STLT-inclusive design: all PageBuilder pages and porting packages are tested and validated with STLT input prior to release, ensuring content and strategy reflect real-world public health practice.</w:t>
      </w:r>
    </w:p>
    <w:p>
      <w:pPr>
        <w:pStyle w:val="ListParagraph"/>
        <w:numPr>
          <w:ilvl w:val="0"/>
          <w:numId w:val="2"/>
        </w:numPr>
        <w:spacing w:after="80" w:line="280"/>
      </w:pPr>
      <w:r>
        <w:rPr>
          <w:rFonts w:ascii="Times New Roman" w:cs="Times New Roman" w:eastAsia="Times New Roman" w:hAnsi="Times New Roman"/>
          <w:sz w:val="20"/>
          <w:szCs w:val="20"/>
        </w:rPr>
        <w:t xml:space="preserve">SLA-compliant responsiveness: STLT inquiries acknowledged within one (1) business day; technical responses within five (5) business days unless otherwise agreed with CDC.</w:t>
      </w:r>
    </w:p>
    <w:p>
      <w:pPr>
        <w:pStyle w:val="ListParagraph"/>
        <w:numPr>
          <w:ilvl w:val="0"/>
          <w:numId w:val="2"/>
        </w:numPr>
        <w:spacing w:after="80" w:line="280"/>
      </w:pPr>
      <w:r>
        <w:rPr>
          <w:rFonts w:ascii="Times New Roman" w:cs="Times New Roman" w:eastAsia="Times New Roman" w:hAnsi="Times New Roman"/>
          <w:sz w:val="20"/>
          <w:szCs w:val="20"/>
        </w:rPr>
        <w:t xml:space="preserve">Proactive onboarding support: direct coordination with the CDC MMG Onboarding team and APHL to ensure STLT MMG onboarding activities progress without impediment from technical gaps or delayed support.</w:t>
      </w:r>
    </w:p>
    <w:p>
      <w:pPr>
        <w:pStyle w:val="ListParagraph"/>
        <w:numPr>
          <w:ilvl w:val="0"/>
          <w:numId w:val="2"/>
        </w:numPr>
        <w:spacing w:after="80" w:line="280"/>
      </w:pPr>
      <w:r>
        <w:rPr>
          <w:rFonts w:ascii="Times New Roman" w:cs="Times New Roman" w:eastAsia="Times New Roman" w:hAnsi="Times New Roman"/>
          <w:sz w:val="20"/>
          <w:szCs w:val="20"/>
        </w:rPr>
        <w:t xml:space="preserve">Troubleshooting support and rapid bug remediation when STLT NNDSS messaging fails, with full root-cause analysis communicated to affected jurisdictions.</w:t>
      </w:r>
    </w:p>
    <w:p>
      <w:pPr>
        <w:keepNext/>
        <w:spacing w:after="80" w:before="200"/>
      </w:pPr>
      <w:r>
        <w:rPr>
          <w:rFonts w:ascii="Times New Roman" w:cs="Times New Roman" w:eastAsia="Times New Roman" w:hAnsi="Times New Roman"/>
          <w:b/>
          <w:bCs/>
          <w:sz w:val="26"/>
          <w:szCs w:val="26"/>
        </w:rPr>
        <w:t xml:space="preserve">3.6 Migration and Onboarding Support (PWS Task 6)</w:t>
      </w:r>
    </w:p>
    <w:p>
      <w:pPr>
        <w:spacing w:after="180" w:line="280"/>
      </w:pPr>
      <w:r>
        <w:rPr>
          <w:rFonts w:ascii="Times New Roman" w:cs="Times New Roman" w:eastAsia="Times New Roman" w:hAnsi="Times New Roman"/>
          <w:sz w:val="20"/>
          <w:szCs w:val="20"/>
        </w:rPr>
        <w:t xml:space="preserve">Deloitte treats STLT migration as a program within the program—a structured, jurisdiction-specific effort requiring careful coordination across cloud infrastructure, legacy data, STLT enterprise IT, and ongoing surveillance operations. Our migration approach is built on the NBS 7 strangler fig architecture: enabling STLTs to continue NBS 6 operations while incrementally standing up NBS 7, validating each component, and cutting over with minimal disruption.</w:t>
      </w:r>
    </w:p>
    <w:p>
      <w:pPr>
        <w:spacing w:after="180" w:line="280"/>
      </w:pPr>
      <w:r>
        <w:rPr>
          <w:rFonts w:ascii="Times New Roman" w:cs="Times New Roman" w:eastAsia="Times New Roman" w:hAnsi="Times New Roman"/>
          <w:sz w:val="20"/>
          <w:szCs w:val="20"/>
        </w:rPr>
        <w:t xml:space="preserve">Our framework supports all four migration directions identified in the PWS:</w:t>
      </w:r>
    </w:p>
    <w:p>
      <w:pPr>
        <w:pStyle w:val="ListParagraph"/>
        <w:numPr>
          <w:ilvl w:val="0"/>
          <w:numId w:val="2"/>
        </w:numPr>
        <w:spacing w:after="80" w:line="280"/>
      </w:pPr>
      <w:r>
        <w:rPr>
          <w:rFonts w:ascii="Times New Roman" w:cs="Times New Roman" w:eastAsia="Times New Roman" w:hAnsi="Times New Roman"/>
          <w:sz w:val="20"/>
          <w:szCs w:val="20"/>
        </w:rPr>
        <w:t xml:space="preserve">NBS 6 to NBS 7 (the primary migration path).</w:t>
      </w:r>
    </w:p>
    <w:p>
      <w:pPr>
        <w:pStyle w:val="ListParagraph"/>
        <w:numPr>
          <w:ilvl w:val="0"/>
          <w:numId w:val="2"/>
        </w:numPr>
        <w:spacing w:after="80" w:line="280"/>
      </w:pPr>
      <w:r>
        <w:rPr>
          <w:rFonts w:ascii="Times New Roman" w:cs="Times New Roman" w:eastAsia="Times New Roman" w:hAnsi="Times New Roman"/>
          <w:sz w:val="20"/>
          <w:szCs w:val="20"/>
        </w:rPr>
        <w:t xml:space="preserve">Other surveillance systems to NBS 7 (for jurisdictions adopting NBS for the first time from a different IDSS).</w:t>
      </w:r>
    </w:p>
    <w:p>
      <w:pPr>
        <w:pStyle w:val="ListParagraph"/>
        <w:numPr>
          <w:ilvl w:val="0"/>
          <w:numId w:val="2"/>
        </w:numPr>
        <w:spacing w:after="80" w:line="280"/>
      </w:pPr>
      <w:r>
        <w:rPr>
          <w:rFonts w:ascii="Times New Roman" w:cs="Times New Roman" w:eastAsia="Times New Roman" w:hAnsi="Times New Roman"/>
          <w:sz w:val="20"/>
          <w:szCs w:val="20"/>
        </w:rPr>
        <w:t xml:space="preserve">No surveillance system to NBS 7 (greenfield onboarding).</w:t>
      </w:r>
    </w:p>
    <w:p>
      <w:pPr>
        <w:pStyle w:val="ListParagraph"/>
        <w:numPr>
          <w:ilvl w:val="0"/>
          <w:numId w:val="2"/>
        </w:numPr>
        <w:spacing w:after="80" w:line="280"/>
      </w:pPr>
      <w:r>
        <w:rPr>
          <w:rFonts w:ascii="Times New Roman" w:cs="Times New Roman" w:eastAsia="Times New Roman" w:hAnsi="Times New Roman"/>
          <w:sz w:val="20"/>
          <w:szCs w:val="20"/>
        </w:rPr>
        <w:t xml:space="preserve">NBS 6 or NBS 7 to another surveillance system (offboarding for jurisdictions that elect a different solution).</w:t>
      </w:r>
    </w:p>
    <w:p>
      <w:pPr>
        <w:spacing w:after="180" w:line="280"/>
      </w:pPr>
      <w:r>
        <w:rPr>
          <w:rFonts w:ascii="Times New Roman" w:cs="Times New Roman" w:eastAsia="Times New Roman" w:hAnsi="Times New Roman"/>
          <w:sz w:val="20"/>
          <w:szCs w:val="20"/>
        </w:rPr>
        <w:t xml:space="preserve">Migration and onboarding capabilities include:</w:t>
      </w:r>
    </w:p>
    <w:p>
      <w:pPr>
        <w:pStyle w:val="ListParagraph"/>
        <w:numPr>
          <w:ilvl w:val="0"/>
          <w:numId w:val="2"/>
        </w:numPr>
        <w:spacing w:after="80" w:line="280"/>
      </w:pPr>
      <w:r>
        <w:rPr>
          <w:rFonts w:ascii="Times New Roman" w:cs="Times New Roman" w:eastAsia="Times New Roman" w:hAnsi="Times New Roman"/>
          <w:sz w:val="20"/>
          <w:szCs w:val="20"/>
        </w:rPr>
        <w:t xml:space="preserve">Pre-migration readiness assessment covering: cloud subscription availability; NBS 6 version compatibility; STLT IT team capacity; jurisdictional surveillance workload calendars; and availability of skilled personnel—used to develop a phased migration plan that accommodates each jurisdiction’s constraints.</w:t>
      </w:r>
    </w:p>
    <w:p>
      <w:pPr>
        <w:pStyle w:val="ListParagraph"/>
        <w:numPr>
          <w:ilvl w:val="0"/>
          <w:numId w:val="2"/>
        </w:numPr>
        <w:spacing w:after="80" w:line="280"/>
      </w:pPr>
      <w:r>
        <w:rPr>
          <w:rFonts w:ascii="Times New Roman" w:cs="Times New Roman" w:eastAsia="Times New Roman" w:hAnsi="Times New Roman"/>
          <w:sz w:val="20"/>
          <w:szCs w:val="20"/>
        </w:rPr>
        <w:t xml:space="preserve">A minimum of three (3) STLT migrations per contract year for jurisdictions not using a vendor-hosted solution, with dedicated technical support through planning, environment setup, data validation, go-live, and post-migration stabilization. Each CDC-approved migration cohort is actively supported through planning, execution, or stabilization activities during the migration period.</w:t>
      </w:r>
    </w:p>
    <w:p>
      <w:pPr>
        <w:pStyle w:val="ListParagraph"/>
        <w:numPr>
          <w:ilvl w:val="0"/>
          <w:numId w:val="2"/>
        </w:numPr>
        <w:spacing w:after="80" w:line="280"/>
      </w:pPr>
      <w:r>
        <w:rPr>
          <w:rFonts w:ascii="Times New Roman" w:cs="Times New Roman" w:eastAsia="Times New Roman" w:hAnsi="Times New Roman"/>
          <w:sz w:val="20"/>
          <w:szCs w:val="20"/>
        </w:rPr>
        <w:t xml:space="preserve">Hybrid environment support: where STLTs require on-premises components (PHINMS, Rhapsody, SAS, jurisdiction-specific reporting tools), our team will design and document integration approaches that bridge on-prem and cloud infrastructure without compromising data integrity or security.</w:t>
      </w:r>
    </w:p>
    <w:p>
      <w:pPr>
        <w:pStyle w:val="ListParagraph"/>
        <w:numPr>
          <w:ilvl w:val="0"/>
          <w:numId w:val="2"/>
        </w:numPr>
        <w:spacing w:after="80" w:line="280"/>
      </w:pPr>
      <w:r>
        <w:rPr>
          <w:rFonts w:ascii="Times New Roman" w:cs="Times New Roman" w:eastAsia="Times New Roman" w:hAnsi="Times New Roman"/>
          <w:sz w:val="20"/>
          <w:szCs w:val="20"/>
        </w:rPr>
        <w:t xml:space="preserve">Cloud environment setup support coordinated with CDC and STLT enterprise IT teams, including network, security, and database stakeholders.</w:t>
      </w:r>
    </w:p>
    <w:p>
      <w:pPr>
        <w:pStyle w:val="ListParagraph"/>
        <w:numPr>
          <w:ilvl w:val="0"/>
          <w:numId w:val="2"/>
        </w:numPr>
        <w:spacing w:after="80" w:line="280"/>
      </w:pPr>
      <w:r>
        <w:rPr>
          <w:rFonts w:ascii="Times New Roman" w:cs="Times New Roman" w:eastAsia="Times New Roman" w:hAnsi="Times New Roman"/>
          <w:sz w:val="20"/>
          <w:szCs w:val="20"/>
        </w:rPr>
        <w:t xml:space="preserve">User-facing documentation and training materials developed collaboratively with STLT staff, reviewed and approved by CDC, and published to NBS Central for reuse across jurisdictions. All materials accurately reflect the implemented migration approach.</w:t>
      </w:r>
    </w:p>
    <w:p>
      <w:pPr>
        <w:pStyle w:val="ListParagraph"/>
        <w:numPr>
          <w:ilvl w:val="0"/>
          <w:numId w:val="2"/>
        </w:numPr>
        <w:spacing w:after="80" w:line="280"/>
      </w:pPr>
      <w:r>
        <w:rPr>
          <w:rFonts w:ascii="Times New Roman" w:cs="Times New Roman" w:eastAsia="Times New Roman" w:hAnsi="Times New Roman"/>
          <w:sz w:val="20"/>
          <w:szCs w:val="20"/>
        </w:rPr>
        <w:t xml:space="preserve">STLT inquiries acknowledged within one (1) business day; technical migration questions resolved within five (5) business days unless otherwise agreed with CDC.</w:t>
      </w:r>
    </w:p>
    <w:p>
      <w:pPr>
        <w:pStyle w:val="ListParagraph"/>
        <w:numPr>
          <w:ilvl w:val="0"/>
          <w:numId w:val="2"/>
        </w:numPr>
        <w:spacing w:after="80" w:line="280"/>
      </w:pPr>
      <w:r>
        <w:rPr>
          <w:rFonts w:ascii="Times New Roman" w:cs="Times New Roman" w:eastAsia="Times New Roman" w:hAnsi="Times New Roman"/>
          <w:sz w:val="20"/>
          <w:szCs w:val="20"/>
        </w:rPr>
        <w:t xml:space="preserve">Migration activities completed without material disruption to ongoing surveillance operations, as validated through CDC-approved acceptance criteria.</w:t>
      </w:r>
    </w:p>
    <w:p>
      <w:pPr>
        <w:keepNext/>
        <w:spacing w:after="80" w:before="200"/>
      </w:pPr>
      <w:r>
        <w:rPr>
          <w:rFonts w:ascii="Times New Roman" w:cs="Times New Roman" w:eastAsia="Times New Roman" w:hAnsi="Times New Roman"/>
          <w:b/>
          <w:bCs/>
          <w:sz w:val="26"/>
          <w:szCs w:val="26"/>
        </w:rPr>
        <w:t xml:space="preserve">3.7 Person Match / Merge / Unmerge (PWS Task 7)</w:t>
      </w:r>
    </w:p>
    <w:p>
      <w:pPr>
        <w:spacing w:after="180" w:line="280"/>
      </w:pPr>
      <w:r>
        <w:rPr>
          <w:rFonts w:ascii="Times New Roman" w:cs="Times New Roman" w:eastAsia="Times New Roman" w:hAnsi="Times New Roman"/>
          <w:sz w:val="20"/>
          <w:szCs w:val="20"/>
        </w:rPr>
        <w:t xml:space="preserve">Person record integrity is foundational to accurate disease surveillance. Deloitte will complete and extend the in-progress NBS 7 person matching modernization, delivering a fully integrated matching algorithm, intuitive merge/do-not-merge workflows, and a new person unmerge capability—all aligned with NBS Design System 2.0 and compliant with FISMA High security and NBS 7 architectural standards.</w:t>
      </w:r>
    </w:p>
    <w:p>
      <w:pPr>
        <w:spacing w:after="180" w:line="280"/>
      </w:pPr>
      <w:r>
        <w:rPr>
          <w:rFonts w:ascii="Times New Roman" w:cs="Times New Roman" w:eastAsia="Times New Roman" w:hAnsi="Times New Roman"/>
          <w:sz w:val="20"/>
          <w:szCs w:val="20"/>
        </w:rPr>
        <w:t xml:space="preserve">Our approach includes:</w:t>
      </w:r>
    </w:p>
    <w:p>
      <w:pPr>
        <w:pStyle w:val="ListParagraph"/>
        <w:numPr>
          <w:ilvl w:val="0"/>
          <w:numId w:val="2"/>
        </w:numPr>
        <w:spacing w:after="80" w:line="280"/>
      </w:pPr>
      <w:r>
        <w:rPr>
          <w:rFonts w:ascii="Times New Roman" w:cs="Times New Roman" w:eastAsia="Times New Roman" w:hAnsi="Times New Roman"/>
          <w:sz w:val="20"/>
          <w:szCs w:val="20"/>
        </w:rPr>
        <w:t xml:space="preserve">Integration of the modernized matching algorithm with NBS ingestion pipelines and the NBS database, with system administration UIs supporting configurable matching parameters, exception list management, and record flagging functionality.</w:t>
      </w:r>
    </w:p>
    <w:p>
      <w:pPr>
        <w:pStyle w:val="ListParagraph"/>
        <w:numPr>
          <w:ilvl w:val="0"/>
          <w:numId w:val="2"/>
        </w:numPr>
        <w:spacing w:after="80" w:line="280"/>
      </w:pPr>
      <w:r>
        <w:rPr>
          <w:rFonts w:ascii="Times New Roman" w:cs="Times New Roman" w:eastAsia="Times New Roman" w:hAnsi="Times New Roman"/>
          <w:sz w:val="20"/>
          <w:szCs w:val="20"/>
        </w:rPr>
        <w:t xml:space="preserve">System-identified and user-identified merge workflows built on a common technology foundation, enabling consistent user experience and reducing future maintenance burden.</w:t>
      </w:r>
    </w:p>
    <w:p>
      <w:pPr>
        <w:pStyle w:val="ListParagraph"/>
        <w:numPr>
          <w:ilvl w:val="0"/>
          <w:numId w:val="2"/>
        </w:numPr>
        <w:spacing w:after="80" w:line="280"/>
      </w:pPr>
      <w:r>
        <w:rPr>
          <w:rFonts w:ascii="Times New Roman" w:cs="Times New Roman" w:eastAsia="Times New Roman" w:hAnsi="Times New Roman"/>
          <w:sz w:val="20"/>
          <w:szCs w:val="20"/>
        </w:rPr>
        <w:t xml:space="preserve">Auditable unmerge capability: a structured workflow that restores previously merged records with full audit trail, ensuring data integrity and compliance with CDC-approved acceptance criteria.</w:t>
      </w:r>
    </w:p>
    <w:p>
      <w:pPr>
        <w:pStyle w:val="ListParagraph"/>
        <w:numPr>
          <w:ilvl w:val="0"/>
          <w:numId w:val="2"/>
        </w:numPr>
        <w:spacing w:after="80" w:line="280"/>
      </w:pPr>
      <w:r>
        <w:rPr>
          <w:rFonts w:ascii="Times New Roman" w:cs="Times New Roman" w:eastAsia="Times New Roman" w:hAnsi="Times New Roman"/>
          <w:sz w:val="20"/>
          <w:szCs w:val="20"/>
        </w:rPr>
        <w:t xml:space="preserve">No loss of NBS 6 functionality: all core match/merge/unmerge tasks available in NBS 6 will be preserved in NBS 7, with improved usability, transparency, and jurisdictional configurability.</w:t>
      </w:r>
    </w:p>
    <w:p>
      <w:pPr>
        <w:pStyle w:val="ListParagraph"/>
        <w:numPr>
          <w:ilvl w:val="0"/>
          <w:numId w:val="2"/>
        </w:numPr>
        <w:spacing w:after="80" w:line="280"/>
      </w:pPr>
      <w:r>
        <w:rPr>
          <w:rFonts w:ascii="Times New Roman" w:cs="Times New Roman" w:eastAsia="Times New Roman" w:hAnsi="Times New Roman"/>
          <w:sz w:val="20"/>
          <w:szCs w:val="20"/>
        </w:rPr>
        <w:t xml:space="preserve">Technical and user documentation, training materials, and design artifacts delivered for CDC review and approval, with all UI components aligned to NBS Design System 2.0.</w:t>
      </w:r>
    </w:p>
    <w:p>
      <w:pPr>
        <w:keepNext/>
        <w:spacing w:after="80" w:before="200"/>
      </w:pPr>
      <w:r>
        <w:rPr>
          <w:rFonts w:ascii="Times New Roman" w:cs="Times New Roman" w:eastAsia="Times New Roman" w:hAnsi="Times New Roman"/>
          <w:b/>
          <w:bCs/>
          <w:sz w:val="26"/>
          <w:szCs w:val="26"/>
        </w:rPr>
        <w:t xml:space="preserve">3.8 eCR Processing, Viewing, and Data Workflow Integration (PWS Task 8)</w:t>
      </w:r>
    </w:p>
    <w:p>
      <w:pPr>
        <w:spacing w:after="180" w:line="280"/>
      </w:pPr>
      <w:r>
        <w:rPr>
          <w:rFonts w:ascii="Times New Roman" w:cs="Times New Roman" w:eastAsia="Times New Roman" w:hAnsi="Times New Roman"/>
          <w:sz w:val="20"/>
          <w:szCs w:val="20"/>
        </w:rPr>
        <w:t xml:space="preserve">Electronic Case Reporting (eCR) represents one of the highest-value interoperability opportunities in NBS—and one of the largest current usability gaps. Deloitte will deliver a modernized, native eCR module that replaces the legacy third-party viewer integration with a purpose-built, accessible, high-performance eCR processing and workflow platform integrated with case management.</w:t>
      </w:r>
    </w:p>
    <w:p>
      <w:pPr>
        <w:spacing w:after="180" w:line="280"/>
      </w:pPr>
      <w:r>
        <w:rPr>
          <w:rFonts w:ascii="Times New Roman" w:cs="Times New Roman" w:eastAsia="Times New Roman" w:hAnsi="Times New Roman"/>
          <w:sz w:val="20"/>
          <w:szCs w:val="20"/>
        </w:rPr>
        <w:t xml:space="preserve">Our eCR modernization approach includes:</w:t>
      </w:r>
    </w:p>
    <w:p>
      <w:pPr>
        <w:pStyle w:val="ListParagraph"/>
        <w:numPr>
          <w:ilvl w:val="0"/>
          <w:numId w:val="2"/>
        </w:numPr>
        <w:spacing w:after="80" w:line="280"/>
      </w:pPr>
      <w:r>
        <w:rPr>
          <w:rFonts w:ascii="Times New Roman" w:cs="Times New Roman" w:eastAsia="Times New Roman" w:hAnsi="Times New Roman"/>
          <w:sz w:val="20"/>
          <w:szCs w:val="20"/>
        </w:rPr>
        <w:t xml:space="preserve">An assessment and recommendation package delivered within 30–45 calendar days of contract start, documenting current-state findings, target-state architecture, risks, and a prioritized migration path.</w:t>
      </w:r>
    </w:p>
    <w:p>
      <w:pPr>
        <w:pStyle w:val="ListParagraph"/>
        <w:numPr>
          <w:ilvl w:val="0"/>
          <w:numId w:val="2"/>
        </w:numPr>
        <w:spacing w:after="80" w:line="280"/>
      </w:pPr>
      <w:r>
        <w:rPr>
          <w:rFonts w:ascii="Times New Roman" w:cs="Times New Roman" w:eastAsia="Times New Roman" w:hAnsi="Times New Roman"/>
          <w:sz w:val="20"/>
          <w:szCs w:val="20"/>
        </w:rPr>
        <w:t xml:space="preserve">A resilient, event-driven ingestion pipeline that decouples receipt of eCRs from downstream parsing, storage, indexing, and viewer availability—ensuring no message loss under load spikes, with real-time validation and actionable rejection feedback to senders.</w:t>
      </w:r>
    </w:p>
    <w:p>
      <w:pPr>
        <w:pStyle w:val="ListParagraph"/>
        <w:numPr>
          <w:ilvl w:val="0"/>
          <w:numId w:val="2"/>
        </w:numPr>
        <w:spacing w:after="80" w:line="280"/>
      </w:pPr>
      <w:r>
        <w:rPr>
          <w:rFonts w:ascii="Times New Roman" w:cs="Times New Roman" w:eastAsia="Times New Roman" w:hAnsi="Times New Roman"/>
          <w:sz w:val="20"/>
          <w:szCs w:val="20"/>
        </w:rPr>
        <w:t xml:space="preserve">Real-time API intake endpoints that validate incoming records and provide clear acknowledgments (accepted/rejected) with actionable error information; storage of the original eCR payload alongside a normalized view model representation.</w:t>
      </w:r>
    </w:p>
    <w:p>
      <w:pPr>
        <w:pStyle w:val="ListParagraph"/>
        <w:numPr>
          <w:ilvl w:val="0"/>
          <w:numId w:val="2"/>
        </w:numPr>
        <w:spacing w:after="80" w:line="280"/>
      </w:pPr>
      <w:r>
        <w:rPr>
          <w:rFonts w:ascii="Times New Roman" w:cs="Times New Roman" w:eastAsia="Times New Roman" w:hAnsi="Times New Roman"/>
          <w:sz w:val="20"/>
          <w:szCs w:val="20"/>
        </w:rPr>
        <w:t xml:space="preserve">Data propagation workflows enabling automated and user-driven population of person, investigation, and patient file sections from eCR data—directly reducing manual data entry burden for STLT epidemiologists.</w:t>
      </w:r>
    </w:p>
    <w:p>
      <w:pPr>
        <w:pStyle w:val="ListParagraph"/>
        <w:numPr>
          <w:ilvl w:val="0"/>
          <w:numId w:val="2"/>
        </w:numPr>
        <w:spacing w:after="80" w:line="280"/>
      </w:pPr>
      <w:r>
        <w:rPr>
          <w:rFonts w:ascii="Times New Roman" w:cs="Times New Roman" w:eastAsia="Times New Roman" w:hAnsi="Times New Roman"/>
          <w:sz w:val="20"/>
          <w:szCs w:val="20"/>
        </w:rPr>
        <w:t xml:space="preserve">Native viewer supporting Section 508 / WCAG 2.0 Level A &amp; AA accessibility, eCR summary, section navigation, timeline/history, search, highlights, and printable view.</w:t>
      </w:r>
    </w:p>
    <w:p>
      <w:pPr>
        <w:pStyle w:val="ListParagraph"/>
        <w:numPr>
          <w:ilvl w:val="0"/>
          <w:numId w:val="2"/>
        </w:numPr>
        <w:spacing w:after="80" w:line="280"/>
      </w:pPr>
      <w:r>
        <w:rPr>
          <w:rFonts w:ascii="Times New Roman" w:cs="Times New Roman" w:eastAsia="Times New Roman" w:hAnsi="Times New Roman"/>
          <w:sz w:val="20"/>
          <w:szCs w:val="20"/>
        </w:rPr>
        <w:t xml:space="preserve">Workflow actions within the eCR module to support follow-up and case investigation activities (acknowledge, assign, set status, add notes, request follow-up, mark confirmed/unconfirmed, link related records).</w:t>
      </w:r>
    </w:p>
    <w:p>
      <w:pPr>
        <w:pStyle w:val="ListParagraph"/>
        <w:numPr>
          <w:ilvl w:val="0"/>
          <w:numId w:val="2"/>
        </w:numPr>
        <w:spacing w:after="80" w:line="280"/>
      </w:pPr>
      <w:r>
        <w:rPr>
          <w:rFonts w:ascii="Times New Roman" w:cs="Times New Roman" w:eastAsia="Times New Roman" w:hAnsi="Times New Roman"/>
          <w:sz w:val="20"/>
          <w:szCs w:val="20"/>
        </w:rPr>
        <w:t xml:space="preserve">Defined and tracked ingestion-to-availability latency targets (e.g., eCR data populated within X minutes under normal load), with thresholds and tuning recommendations documented and shared per release.</w:t>
      </w:r>
    </w:p>
    <w:p>
      <w:pPr>
        <w:pStyle w:val="ListParagraph"/>
        <w:numPr>
          <w:ilvl w:val="0"/>
          <w:numId w:val="2"/>
        </w:numPr>
        <w:spacing w:after="80" w:line="280"/>
      </w:pPr>
      <w:r>
        <w:rPr>
          <w:rFonts w:ascii="Times New Roman" w:cs="Times New Roman" w:eastAsia="Times New Roman" w:hAnsi="Times New Roman"/>
          <w:sz w:val="20"/>
          <w:szCs w:val="20"/>
        </w:rPr>
        <w:t xml:space="preserve">Indexing and query patterns optimized for common user workflows (by patient/case ID, facility, report date, status); pagination and large-report handling without timeouts under expected load.</w:t>
      </w:r>
    </w:p>
    <w:p>
      <w:pPr>
        <w:pStyle w:val="ListParagraph"/>
        <w:numPr>
          <w:ilvl w:val="0"/>
          <w:numId w:val="2"/>
        </w:numPr>
        <w:spacing w:after="80" w:line="280"/>
      </w:pPr>
      <w:r>
        <w:rPr>
          <w:rFonts w:ascii="Times New Roman" w:cs="Times New Roman" w:eastAsia="Times New Roman" w:hAnsi="Times New Roman"/>
          <w:sz w:val="20"/>
          <w:szCs w:val="20"/>
        </w:rPr>
        <w:t xml:space="preserve">Graceful handling for incomplete, unusual, or partially supported eCR structures (user-visible warnings, not failures).</w:t>
      </w:r>
    </w:p>
    <w:p>
      <w:pPr>
        <w:pStyle w:val="ListParagraph"/>
        <w:numPr>
          <w:ilvl w:val="0"/>
          <w:numId w:val="2"/>
        </w:numPr>
        <w:spacing w:after="80" w:line="280"/>
      </w:pPr>
      <w:r>
        <w:rPr>
          <w:rFonts w:ascii="Times New Roman" w:cs="Times New Roman" w:eastAsia="Times New Roman" w:hAnsi="Times New Roman"/>
          <w:sz w:val="20"/>
          <w:szCs w:val="20"/>
        </w:rPr>
        <w:t xml:space="preserve">Integration with existing system services including authentication/authorization, case management records, audit logging, and reporting/analytics.</w:t>
      </w:r>
    </w:p>
    <w:p>
      <w:pPr>
        <w:keepNext/>
        <w:spacing w:after="80" w:before="200"/>
      </w:pPr>
      <w:r>
        <w:rPr>
          <w:rFonts w:ascii="Times New Roman" w:cs="Times New Roman" w:eastAsia="Times New Roman" w:hAnsi="Times New Roman"/>
          <w:b/>
          <w:bCs/>
          <w:sz w:val="26"/>
          <w:szCs w:val="26"/>
        </w:rPr>
        <w:t xml:space="preserve">3.9 PageBuilder Modernization (PWS Task 9)</w:t>
      </w:r>
    </w:p>
    <w:p>
      <w:pPr>
        <w:spacing w:after="180" w:line="280"/>
      </w:pPr>
      <w:r>
        <w:rPr>
          <w:rFonts w:ascii="Times New Roman" w:cs="Times New Roman" w:eastAsia="Times New Roman" w:hAnsi="Times New Roman"/>
          <w:sz w:val="20"/>
          <w:szCs w:val="20"/>
        </w:rPr>
        <w:t xml:space="preserve">The NBS PageBuilder is the primary configuration tool enabling STLTs to customize data collection forms for reportable conditions without custom development. Deloitte will deliver a fully modernized PageBuilder aligned to NBS Design System 2.0, incorporating all NBS 6 page types and functionality, addressing prioritized enhancement requests from NBS Central, and expanding library support through incremental rollouts. Because PageBuilder is also the tool used to construct MMG and Gen V3 MMG pages (PWS Task 5), our PageBuilder roadmap is sequenced in close coordination with MMG delivery commitments to ensure case notification work is unblocked.</w:t>
      </w:r>
    </w:p>
    <w:p>
      <w:pPr>
        <w:spacing w:after="180" w:line="280"/>
      </w:pPr>
      <w:r>
        <w:rPr>
          <w:rFonts w:ascii="Times New Roman" w:cs="Times New Roman" w:eastAsia="Times New Roman" w:hAnsi="Times New Roman"/>
          <w:sz w:val="20"/>
          <w:szCs w:val="20"/>
        </w:rPr>
        <w:t xml:space="preserve">Our PageBuilder modernization approach includes:</w:t>
      </w:r>
    </w:p>
    <w:p>
      <w:pPr>
        <w:pStyle w:val="ListParagraph"/>
        <w:numPr>
          <w:ilvl w:val="0"/>
          <w:numId w:val="2"/>
        </w:numPr>
        <w:spacing w:after="80" w:line="280"/>
      </w:pPr>
      <w:r>
        <w:rPr>
          <w:rFonts w:ascii="Times New Roman" w:cs="Times New Roman" w:eastAsia="Times New Roman" w:hAnsi="Times New Roman"/>
          <w:sz w:val="20"/>
          <w:szCs w:val="20"/>
        </w:rPr>
        <w:t xml:space="preserve">Comprehensive review of NBS Central tickets to identify the highest-impact pain points and deferred enhancements, validated with STLT users through direct engagement and HCD methods.</w:t>
      </w:r>
    </w:p>
    <w:p>
      <w:pPr>
        <w:pStyle w:val="ListParagraph"/>
        <w:numPr>
          <w:ilvl w:val="0"/>
          <w:numId w:val="2"/>
        </w:numPr>
        <w:spacing w:after="80" w:line="280"/>
      </w:pPr>
      <w:r>
        <w:rPr>
          <w:rFonts w:ascii="Times New Roman" w:cs="Times New Roman" w:eastAsia="Times New Roman" w:hAnsi="Times New Roman"/>
          <w:sz w:val="20"/>
          <w:szCs w:val="20"/>
        </w:rPr>
        <w:t xml:space="preserve">Full feature parity with NBS 6 PageBuilder, verified through CDC-approved test coverage covering all page types, field types, and configuration options.</w:t>
      </w:r>
    </w:p>
    <w:p>
      <w:pPr>
        <w:pStyle w:val="ListParagraph"/>
        <w:numPr>
          <w:ilvl w:val="0"/>
          <w:numId w:val="2"/>
        </w:numPr>
        <w:spacing w:after="80" w:line="280"/>
      </w:pPr>
      <w:r>
        <w:rPr>
          <w:rFonts w:ascii="Times New Roman" w:cs="Times New Roman" w:eastAsia="Times New Roman" w:hAnsi="Times New Roman"/>
          <w:sz w:val="20"/>
          <w:szCs w:val="20"/>
        </w:rPr>
        <w:t xml:space="preserve">NBS Design System 2.0 alignment for all UI components, validated through design reviews with the federal Product Owner.</w:t>
      </w:r>
    </w:p>
    <w:p>
      <w:pPr>
        <w:pStyle w:val="ListParagraph"/>
        <w:numPr>
          <w:ilvl w:val="0"/>
          <w:numId w:val="2"/>
        </w:numPr>
        <w:spacing w:after="80" w:line="280"/>
      </w:pPr>
      <w:r>
        <w:rPr>
          <w:rFonts w:ascii="Times New Roman" w:cs="Times New Roman" w:eastAsia="Times New Roman" w:hAnsi="Times New Roman"/>
          <w:sz w:val="20"/>
          <w:szCs w:val="20"/>
        </w:rPr>
        <w:t xml:space="preserve">Incremental library rollouts enabling new capabilities to be added without regressions to existing PageBuilder functionality. Approved enhancement requests traceable to NBS Central tickets and CDC-approved prioritization decisions.</w:t>
      </w:r>
    </w:p>
    <w:p>
      <w:pPr>
        <w:pStyle w:val="ListParagraph"/>
        <w:numPr>
          <w:ilvl w:val="0"/>
          <w:numId w:val="2"/>
        </w:numPr>
        <w:spacing w:after="80" w:line="280"/>
      </w:pPr>
      <w:r>
        <w:rPr>
          <w:rFonts w:ascii="Times New Roman" w:cs="Times New Roman" w:eastAsia="Times New Roman" w:hAnsi="Times New Roman"/>
          <w:sz w:val="20"/>
          <w:szCs w:val="20"/>
        </w:rPr>
        <w:t xml:space="preserve">Technical documentation, user documentation, and training materials delivered and reviewed by CDC prior to release.</w:t>
      </w:r>
    </w:p>
    <w:p>
      <w:pPr>
        <w:keepNext/>
        <w:spacing w:after="80" w:before="200"/>
      </w:pPr>
      <w:r>
        <w:rPr>
          <w:rFonts w:ascii="Times New Roman" w:cs="Times New Roman" w:eastAsia="Times New Roman" w:hAnsi="Times New Roman"/>
          <w:b/>
          <w:bCs/>
          <w:sz w:val="26"/>
          <w:szCs w:val="26"/>
        </w:rPr>
        <w:t xml:space="preserve">3.10 NBS 6 Maintenance, 3rd-Party Application Support, and Sunset</w:t>
      </w:r>
    </w:p>
    <w:p>
      <w:pPr>
        <w:spacing w:after="180" w:line="280"/>
      </w:pPr>
      <w:r>
        <w:rPr>
          <w:rFonts w:ascii="Times New Roman" w:cs="Times New Roman" w:eastAsia="Times New Roman" w:hAnsi="Times New Roman"/>
          <w:sz w:val="20"/>
          <w:szCs w:val="20"/>
        </w:rPr>
        <w:t xml:space="preserve">Maintaining NBS 6 throughout the modernization journey is not a side activity—it is a first-class workstream. NBS 6 remains in active production use across multiple STLT jurisdictions, and a fully working copy of the NBS 6 Java application server is embedded inside the cloud infrastructure of NBS 7 as part of the strangler-fig modernization. Deloitte’s engineering team is structured to sustain both stacks concurrently, with dedicated capacity for NBS 6 stability, security, and 3rd-party integrations until CDC directs the sunset.</w:t>
      </w:r>
    </w:p>
    <w:p>
      <w:pPr>
        <w:spacing w:after="180" w:line="280"/>
      </w:pPr>
      <w:r>
        <w:rPr>
          <w:rFonts w:ascii="Times New Roman" w:cs="Times New Roman" w:eastAsia="Times New Roman" w:hAnsi="Times New Roman"/>
          <w:sz w:val="20"/>
          <w:szCs w:val="20"/>
        </w:rPr>
        <w:t xml:space="preserve">Our NBS 6 sustainment approach covers:</w:t>
      </w:r>
    </w:p>
    <w:p>
      <w:pPr>
        <w:pStyle w:val="ListParagraph"/>
        <w:numPr>
          <w:ilvl w:val="0"/>
          <w:numId w:val="2"/>
        </w:numPr>
        <w:spacing w:after="80" w:line="280"/>
      </w:pPr>
      <w:r>
        <w:rPr>
          <w:rFonts w:ascii="Times New Roman" w:cs="Times New Roman" w:eastAsia="Times New Roman" w:hAnsi="Times New Roman"/>
          <w:sz w:val="20"/>
          <w:szCs w:val="20"/>
        </w:rPr>
        <w:t xml:space="preserve">Critical, urgent, and block-resolving updates to NBS 6 to ensure continued operational stability for NBS 6 STLTs and for NBS 6 components running within NBS 7.</w:t>
      </w:r>
    </w:p>
    <w:p>
      <w:pPr>
        <w:pStyle w:val="ListParagraph"/>
        <w:numPr>
          <w:ilvl w:val="0"/>
          <w:numId w:val="2"/>
        </w:numPr>
        <w:spacing w:after="80" w:line="280"/>
      </w:pPr>
      <w:r>
        <w:rPr>
          <w:rFonts w:ascii="Times New Roman" w:cs="Times New Roman" w:eastAsia="Times New Roman" w:hAnsi="Times New Roman"/>
          <w:sz w:val="20"/>
          <w:szCs w:val="20"/>
        </w:rPr>
        <w:t xml:space="preserve">Version and standards updates and security patching as directed by CDC, including dependency upgrades and remediation of known vulnerabilities prioritized by severity.</w:t>
      </w:r>
    </w:p>
    <w:p>
      <w:pPr>
        <w:pStyle w:val="ListParagraph"/>
        <w:numPr>
          <w:ilvl w:val="0"/>
          <w:numId w:val="2"/>
        </w:numPr>
        <w:spacing w:after="80" w:line="280"/>
      </w:pPr>
      <w:r>
        <w:rPr>
          <w:rFonts w:ascii="Times New Roman" w:cs="Times New Roman" w:eastAsia="Times New Roman" w:hAnsi="Times New Roman"/>
          <w:sz w:val="20"/>
          <w:szCs w:val="20"/>
        </w:rPr>
        <w:t xml:space="preserve">Support and configuration of 3rd-party applications used in conjunction with NBS, specifically: SAS (analytics and reporting), Rhapsody (interface engine, including standard route configuration), and PHINMS (PHIN Messaging System for NNDSS exchange).</w:t>
      </w:r>
    </w:p>
    <w:p>
      <w:pPr>
        <w:pStyle w:val="ListParagraph"/>
        <w:numPr>
          <w:ilvl w:val="0"/>
          <w:numId w:val="2"/>
        </w:numPr>
        <w:spacing w:after="80" w:line="280"/>
      </w:pPr>
      <w:r>
        <w:rPr>
          <w:rFonts w:ascii="Times New Roman" w:cs="Times New Roman" w:eastAsia="Times New Roman" w:hAnsi="Times New Roman"/>
          <w:sz w:val="20"/>
          <w:szCs w:val="20"/>
        </w:rPr>
        <w:t xml:space="preserve">Maintenance of the NBS 6 Java application as a standalone application of NBS 7 to ensure continuity of operations for STLTs that are not yet on NBS 7.</w:t>
      </w:r>
    </w:p>
    <w:p>
      <w:pPr>
        <w:pStyle w:val="ListParagraph"/>
        <w:numPr>
          <w:ilvl w:val="0"/>
          <w:numId w:val="2"/>
        </w:numPr>
        <w:spacing w:after="80" w:line="280"/>
      </w:pPr>
      <w:r>
        <w:rPr>
          <w:rFonts w:ascii="Times New Roman" w:cs="Times New Roman" w:eastAsia="Times New Roman" w:hAnsi="Times New Roman"/>
          <w:sz w:val="20"/>
          <w:szCs w:val="20"/>
        </w:rPr>
        <w:t xml:space="preserve">Offboarding support for NBS 6 jurisdictions that are unable or that choose not to adopt NBS 7—including data export, archival guidance, and transition coordination to alternate IDSS where applicable.</w:t>
      </w:r>
    </w:p>
    <w:p>
      <w:pPr>
        <w:pStyle w:val="ListParagraph"/>
        <w:numPr>
          <w:ilvl w:val="0"/>
          <w:numId w:val="2"/>
        </w:numPr>
        <w:spacing w:after="80" w:line="280"/>
      </w:pPr>
      <w:r>
        <w:rPr>
          <w:rFonts w:ascii="Times New Roman" w:cs="Times New Roman" w:eastAsia="Times New Roman" w:hAnsi="Times New Roman"/>
          <w:sz w:val="20"/>
          <w:szCs w:val="20"/>
        </w:rPr>
        <w:t xml:space="preserve">Sunset execution: once CDC directs the sunset of NBS 6 components or the full NBS 6 product, Deloitte will execute a structured decommissioning plan including data preservation, documentation handoff, and confirmation that no NBS 7 dependencies remain on sunsetted code paths.</w:t>
      </w:r>
    </w:p>
    <w:p>
      <w:pPr>
        <w:keepNext/>
        <w:spacing w:after="80" w:before="200"/>
      </w:pPr>
      <w:r>
        <w:rPr>
          <w:rFonts w:ascii="Times New Roman" w:cs="Times New Roman" w:eastAsia="Times New Roman" w:hAnsi="Times New Roman"/>
          <w:b/>
          <w:bCs/>
          <w:sz w:val="26"/>
          <w:szCs w:val="26"/>
        </w:rPr>
        <w:t xml:space="preserve">3.11 Multi-Hosting Model Support and Cloud Independence</w:t>
      </w:r>
    </w:p>
    <w:p>
      <w:pPr>
        <w:spacing w:after="180" w:line="280"/>
      </w:pPr>
      <w:r>
        <w:rPr>
          <w:rFonts w:ascii="Times New Roman" w:cs="Times New Roman" w:eastAsia="Times New Roman" w:hAnsi="Times New Roman"/>
          <w:sz w:val="20"/>
          <w:szCs w:val="20"/>
        </w:rPr>
        <w:t xml:space="preserve">The PWS describes three concurrent hosting models that Deloitte will support holistically: (1) the NBS 6 open-source package for STLT installation and management on Windows environments of choice (on-premises or in cloud); (2) the NBS 7 open-source package with scripted deployments to STLT-contracted AWS or Azure; and (3) NBS 7 STLT instances hosted by CDC on CDC-contracted Azure. In addition, the PWS requires that any feature designed or built under this contract be cloud-host-independent—capable of being deployed on multiple cloud providers’ infrastructure without modification.</w:t>
      </w:r>
    </w:p>
    <w:p>
      <w:pPr>
        <w:spacing w:after="180" w:line="280"/>
      </w:pPr>
      <w:r>
        <w:rPr>
          <w:rFonts w:ascii="Times New Roman" w:cs="Times New Roman" w:eastAsia="Times New Roman" w:hAnsi="Times New Roman"/>
          <w:sz w:val="20"/>
          <w:szCs w:val="20"/>
        </w:rPr>
        <w:t xml:space="preserve">Our approach to multi-hosting and cloud independence includes:</w:t>
      </w:r>
    </w:p>
    <w:p>
      <w:pPr>
        <w:pStyle w:val="ListParagraph"/>
        <w:numPr>
          <w:ilvl w:val="0"/>
          <w:numId w:val="2"/>
        </w:numPr>
        <w:spacing w:after="80" w:line="280"/>
      </w:pPr>
      <w:r>
        <w:rPr>
          <w:rFonts w:ascii="Times New Roman" w:cs="Times New Roman" w:eastAsia="Times New Roman" w:hAnsi="Times New Roman"/>
          <w:sz w:val="20"/>
          <w:szCs w:val="20"/>
        </w:rPr>
        <w:t xml:space="preserve">Architecture decisions evaluated against a portability test: components must run on AWS, Azure, and (where applicable) STLT on-prem environments without code changes—only configuration changes.</w:t>
      </w:r>
    </w:p>
    <w:p>
      <w:pPr>
        <w:pStyle w:val="ListParagraph"/>
        <w:numPr>
          <w:ilvl w:val="0"/>
          <w:numId w:val="2"/>
        </w:numPr>
        <w:spacing w:after="80" w:line="280"/>
      </w:pPr>
      <w:r>
        <w:rPr>
          <w:rFonts w:ascii="Times New Roman" w:cs="Times New Roman" w:eastAsia="Times New Roman" w:hAnsi="Times New Roman"/>
          <w:sz w:val="20"/>
          <w:szCs w:val="20"/>
        </w:rPr>
        <w:t xml:space="preserve">Containerized microservices (Docker/Kubernetes) and infrastructure-as-code (Terraform, Bicep, or equivalent) parameterized for each target environment; provider-specific services used only where unavoidable and abstracted behind interfaces.</w:t>
      </w:r>
    </w:p>
    <w:p>
      <w:pPr>
        <w:pStyle w:val="ListParagraph"/>
        <w:numPr>
          <w:ilvl w:val="0"/>
          <w:numId w:val="2"/>
        </w:numPr>
        <w:spacing w:after="80" w:line="280"/>
      </w:pPr>
      <w:r>
        <w:rPr>
          <w:rFonts w:ascii="Times New Roman" w:cs="Times New Roman" w:eastAsia="Times New Roman" w:hAnsi="Times New Roman"/>
          <w:sz w:val="20"/>
          <w:szCs w:val="20"/>
        </w:rPr>
        <w:t xml:space="preserve">Scripted deployment packages maintained for each STLT-supported target (AWS, Azure, on-prem Windows for NBS 6) and tested as part of the CI/CD pipeline.</w:t>
      </w:r>
    </w:p>
    <w:p>
      <w:pPr>
        <w:pStyle w:val="ListParagraph"/>
        <w:numPr>
          <w:ilvl w:val="0"/>
          <w:numId w:val="2"/>
        </w:numPr>
        <w:spacing w:after="80" w:line="280"/>
      </w:pPr>
      <w:r>
        <w:rPr>
          <w:rFonts w:ascii="Times New Roman" w:cs="Times New Roman" w:eastAsia="Times New Roman" w:hAnsi="Times New Roman"/>
          <w:sz w:val="20"/>
          <w:szCs w:val="20"/>
        </w:rPr>
        <w:t xml:space="preserve">Configuration management tooling published as part of the open-source NBS package, simplifying STLT-managed installations.</w:t>
      </w:r>
    </w:p>
    <w:p>
      <w:pPr>
        <w:pStyle w:val="ListParagraph"/>
        <w:numPr>
          <w:ilvl w:val="0"/>
          <w:numId w:val="2"/>
        </w:numPr>
        <w:spacing w:after="80" w:line="280"/>
      </w:pPr>
      <w:r>
        <w:rPr>
          <w:rFonts w:ascii="Times New Roman" w:cs="Times New Roman" w:eastAsia="Times New Roman" w:hAnsi="Times New Roman"/>
          <w:sz w:val="20"/>
          <w:szCs w:val="20"/>
        </w:rPr>
        <w:t xml:space="preserve">Direct application support and updates provided on behalf of CDC for jurisdictions running on CDC-contracted Azure, while parallel guidance and patch releases support STLT-managed AWS and Azure deployments.</w:t>
      </w:r>
    </w:p>
    <w:p>
      <w:pPr>
        <w:pStyle w:val="ListParagraph"/>
        <w:numPr>
          <w:ilvl w:val="0"/>
          <w:numId w:val="2"/>
        </w:numPr>
        <w:spacing w:after="80" w:line="280"/>
      </w:pPr>
      <w:r>
        <w:rPr>
          <w:rFonts w:ascii="Times New Roman" w:cs="Times New Roman" w:eastAsia="Times New Roman" w:hAnsi="Times New Roman"/>
          <w:sz w:val="20"/>
          <w:szCs w:val="20"/>
        </w:rPr>
        <w:t xml:space="preserve">Collaboration with CDC-selected, third-party cloud hosting entities as needed for the implementation of NBS cloud hosting services.</w:t>
      </w:r>
    </w:p>
    <w:p>
      <w:pPr>
        <w:pStyle w:val="ListParagraph"/>
        <w:numPr>
          <w:ilvl w:val="0"/>
          <w:numId w:val="2"/>
        </w:numPr>
        <w:spacing w:after="80" w:line="280"/>
      </w:pPr>
      <w:r>
        <w:rPr>
          <w:rFonts w:ascii="Times New Roman" w:cs="Times New Roman" w:eastAsia="Times New Roman" w:hAnsi="Times New Roman"/>
          <w:sz w:val="20"/>
          <w:szCs w:val="20"/>
        </w:rPr>
        <w:t xml:space="preserve">All new code developed will live in an open-source repository in CDC’s GitHub organization (https://github.com/CDCgov/), with no removal or reduction of functionality currently available to STLTs through NBS.</w:t>
      </w:r>
    </w:p>
    <w:p>
      <w:pPr>
        <w:keepNext/>
        <w:spacing w:after="80" w:before="200"/>
      </w:pPr>
      <w:r>
        <w:rPr>
          <w:rFonts w:ascii="Times New Roman" w:cs="Times New Roman" w:eastAsia="Times New Roman" w:hAnsi="Times New Roman"/>
          <w:b/>
          <w:bCs/>
          <w:sz w:val="26"/>
          <w:szCs w:val="26"/>
        </w:rPr>
        <w:t xml:space="preserve">3.12 Optional Tasks: Custom Queues / Event Search (Task 10) and WDS Modernization (Task 11)</w:t>
      </w:r>
    </w:p>
    <w:p>
      <w:pPr>
        <w:spacing w:after="180" w:line="280"/>
      </w:pPr>
      <w:r>
        <w:rPr>
          <w:rFonts w:ascii="Times New Roman" w:cs="Times New Roman" w:eastAsia="Times New Roman" w:hAnsi="Times New Roman"/>
          <w:sz w:val="20"/>
          <w:szCs w:val="20"/>
        </w:rPr>
        <w:t xml:space="preserve">Deloitte is prepared to execute both optional tasks should CDC exercise them, and we have sized our staffing plan to absorb this work within the program’s delivery cadence without disruption to in-flight commitments.</w:t>
      </w:r>
    </w:p>
    <w:p>
      <w:pPr>
        <w:keepNext/>
        <w:spacing w:after="60" w:before="160"/>
      </w:pPr>
      <w:r>
        <w:rPr>
          <w:rFonts w:ascii="Times New Roman" w:cs="Times New Roman" w:eastAsia="Times New Roman" w:hAnsi="Times New Roman"/>
          <w:b/>
          <w:bCs/>
          <w:sz w:val="22"/>
          <w:szCs w:val="22"/>
        </w:rPr>
        <w:t xml:space="preserve">Task 10 — Custom Queues and Event Search</w:t>
      </w:r>
    </w:p>
    <w:p>
      <w:pPr>
        <w:spacing w:after="180" w:line="280"/>
      </w:pPr>
      <w:r>
        <w:rPr>
          <w:rFonts w:ascii="Times New Roman" w:cs="Times New Roman" w:eastAsia="Times New Roman" w:hAnsi="Times New Roman"/>
          <w:sz w:val="20"/>
          <w:szCs w:val="20"/>
        </w:rPr>
        <w:t xml:space="preserve">We will modernize NBS’s backend queue processing and event search functionality to support multi-type event searches across documents, morbidity reports, investigations, and all events surfaced in the patient file. The modernized capability will enable user-defined prioritization and filtering, search beyond reliance on event identifiers (using event categories and user-defined criteria), creation and maintenance of prioritized lists of cases or events, and reduced reliance on saved searches and bookmarks—all while preserving feature parity with NBS 6 task completion patterns and aligning with NBS 7 architectural, security, and data standards.</w:t>
      </w:r>
    </w:p>
    <w:p>
      <w:pPr>
        <w:keepNext/>
        <w:spacing w:after="60" w:before="160"/>
      </w:pPr>
      <w:r>
        <w:rPr>
          <w:rFonts w:ascii="Times New Roman" w:cs="Times New Roman" w:eastAsia="Times New Roman" w:hAnsi="Times New Roman"/>
          <w:b/>
          <w:bCs/>
          <w:sz w:val="22"/>
          <w:szCs w:val="22"/>
        </w:rPr>
        <w:t xml:space="preserve">Task 11 — WDS Modernization</w:t>
      </w:r>
    </w:p>
    <w:p>
      <w:pPr>
        <w:spacing w:after="180" w:line="280"/>
      </w:pPr>
      <w:r>
        <w:rPr>
          <w:rFonts w:ascii="Times New Roman" w:cs="Times New Roman" w:eastAsia="Times New Roman" w:hAnsi="Times New Roman"/>
          <w:sz w:val="20"/>
          <w:szCs w:val="20"/>
        </w:rPr>
        <w:t xml:space="preserve">We will assess existing Workflow Decision Support (WDS) rule functionality, identify limitations in flexibility and execution timing, and deliver a modernized WDS capability with configurable rule definitions, support for different triggering conditions and execution timing, and reduced reliance on custom code—enabling STLTs to automate more surveillance workflows without requiring engineering intervention. Rules will be managed and updated in alignment with NBS 7 architecture and security standards, with comprehensive testing across supported workflows and full technical and user documentation.</w:t>
      </w:r>
    </w:p>
    <w:p>
      <w:pPr>
        <w:keepNext/>
        <w:spacing w:after="80" w:before="200"/>
      </w:pPr>
      <w:r>
        <w:rPr>
          <w:rFonts w:ascii="Times New Roman" w:cs="Times New Roman" w:eastAsia="Times New Roman" w:hAnsi="Times New Roman"/>
          <w:b/>
          <w:bCs/>
          <w:sz w:val="26"/>
          <w:szCs w:val="26"/>
        </w:rPr>
        <w:t xml:space="preserve">3.13 Transition-In and Transition-Out (PWS Task 12)</w:t>
      </w:r>
    </w:p>
    <w:p>
      <w:pPr>
        <w:spacing w:after="180" w:line="280"/>
      </w:pPr>
      <w:r>
        <w:rPr>
          <w:rFonts w:ascii="Times New Roman" w:cs="Times New Roman" w:eastAsia="Times New Roman" w:hAnsi="Times New Roman"/>
          <w:sz w:val="20"/>
          <w:szCs w:val="20"/>
        </w:rPr>
        <w:t xml:space="preserve">Deloitte’s transition approach treats knowledge transfer and operational continuity as first-class deliverables—not afterthoughts. The transition period shall not exceed 30 calendar days from the date of contract award, with transition activities spanning a minimum of two (2) sprint cycles (4 weeks). Deloitte will assume full responsibility for all required services by the end of the transition period and will not proceed to full performance until the transition plan is approved by the Government.</w:t>
      </w:r>
    </w:p>
    <w:p>
      <w:pPr>
        <w:spacing w:after="180" w:line="280"/>
      </w:pPr>
      <w:r>
        <w:rPr>
          <w:rFonts w:ascii="Times New Roman" w:cs="Times New Roman" w:eastAsia="Times New Roman" w:hAnsi="Times New Roman"/>
          <w:sz w:val="20"/>
          <w:szCs w:val="20"/>
        </w:rPr>
        <w:t xml:space="preserve">Our transition framework includes:</w:t>
      </w:r>
    </w:p>
    <w:p>
      <w:pPr>
        <w:pStyle w:val="ListParagraph"/>
        <w:numPr>
          <w:ilvl w:val="0"/>
          <w:numId w:val="2"/>
        </w:numPr>
        <w:spacing w:after="80" w:line="280"/>
      </w:pPr>
      <w:r>
        <w:rPr>
          <w:rFonts w:ascii="Times New Roman" w:cs="Times New Roman" w:eastAsia="Times New Roman" w:hAnsi="Times New Roman"/>
          <w:sz w:val="20"/>
          <w:szCs w:val="20"/>
        </w:rPr>
        <w:t xml:space="preserve">Kickoff meetings with Government partners within 10 calendar days of contract award.</w:t>
      </w:r>
    </w:p>
    <w:p>
      <w:pPr>
        <w:pStyle w:val="ListParagraph"/>
        <w:numPr>
          <w:ilvl w:val="0"/>
          <w:numId w:val="2"/>
        </w:numPr>
        <w:spacing w:after="80" w:line="280"/>
      </w:pPr>
      <w:r>
        <w:rPr>
          <w:rFonts w:ascii="Times New Roman" w:cs="Times New Roman" w:eastAsia="Times New Roman" w:hAnsi="Times New Roman"/>
          <w:sz w:val="20"/>
          <w:szCs w:val="20"/>
        </w:rPr>
        <w:t xml:space="preserve">A joint transition plan developed with CDC and the incumbent contractor within the first 10 business days, mapping knowledge transfer activities to sprint milestones.</w:t>
      </w:r>
    </w:p>
    <w:p>
      <w:pPr>
        <w:pStyle w:val="ListParagraph"/>
        <w:numPr>
          <w:ilvl w:val="0"/>
          <w:numId w:val="2"/>
        </w:numPr>
        <w:spacing w:after="80" w:line="280"/>
      </w:pPr>
      <w:r>
        <w:rPr>
          <w:rFonts w:ascii="Times New Roman" w:cs="Times New Roman" w:eastAsia="Times New Roman" w:hAnsi="Times New Roman"/>
          <w:sz w:val="20"/>
          <w:szCs w:val="20"/>
        </w:rPr>
        <w:t xml:space="preserve">A 100% knowledge transfer standard: all identified critical knowledge areas (systems, architecture, processes, tools, STLT relationships) documented and validated before the incumbent rolls off.</w:t>
      </w:r>
    </w:p>
    <w:p>
      <w:pPr>
        <w:pStyle w:val="ListParagraph"/>
        <w:numPr>
          <w:ilvl w:val="0"/>
          <w:numId w:val="2"/>
        </w:numPr>
        <w:spacing w:after="80" w:line="280"/>
      </w:pPr>
      <w:r>
        <w:rPr>
          <w:rFonts w:ascii="Times New Roman" w:cs="Times New Roman" w:eastAsia="Times New Roman" w:hAnsi="Times New Roman"/>
          <w:sz w:val="20"/>
          <w:szCs w:val="20"/>
        </w:rPr>
        <w:t xml:space="preserve">Validation that all personnel are onboarded; required facility, system, and security access obtained; and HSPD-12 PIV credentials issued in coordination with CDC OCISO.</w:t>
      </w:r>
    </w:p>
    <w:p>
      <w:pPr>
        <w:pStyle w:val="ListParagraph"/>
        <w:numPr>
          <w:ilvl w:val="0"/>
          <w:numId w:val="2"/>
        </w:numPr>
        <w:spacing w:after="80" w:line="280"/>
      </w:pPr>
      <w:r>
        <w:rPr>
          <w:rFonts w:ascii="Times New Roman" w:cs="Times New Roman" w:eastAsia="Times New Roman" w:hAnsi="Times New Roman"/>
          <w:sz w:val="20"/>
          <w:szCs w:val="20"/>
        </w:rPr>
        <w:t xml:space="preserve">Establishment of communication and reporting procedures.</w:t>
      </w:r>
    </w:p>
    <w:p>
      <w:pPr>
        <w:pStyle w:val="ListParagraph"/>
        <w:numPr>
          <w:ilvl w:val="0"/>
          <w:numId w:val="2"/>
        </w:numPr>
        <w:spacing w:after="80" w:line="280"/>
      </w:pPr>
      <w:r>
        <w:rPr>
          <w:rFonts w:ascii="Times New Roman" w:cs="Times New Roman" w:eastAsia="Times New Roman" w:hAnsi="Times New Roman"/>
          <w:sz w:val="20"/>
          <w:szCs w:val="20"/>
        </w:rPr>
        <w:t xml:space="preserve">Identification and mitigation of transfer risks; tracking of all transition tasks against the agreed plan.</w:t>
      </w:r>
    </w:p>
    <w:p>
      <w:pPr>
        <w:pStyle w:val="ListParagraph"/>
        <w:numPr>
          <w:ilvl w:val="0"/>
          <w:numId w:val="2"/>
        </w:numPr>
        <w:spacing w:after="80" w:line="280"/>
      </w:pPr>
      <w:r>
        <w:rPr>
          <w:rFonts w:ascii="Times New Roman" w:cs="Times New Roman" w:eastAsia="Times New Roman" w:hAnsi="Times New Roman"/>
          <w:sz w:val="20"/>
          <w:szCs w:val="20"/>
        </w:rPr>
        <w:t xml:space="preserve">Zero-disruption commitment: no missed sprint deliverables, no critical service disruptions, and no degradation of O&amp;M SLAs attributable to transition activities.</w:t>
      </w:r>
    </w:p>
    <w:p>
      <w:pPr>
        <w:pStyle w:val="ListParagraph"/>
        <w:numPr>
          <w:ilvl w:val="0"/>
          <w:numId w:val="2"/>
        </w:numPr>
        <w:spacing w:after="80" w:line="280"/>
      </w:pPr>
      <w:r>
        <w:rPr>
          <w:rFonts w:ascii="Times New Roman" w:cs="Times New Roman" w:eastAsia="Times New Roman" w:hAnsi="Times New Roman"/>
          <w:sz w:val="20"/>
          <w:szCs w:val="20"/>
        </w:rPr>
        <w:t xml:space="preserve">Living playbooks and developer how-to documentation maintained throughout the contract lifecycle—owned by the Government and stored in CDC-designated repositories—enabling any future transition to proceed without program knowledge loss.</w:t>
      </w:r>
    </w:p>
    <w:p>
      <w:pPr>
        <w:pStyle w:val="ListParagraph"/>
        <w:numPr>
          <w:ilvl w:val="0"/>
          <w:numId w:val="2"/>
        </w:numPr>
        <w:spacing w:after="80" w:line="280"/>
      </w:pPr>
      <w:r>
        <w:rPr>
          <w:rFonts w:ascii="Times New Roman" w:cs="Times New Roman" w:eastAsia="Times New Roman" w:hAnsi="Times New Roman"/>
          <w:sz w:val="20"/>
          <w:szCs w:val="20"/>
        </w:rPr>
        <w:t xml:space="preserve">A Transition-Out Plan submitted at least 60 calendar days prior to contract end, covering orderly handoff of all systems, documentation, repository access, and STLT relationships, including system disposition / decommissioning where applicable.</w:t>
      </w:r>
    </w:p>
    <w:p>
      <w:pPr>
        <w:pStyle w:val="ListParagraph"/>
        <w:numPr>
          <w:ilvl w:val="0"/>
          <w:numId w:val="2"/>
        </w:numPr>
        <w:spacing w:after="80" w:line="280"/>
      </w:pPr>
      <w:r>
        <w:rPr>
          <w:rFonts w:ascii="Times New Roman" w:cs="Times New Roman" w:eastAsia="Times New Roman" w:hAnsi="Times New Roman"/>
          <w:sz w:val="20"/>
          <w:szCs w:val="20"/>
        </w:rPr>
        <w:t xml:space="preserve">A retrospective conducted within 30 business days following transition, with a retrospective report and updated product roadmap delivered within 10 business days of retrospective completion.</w:t>
      </w:r>
    </w:p>
    <w:p>
      <w:pPr>
        <w:pStyle w:val="ListParagraph"/>
        <w:numPr>
          <w:ilvl w:val="0"/>
          <w:numId w:val="2"/>
        </w:numPr>
        <w:spacing w:after="80" w:line="280"/>
      </w:pPr>
      <w:r>
        <w:rPr>
          <w:rFonts w:ascii="Times New Roman" w:cs="Times New Roman" w:eastAsia="Times New Roman" w:hAnsi="Times New Roman"/>
          <w:sz w:val="20"/>
          <w:szCs w:val="20"/>
        </w:rPr>
        <w:t xml:space="preserve">Sanitization certification at contract closeout: all Government information returned to the CO/COR; all data sanitized from contractor systems in accordance with NIST SP 800-88, with formal certification provided.</w:t>
      </w:r>
    </w:p>
    <w:p>
      <w:pPr>
        <w:keepNext/>
        <w:tabs>
          <w:tab w:val="left" w:pos="900"/>
        </w:tabs>
        <w:spacing w:after="120" w:before="360"/>
      </w:pPr>
      <w:r>
        <w:rPr>
          <w:rFonts w:ascii="Times New Roman" w:cs="Times New Roman" w:eastAsia="Times New Roman" w:hAnsi="Times New Roman"/>
          <w:b/>
          <w:bCs/>
          <w:color w:val="86BC25"/>
          <w:sz w:val="28"/>
          <w:szCs w:val="28"/>
        </w:rPr>
        <w:t xml:space="preserve">4.0</w:t>
      </w:r>
      <w:r>
        <w:rPr>
          <w:rFonts w:ascii="Times New Roman" w:cs="Times New Roman" w:eastAsia="Times New Roman" w:hAnsi="Times New Roman"/>
          <w:sz w:val="28"/>
          <w:szCs w:val="28"/>
        </w:rPr>
        <w:t xml:space="preserve">	</w:t>
      </w:r>
      <w:r>
        <w:rPr>
          <w:rFonts w:ascii="Times New Roman" w:cs="Times New Roman" w:eastAsia="Times New Roman" w:hAnsi="Times New Roman"/>
          <w:b/>
          <w:bCs/>
          <w:color w:val="86BC25"/>
          <w:sz w:val="28"/>
          <w:szCs w:val="28"/>
        </w:rPr>
        <w:t xml:space="preserve">Management Approach</w:t>
      </w:r>
    </w:p>
    <w:p>
      <w:pPr>
        <w:spacing w:after="180" w:line="280"/>
      </w:pPr>
      <w:r>
        <w:rPr>
          <w:rFonts w:ascii="Times New Roman" w:cs="Times New Roman" w:eastAsia="Times New Roman" w:hAnsi="Times New Roman"/>
          <w:sz w:val="20"/>
          <w:szCs w:val="20"/>
        </w:rPr>
        <w:t xml:space="preserve">Deloitte’s management approach for NBS Modernization and Support is built on three commitments: unified governance across all twelve PWS tasks, predictable and transparent delivery, and proactive risk management that keeps the CDC Product Owner informed and in control at all times.</w:t>
      </w:r>
    </w:p>
    <w:p>
      <w:pPr>
        <w:keepNext/>
        <w:spacing w:after="80" w:before="200"/>
      </w:pPr>
      <w:r>
        <w:rPr>
          <w:rFonts w:ascii="Times New Roman" w:cs="Times New Roman" w:eastAsia="Times New Roman" w:hAnsi="Times New Roman"/>
          <w:b/>
          <w:bCs/>
          <w:sz w:val="26"/>
          <w:szCs w:val="26"/>
        </w:rPr>
        <w:t xml:space="preserve">4.1 Governance Structure</w:t>
      </w:r>
    </w:p>
    <w:p>
      <w:pPr>
        <w:spacing w:after="180" w:line="280"/>
      </w:pPr>
      <w:r>
        <w:rPr>
          <w:rFonts w:ascii="Times New Roman" w:cs="Times New Roman" w:eastAsia="Times New Roman" w:hAnsi="Times New Roman"/>
          <w:sz w:val="20"/>
          <w:szCs w:val="20"/>
        </w:rPr>
        <w:t xml:space="preserve">We will establish a clear three-tier governance model:</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Strategic Tier:</w:t>
      </w:r>
      <w:r>
        <w:rPr>
          <w:rFonts w:ascii="Times New Roman" w:cs="Times New Roman" w:eastAsia="Times New Roman" w:hAnsi="Times New Roman"/>
          <w:b w:val="false"/>
          <w:bCs w:val="false"/>
          <w:i w:val="false"/>
          <w:iCs w:val="false"/>
          <w:sz w:val="20"/>
          <w:szCs w:val="20"/>
        </w:rPr>
        <w:t xml:space="preserve"> Monthly program review with the CDC Product Owner, OPHDST leadership, and Deloitte program leadership. Covers roadmap alignment, EVM/budget performance, strategic risk, and stakeholder priorities.</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Operational Tier:</w:t>
      </w:r>
      <w:r>
        <w:rPr>
          <w:rFonts w:ascii="Times New Roman" w:cs="Times New Roman" w:eastAsia="Times New Roman" w:hAnsi="Times New Roman"/>
          <w:b w:val="false"/>
          <w:bCs w:val="false"/>
          <w:i w:val="false"/>
          <w:iCs w:val="false"/>
          <w:sz w:val="20"/>
          <w:szCs w:val="20"/>
        </w:rPr>
        <w:t xml:space="preserve"> Bi-weekly sprint reviews and release readiness reviews with CDC workstream Product Owners and Deloitte workstream leads. Covers sprint outcomes, release go/no-go decisions, dependency management, and issue escalation.</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Execution Tier:</w:t>
      </w:r>
      <w:r>
        <w:rPr>
          <w:rFonts w:ascii="Times New Roman" w:cs="Times New Roman" w:eastAsia="Times New Roman" w:hAnsi="Times New Roman"/>
          <w:b w:val="false"/>
          <w:bCs w:val="false"/>
          <w:i w:val="false"/>
          <w:iCs w:val="false"/>
          <w:sz w:val="20"/>
          <w:szCs w:val="20"/>
        </w:rPr>
        <w:t xml:space="preserve"> Daily team stand-ups, weekly backlog refinement, and continuous CI/CD monitoring. Covers sprint progress, blockers, defects, and O&amp;M tickets.</w:t>
      </w:r>
    </w:p>
    <w:p>
      <w:pPr>
        <w:keepNext/>
        <w:spacing w:after="80" w:before="200"/>
      </w:pPr>
      <w:r>
        <w:rPr>
          <w:rFonts w:ascii="Times New Roman" w:cs="Times New Roman" w:eastAsia="Times New Roman" w:hAnsi="Times New Roman"/>
          <w:b/>
          <w:bCs/>
          <w:sz w:val="26"/>
          <w:szCs w:val="26"/>
        </w:rPr>
        <w:t xml:space="preserve">4.2 Quality Management</w:t>
      </w:r>
    </w:p>
    <w:p>
      <w:pPr>
        <w:spacing w:after="180" w:line="280"/>
      </w:pPr>
      <w:r>
        <w:rPr>
          <w:rFonts w:ascii="Times New Roman" w:cs="Times New Roman" w:eastAsia="Times New Roman" w:hAnsi="Times New Roman"/>
          <w:sz w:val="20"/>
          <w:szCs w:val="20"/>
        </w:rPr>
        <w:t xml:space="preserve">Deloitte embeds quality management throughout the delivery lifecycle rather than concentrating it at release gates. Our quality management system includes:</w:t>
      </w:r>
    </w:p>
    <w:p>
      <w:pPr>
        <w:pStyle w:val="ListParagraph"/>
        <w:numPr>
          <w:ilvl w:val="0"/>
          <w:numId w:val="2"/>
        </w:numPr>
        <w:spacing w:after="80" w:line="280"/>
      </w:pPr>
      <w:r>
        <w:rPr>
          <w:rFonts w:ascii="Times New Roman" w:cs="Times New Roman" w:eastAsia="Times New Roman" w:hAnsi="Times New Roman"/>
          <w:sz w:val="20"/>
          <w:szCs w:val="20"/>
        </w:rPr>
        <w:t xml:space="preserve">Shared Definition of Ready and Definition of Done across all workstreams, ensuring requirements are testable before sprint commitment and that deliverables meet acceptance criteria before release.</w:t>
      </w:r>
    </w:p>
    <w:p>
      <w:pPr>
        <w:pStyle w:val="ListParagraph"/>
        <w:numPr>
          <w:ilvl w:val="0"/>
          <w:numId w:val="2"/>
        </w:numPr>
        <w:spacing w:after="80" w:line="280"/>
      </w:pPr>
      <w:r>
        <w:rPr>
          <w:rFonts w:ascii="Times New Roman" w:cs="Times New Roman" w:eastAsia="Times New Roman" w:hAnsi="Times New Roman"/>
          <w:sz w:val="20"/>
          <w:szCs w:val="20"/>
        </w:rPr>
        <w:t xml:space="preserve">Peer code review for 100% of pull requests; automated code quality gate enforcement (e.g., SonarCloud) for bugs, vulnerabilities, security hotspots, and code smells; 80%+ unit test coverage on all new code; lint enforcement on all PRs.</w:t>
      </w:r>
    </w:p>
    <w:p>
      <w:pPr>
        <w:pStyle w:val="ListParagraph"/>
        <w:numPr>
          <w:ilvl w:val="0"/>
          <w:numId w:val="2"/>
        </w:numPr>
        <w:spacing w:after="80" w:line="280"/>
      </w:pPr>
      <w:r>
        <w:rPr>
          <w:rFonts w:ascii="Times New Roman" w:cs="Times New Roman" w:eastAsia="Times New Roman" w:hAnsi="Times New Roman"/>
          <w:sz w:val="20"/>
          <w:szCs w:val="20"/>
        </w:rPr>
        <w:t xml:space="preserve">All work products consistently committed to the designated GitHub repository throughout the development process, in accordance with established version control practices.</w:t>
      </w:r>
    </w:p>
    <w:p>
      <w:pPr>
        <w:pStyle w:val="ListParagraph"/>
        <w:numPr>
          <w:ilvl w:val="0"/>
          <w:numId w:val="2"/>
        </w:numPr>
        <w:spacing w:after="80" w:line="280"/>
      </w:pPr>
      <w:r>
        <w:rPr>
          <w:rFonts w:ascii="Times New Roman" w:cs="Times New Roman" w:eastAsia="Times New Roman" w:hAnsi="Times New Roman"/>
          <w:sz w:val="20"/>
          <w:szCs w:val="20"/>
        </w:rPr>
        <w:t xml:space="preserve">Technical Design Documents produced and approved for 100% of major features and refactors at least one (1) week prior to implementation.</w:t>
      </w:r>
    </w:p>
    <w:p>
      <w:pPr>
        <w:pStyle w:val="ListParagraph"/>
        <w:numPr>
          <w:ilvl w:val="0"/>
          <w:numId w:val="2"/>
        </w:numPr>
        <w:spacing w:after="80" w:line="280"/>
      </w:pPr>
      <w:r>
        <w:rPr>
          <w:rFonts w:ascii="Times New Roman" w:cs="Times New Roman" w:eastAsia="Times New Roman" w:hAnsi="Times New Roman"/>
          <w:sz w:val="20"/>
          <w:szCs w:val="20"/>
        </w:rPr>
        <w:t xml:space="preserve">Release readiness reviews with documented entry/exit criteria and formal go/no-go decisions recorded in CDC-designated systems.</w:t>
      </w:r>
    </w:p>
    <w:p>
      <w:pPr>
        <w:pStyle w:val="ListParagraph"/>
        <w:numPr>
          <w:ilvl w:val="0"/>
          <w:numId w:val="2"/>
        </w:numPr>
        <w:spacing w:after="80" w:line="280"/>
      </w:pPr>
      <w:r>
        <w:rPr>
          <w:rFonts w:ascii="Times New Roman" w:cs="Times New Roman" w:eastAsia="Times New Roman" w:hAnsi="Times New Roman"/>
          <w:sz w:val="20"/>
          <w:szCs w:val="20"/>
        </w:rPr>
        <w:t xml:space="preserve">Continuous deployment to Staging and Production with end-to-end smoke tests; system uptime baseline of 99% (with higher targets where established by the federal Product Owner at outset of performance).</w:t>
      </w:r>
    </w:p>
    <w:p>
      <w:pPr>
        <w:pStyle w:val="ListParagraph"/>
        <w:numPr>
          <w:ilvl w:val="0"/>
          <w:numId w:val="2"/>
        </w:numPr>
        <w:spacing w:after="80" w:line="280"/>
      </w:pPr>
      <w:r>
        <w:rPr>
          <w:rFonts w:ascii="Times New Roman" w:cs="Times New Roman" w:eastAsia="Times New Roman" w:hAnsi="Times New Roman"/>
          <w:sz w:val="20"/>
          <w:szCs w:val="20"/>
        </w:rPr>
        <w:t xml:space="preserve">Continuous usability and ADA testing with actual users throughout the development cycle, supplemented by CDC ADA testing tool reports as appropriate.</w:t>
      </w:r>
    </w:p>
    <w:p>
      <w:pPr>
        <w:pStyle w:val="ListParagraph"/>
        <w:numPr>
          <w:ilvl w:val="0"/>
          <w:numId w:val="2"/>
        </w:numPr>
        <w:spacing w:after="80" w:line="280"/>
      </w:pPr>
      <w:r>
        <w:rPr>
          <w:rFonts w:ascii="Times New Roman" w:cs="Times New Roman" w:eastAsia="Times New Roman" w:hAnsi="Times New Roman"/>
          <w:sz w:val="20"/>
          <w:szCs w:val="20"/>
        </w:rPr>
        <w:t xml:space="preserve">Post-release retrospectives following every major release, feeding lessons learned into process improvements and updated runbooks.</w:t>
      </w:r>
    </w:p>
    <w:p>
      <w:pPr>
        <w:keepNext/>
        <w:spacing w:after="80" w:before="200"/>
      </w:pPr>
      <w:r>
        <w:rPr>
          <w:rFonts w:ascii="Times New Roman" w:cs="Times New Roman" w:eastAsia="Times New Roman" w:hAnsi="Times New Roman"/>
          <w:b/>
          <w:bCs/>
          <w:sz w:val="26"/>
          <w:szCs w:val="26"/>
        </w:rPr>
        <w:t xml:space="preserve">4.3 Communications</w:t>
      </w:r>
    </w:p>
    <w:p>
      <w:pPr>
        <w:spacing w:after="180" w:line="280"/>
      </w:pPr>
      <w:r>
        <w:rPr>
          <w:rFonts w:ascii="Times New Roman" w:cs="Times New Roman" w:eastAsia="Times New Roman" w:hAnsi="Times New Roman"/>
          <w:sz w:val="20"/>
          <w:szCs w:val="20"/>
        </w:rPr>
        <w:t xml:space="preserve">Deloitte will maintain a communications cadence that keeps CDC and STLT stakeholders consistently informed and engaged:</w:t>
      </w:r>
    </w:p>
    <w:p>
      <w:pPr>
        <w:pStyle w:val="ListParagraph"/>
        <w:numPr>
          <w:ilvl w:val="0"/>
          <w:numId w:val="2"/>
        </w:numPr>
        <w:spacing w:after="80" w:line="280"/>
      </w:pPr>
      <w:r>
        <w:rPr>
          <w:rFonts w:ascii="Times New Roman" w:cs="Times New Roman" w:eastAsia="Times New Roman" w:hAnsi="Times New Roman"/>
          <w:sz w:val="20"/>
          <w:szCs w:val="20"/>
        </w:rPr>
        <w:t xml:space="preserve">Bi-weekly sprint reports submitted within two (2) working days of sprint close, covering planned vs. completed work and explanations for any spillover, with 100% accuracy on status.</w:t>
      </w:r>
    </w:p>
    <w:p>
      <w:pPr>
        <w:pStyle w:val="ListParagraph"/>
        <w:numPr>
          <w:ilvl w:val="0"/>
          <w:numId w:val="2"/>
        </w:numPr>
        <w:spacing w:after="80" w:line="280"/>
      </w:pPr>
      <w:r>
        <w:rPr>
          <w:rFonts w:ascii="Times New Roman" w:cs="Times New Roman" w:eastAsia="Times New Roman" w:hAnsi="Times New Roman"/>
          <w:sz w:val="20"/>
          <w:szCs w:val="20"/>
        </w:rPr>
        <w:t xml:space="preserve">Monthly Status Reports, Monthly Staff Roster, and Monthly EVM Reports delivered by the 10th calendar day of each month, covering task-level progress, metrics, cost performance, and staffing.</w:t>
      </w:r>
    </w:p>
    <w:p>
      <w:pPr>
        <w:pStyle w:val="ListParagraph"/>
        <w:numPr>
          <w:ilvl w:val="0"/>
          <w:numId w:val="2"/>
        </w:numPr>
        <w:spacing w:after="80" w:line="280"/>
      </w:pPr>
      <w:r>
        <w:rPr>
          <w:rFonts w:ascii="Times New Roman" w:cs="Times New Roman" w:eastAsia="Times New Roman" w:hAnsi="Times New Roman"/>
          <w:sz w:val="20"/>
          <w:szCs w:val="20"/>
        </w:rPr>
        <w:t xml:space="preserve">Release communications published at least 48 hours prior to planned releases, including release notes, impacted functionality, and STLT-facing advisories where applicable.</w:t>
      </w:r>
    </w:p>
    <w:p>
      <w:pPr>
        <w:pStyle w:val="ListParagraph"/>
        <w:numPr>
          <w:ilvl w:val="0"/>
          <w:numId w:val="2"/>
        </w:numPr>
        <w:spacing w:after="80" w:line="280"/>
      </w:pPr>
      <w:r>
        <w:rPr>
          <w:rFonts w:ascii="Times New Roman" w:cs="Times New Roman" w:eastAsia="Times New Roman" w:hAnsi="Times New Roman"/>
          <w:sz w:val="20"/>
          <w:szCs w:val="20"/>
        </w:rPr>
        <w:t xml:space="preserve">Community of Practice (CoP) logistics and facilitation support for recurring NBS STLT meetings, including agenda development, note-taking, action item tracking, and synthesis of STLT feedback for the CDC Product Owner.</w:t>
      </w:r>
    </w:p>
    <w:p>
      <w:pPr>
        <w:keepNext/>
        <w:spacing w:after="80" w:before="200"/>
      </w:pPr>
      <w:r>
        <w:rPr>
          <w:rFonts w:ascii="Times New Roman" w:cs="Times New Roman" w:eastAsia="Times New Roman" w:hAnsi="Times New Roman"/>
          <w:b/>
          <w:bCs/>
          <w:sz w:val="26"/>
          <w:szCs w:val="26"/>
        </w:rPr>
        <w:t xml:space="preserve">4.4 Risk Management</w:t>
      </w:r>
    </w:p>
    <w:p>
      <w:pPr>
        <w:spacing w:after="180" w:line="280"/>
      </w:pPr>
      <w:r>
        <w:rPr>
          <w:rFonts w:ascii="Times New Roman" w:cs="Times New Roman" w:eastAsia="Times New Roman" w:hAnsi="Times New Roman"/>
          <w:sz w:val="20"/>
          <w:szCs w:val="20"/>
        </w:rPr>
        <w:t xml:space="preserve">Deloitte will operate a continuous Risk, Issue, and Opportunity (RIO) management process throughout the contract:</w:t>
      </w:r>
    </w:p>
    <w:p>
      <w:pPr>
        <w:pStyle w:val="ListParagraph"/>
        <w:numPr>
          <w:ilvl w:val="0"/>
          <w:numId w:val="2"/>
        </w:numPr>
        <w:spacing w:after="80" w:line="280"/>
      </w:pPr>
      <w:r>
        <w:rPr>
          <w:rFonts w:ascii="Times New Roman" w:cs="Times New Roman" w:eastAsia="Times New Roman" w:hAnsi="Times New Roman"/>
          <w:sz w:val="20"/>
          <w:szCs w:val="20"/>
        </w:rPr>
        <w:t xml:space="preserve">A standing RIO register maintained in CDC-designated tools (Confluence or equivalent), reviewed weekly with severity, probability/impact scores, owner, mitigation plan, and status.</w:t>
      </w:r>
    </w:p>
    <w:p>
      <w:pPr>
        <w:pStyle w:val="ListParagraph"/>
        <w:numPr>
          <w:ilvl w:val="0"/>
          <w:numId w:val="2"/>
        </w:numPr>
        <w:spacing w:after="80" w:line="280"/>
      </w:pPr>
      <w:r>
        <w:rPr>
          <w:rFonts w:ascii="Times New Roman" w:cs="Times New Roman" w:eastAsia="Times New Roman" w:hAnsi="Times New Roman"/>
          <w:sz w:val="20"/>
          <w:szCs w:val="20"/>
        </w:rPr>
        <w:t xml:space="preserve">High and critical RIOs escalated to the CDC Product Owner within one (1) business day of identification.</w:t>
      </w:r>
    </w:p>
    <w:p>
      <w:pPr>
        <w:pStyle w:val="ListParagraph"/>
        <w:numPr>
          <w:ilvl w:val="0"/>
          <w:numId w:val="2"/>
        </w:numPr>
        <w:spacing w:after="80" w:line="280"/>
      </w:pPr>
      <w:r>
        <w:rPr>
          <w:rFonts w:ascii="Times New Roman" w:cs="Times New Roman" w:eastAsia="Times New Roman" w:hAnsi="Times New Roman"/>
          <w:sz w:val="20"/>
          <w:szCs w:val="20"/>
        </w:rPr>
        <w:t xml:space="preserve">Release-critical blockers tracked daily during release windows, with immediate escalation protocols for zero-day security vulnerabilities and P1 incidents.</w:t>
      </w:r>
    </w:p>
    <w:p>
      <w:pPr>
        <w:pStyle w:val="ListParagraph"/>
        <w:numPr>
          <w:ilvl w:val="0"/>
          <w:numId w:val="2"/>
        </w:numPr>
        <w:spacing w:after="80" w:line="280"/>
      </w:pPr>
      <w:r>
        <w:rPr>
          <w:rFonts w:ascii="Times New Roman" w:cs="Times New Roman" w:eastAsia="Times New Roman" w:hAnsi="Times New Roman"/>
          <w:sz w:val="20"/>
          <w:szCs w:val="20"/>
        </w:rPr>
        <w:t xml:space="preserve">Annual retrospective-driven risk review incorporating patterns from incident history and STLT feedback.</w:t>
      </w:r>
    </w:p>
    <w:p>
      <w:pPr>
        <w:keepNext/>
        <w:spacing w:after="80" w:before="200"/>
      </w:pPr>
      <w:r>
        <w:rPr>
          <w:rFonts w:ascii="Times New Roman" w:cs="Times New Roman" w:eastAsia="Times New Roman" w:hAnsi="Times New Roman"/>
          <w:b/>
          <w:bCs/>
          <w:sz w:val="26"/>
          <w:szCs w:val="26"/>
        </w:rPr>
        <w:t xml:space="preserve">4.5 Information Security, Privacy, and Compliance</w:t>
      </w:r>
    </w:p>
    <w:p>
      <w:pPr>
        <w:spacing w:after="180" w:line="280"/>
      </w:pPr>
      <w:r>
        <w:rPr>
          <w:rFonts w:ascii="Times New Roman" w:cs="Times New Roman" w:eastAsia="Times New Roman" w:hAnsi="Times New Roman"/>
          <w:sz w:val="20"/>
          <w:szCs w:val="20"/>
        </w:rPr>
        <w:t xml:space="preserve">NBS handles sensitive public health surveillance data—including PII at a Moderate confidentiality impact level—in a system with an Overall FISMA High risk rating. Deloitte treats security and compliance as non-negotiable program requirements, not optional features.</w:t>
      </w:r>
    </w:p>
    <w:p>
      <w:pPr>
        <w:keepNext/>
        <w:spacing w:after="60" w:before="160"/>
      </w:pPr>
      <w:r>
        <w:rPr>
          <w:rFonts w:ascii="Times New Roman" w:cs="Times New Roman" w:eastAsia="Times New Roman" w:hAnsi="Times New Roman"/>
          <w:b/>
          <w:bCs/>
          <w:sz w:val="22"/>
          <w:szCs w:val="22"/>
        </w:rPr>
        <w:t xml:space="preserve">Security and Privacy Framework</w:t>
      </w:r>
    </w:p>
    <w:p>
      <w:pPr>
        <w:spacing w:after="180" w:line="280"/>
      </w:pPr>
      <w:r>
        <w:rPr>
          <w:rFonts w:ascii="Times New Roman" w:cs="Times New Roman" w:eastAsia="Times New Roman" w:hAnsi="Times New Roman"/>
          <w:sz w:val="20"/>
          <w:szCs w:val="20"/>
        </w:rPr>
        <w:t xml:space="preserve">Our compliance commitments map directly to the standards, policies, and clauses cited in the PWS:</w:t>
      </w:r>
    </w:p>
    <w:p>
      <w:pPr>
        <w:pStyle w:val="ListParagraph"/>
        <w:numPr>
          <w:ilvl w:val="0"/>
          <w:numId w:val="2"/>
        </w:numPr>
        <w:spacing w:after="80" w:line="280"/>
      </w:pPr>
      <w:r>
        <w:rPr>
          <w:rFonts w:ascii="Times New Roman" w:cs="Times New Roman" w:eastAsia="Times New Roman" w:hAnsi="Times New Roman"/>
          <w:sz w:val="20"/>
          <w:szCs w:val="20"/>
        </w:rPr>
        <w:t xml:space="preserve">FIPS 199 categorization compliance and FISMA High security posture maintained through continuous SAST, SCA, container scanning, and infrastructure-as-code scanning, with critical vulnerabilities remediated within 15 calendar days and high-severity within 30 calendar days.</w:t>
      </w:r>
    </w:p>
    <w:p>
      <w:pPr>
        <w:pStyle w:val="ListParagraph"/>
        <w:numPr>
          <w:ilvl w:val="0"/>
          <w:numId w:val="2"/>
        </w:numPr>
        <w:spacing w:after="80" w:line="280"/>
      </w:pPr>
      <w:r>
        <w:rPr>
          <w:rFonts w:ascii="Times New Roman" w:cs="Times New Roman" w:eastAsia="Times New Roman" w:hAnsi="Times New Roman"/>
          <w:sz w:val="20"/>
          <w:szCs w:val="20"/>
        </w:rPr>
        <w:t xml:space="preserve">All sensitive federal data (PII, PHI, proprietary information) encrypted in transit and at rest using FIPS 140-2 validated solutions, consistent with the HHS Standard for Encryption of Computing Devices and Information, OMB Circular A-130, OMB M-06-16, and CDC OCISO requirements. Encryption keys provided to CDC OCISO; key recovery mechanisms established.</w:t>
      </w:r>
    </w:p>
    <w:p>
      <w:pPr>
        <w:pStyle w:val="ListParagraph"/>
        <w:numPr>
          <w:ilvl w:val="0"/>
          <w:numId w:val="2"/>
        </w:numPr>
        <w:spacing w:after="80" w:line="280"/>
      </w:pPr>
      <w:r>
        <w:rPr>
          <w:rFonts w:ascii="Times New Roman" w:cs="Times New Roman" w:eastAsia="Times New Roman" w:hAnsi="Times New Roman"/>
          <w:sz w:val="20"/>
          <w:szCs w:val="20"/>
        </w:rPr>
        <w:t xml:space="preserve">All systems and information protected in accordance with NIST SP 800-53 (federal systems) and NIST SP 800-171 (internal contractor systems handling CUI).</w:t>
      </w:r>
    </w:p>
    <w:p>
      <w:pPr>
        <w:pStyle w:val="ListParagraph"/>
        <w:numPr>
          <w:ilvl w:val="0"/>
          <w:numId w:val="2"/>
        </w:numPr>
        <w:spacing w:after="80" w:line="280"/>
      </w:pPr>
      <w:r>
        <w:rPr>
          <w:rFonts w:ascii="Times New Roman" w:cs="Times New Roman" w:eastAsia="Times New Roman" w:hAnsi="Times New Roman"/>
          <w:sz w:val="20"/>
          <w:szCs w:val="20"/>
        </w:rPr>
        <w:t xml:space="preserve">CUI handled in accordance with Executive Order 13556 and 32 CFR Part 2002, including marking, need-to-know dissemination, and protected disposition.</w:t>
      </w:r>
    </w:p>
    <w:p>
      <w:pPr>
        <w:pStyle w:val="ListParagraph"/>
        <w:numPr>
          <w:ilvl w:val="0"/>
          <w:numId w:val="2"/>
        </w:numPr>
        <w:spacing w:after="80" w:line="280"/>
      </w:pPr>
      <w:r>
        <w:rPr>
          <w:rFonts w:ascii="Times New Roman" w:cs="Times New Roman" w:eastAsia="Times New Roman" w:hAnsi="Times New Roman"/>
          <w:sz w:val="20"/>
          <w:szCs w:val="20"/>
        </w:rPr>
        <w:t xml:space="preserve">ATO artifact production and continuous monitoring support, including SBOM generation, configuration change records, audit log management, and control implementation evidence sourced from DevSecOps systems.</w:t>
      </w:r>
    </w:p>
    <w:p>
      <w:pPr>
        <w:pStyle w:val="ListParagraph"/>
        <w:numPr>
          <w:ilvl w:val="0"/>
          <w:numId w:val="2"/>
        </w:numPr>
        <w:spacing w:after="80" w:line="280"/>
      </w:pPr>
      <w:r>
        <w:rPr>
          <w:rFonts w:ascii="Times New Roman" w:cs="Times New Roman" w:eastAsia="Times New Roman" w:hAnsi="Times New Roman"/>
          <w:sz w:val="20"/>
          <w:szCs w:val="20"/>
        </w:rPr>
        <w:t xml:space="preserve">Privacy Threshold Analysis (PTA) and Privacy Impact Assessment (PIA) support per OMB M-03-22 and HHS policy; PTA/PIA delivered within 60–90 days after contract award; PIA reviewed at least every three years and upon major system changes.</w:t>
      </w:r>
    </w:p>
    <w:p>
      <w:pPr>
        <w:pStyle w:val="ListParagraph"/>
        <w:numPr>
          <w:ilvl w:val="0"/>
          <w:numId w:val="2"/>
        </w:numPr>
        <w:spacing w:after="80" w:line="280"/>
      </w:pPr>
      <w:r>
        <w:rPr>
          <w:rFonts w:ascii="Times New Roman" w:cs="Times New Roman" w:eastAsia="Times New Roman" w:hAnsi="Times New Roman"/>
          <w:sz w:val="20"/>
          <w:szCs w:val="20"/>
        </w:rPr>
        <w:t xml:space="preserve">System Development Life Cycle (SDLC) compliant with NIST SP 800-64.</w:t>
      </w:r>
    </w:p>
    <w:p>
      <w:pPr>
        <w:pStyle w:val="ListParagraph"/>
        <w:numPr>
          <w:ilvl w:val="0"/>
          <w:numId w:val="2"/>
        </w:numPr>
        <w:spacing w:after="80" w:line="280"/>
      </w:pPr>
      <w:r>
        <w:rPr>
          <w:rFonts w:ascii="Times New Roman" w:cs="Times New Roman" w:eastAsia="Times New Roman" w:hAnsi="Times New Roman"/>
          <w:sz w:val="20"/>
          <w:szCs w:val="20"/>
        </w:rPr>
        <w:t xml:space="preserve">All public-facing Government websites securely configured with HTTPS using current TLS, with HSTS enabled.</w:t>
      </w:r>
    </w:p>
    <w:p>
      <w:pPr>
        <w:pStyle w:val="ListParagraph"/>
        <w:numPr>
          <w:ilvl w:val="0"/>
          <w:numId w:val="2"/>
        </w:numPr>
        <w:spacing w:after="80" w:line="280"/>
      </w:pPr>
      <w:r>
        <w:rPr>
          <w:rFonts w:ascii="Times New Roman" w:cs="Times New Roman" w:eastAsia="Times New Roman" w:hAnsi="Times New Roman"/>
          <w:sz w:val="20"/>
          <w:szCs w:val="20"/>
        </w:rPr>
        <w:t xml:space="preserve">IPv6 transition compliance per OMB M-05-22.</w:t>
      </w:r>
    </w:p>
    <w:p>
      <w:pPr>
        <w:pStyle w:val="ListParagraph"/>
        <w:numPr>
          <w:ilvl w:val="0"/>
          <w:numId w:val="2"/>
        </w:numPr>
        <w:spacing w:after="80" w:line="280"/>
      </w:pPr>
      <w:r>
        <w:rPr>
          <w:rFonts w:ascii="Times New Roman" w:cs="Times New Roman" w:eastAsia="Times New Roman" w:hAnsi="Times New Roman"/>
          <w:sz w:val="20"/>
          <w:szCs w:val="20"/>
        </w:rPr>
        <w:t xml:space="preserve">Secure coding practices aligned to US-CERT and OWASP standards; applications run in standard user context without requiring elevated administrative privileges; no sensitive data used during testing.</w:t>
      </w:r>
    </w:p>
    <w:p>
      <w:pPr>
        <w:keepNext/>
        <w:spacing w:after="60" w:before="160"/>
      </w:pPr>
      <w:r>
        <w:rPr>
          <w:rFonts w:ascii="Times New Roman" w:cs="Times New Roman" w:eastAsia="Times New Roman" w:hAnsi="Times New Roman"/>
          <w:b/>
          <w:bCs/>
          <w:sz w:val="22"/>
          <w:szCs w:val="22"/>
        </w:rPr>
        <w:t xml:space="preserve">Incident and Breach Response</w:t>
      </w:r>
    </w:p>
    <w:p>
      <w:pPr>
        <w:pStyle w:val="ListParagraph"/>
        <w:numPr>
          <w:ilvl w:val="0"/>
          <w:numId w:val="2"/>
        </w:numPr>
        <w:spacing w:after="80" w:line="280"/>
      </w:pPr>
      <w:r>
        <w:rPr>
          <w:rFonts w:ascii="Times New Roman" w:cs="Times New Roman" w:eastAsia="Times New Roman" w:hAnsi="Times New Roman"/>
          <w:sz w:val="20"/>
          <w:szCs w:val="20"/>
        </w:rPr>
        <w:t xml:space="preserve">Newly discovered threats, hazards, or failed safeguards reported to CDC within one (1) hour of discovery, per the PWS Baseline Security Requirements.</w:t>
      </w:r>
    </w:p>
    <w:p>
      <w:pPr>
        <w:pStyle w:val="ListParagraph"/>
        <w:numPr>
          <w:ilvl w:val="0"/>
          <w:numId w:val="2"/>
        </w:numPr>
        <w:spacing w:after="80" w:line="280"/>
      </w:pPr>
      <w:r>
        <w:rPr>
          <w:rFonts w:ascii="Times New Roman" w:cs="Times New Roman" w:eastAsia="Times New Roman" w:hAnsi="Times New Roman"/>
          <w:sz w:val="20"/>
          <w:szCs w:val="20"/>
        </w:rPr>
        <w:t xml:space="preserve">Suspected or confirmed breaches reported in any medium as soon as possible and no later than one (1) hour of discovery, consistent with HHS/CDC incident management policy and US-CERT notification guidelines.</w:t>
      </w:r>
    </w:p>
    <w:p>
      <w:pPr>
        <w:pStyle w:val="ListParagraph"/>
        <w:numPr>
          <w:ilvl w:val="0"/>
          <w:numId w:val="2"/>
        </w:numPr>
        <w:spacing w:after="80" w:line="280"/>
      </w:pPr>
      <w:r>
        <w:rPr>
          <w:rFonts w:ascii="Times New Roman" w:cs="Times New Roman" w:eastAsia="Times New Roman" w:hAnsi="Times New Roman"/>
          <w:sz w:val="20"/>
          <w:szCs w:val="20"/>
        </w:rPr>
        <w:t xml:space="preserve">Response to all alerts and Indicators of Compromise (IOCs) provided by HHS CSIRC or CDC CSIRT within 24 hours—positive or negative—via csirt@cdc.gov or telephone at 866-655-2245.</w:t>
      </w:r>
    </w:p>
    <w:p>
      <w:pPr>
        <w:pStyle w:val="ListParagraph"/>
        <w:numPr>
          <w:ilvl w:val="0"/>
          <w:numId w:val="2"/>
        </w:numPr>
        <w:spacing w:after="80" w:line="280"/>
      </w:pPr>
      <w:r>
        <w:rPr>
          <w:rFonts w:ascii="Times New Roman" w:cs="Times New Roman" w:eastAsia="Times New Roman" w:hAnsi="Times New Roman"/>
          <w:sz w:val="20"/>
          <w:szCs w:val="20"/>
        </w:rPr>
        <w:t xml:space="preserve">Cooperation with CDC officials and the CDC Breach Response Team to manage suspected or confirmed breaches; full forensic, inspection, and investigation support; no notification of affected individuals unless and until directed by the Contracting Officer.</w:t>
      </w:r>
    </w:p>
    <w:p>
      <w:pPr>
        <w:pStyle w:val="ListParagraph"/>
        <w:numPr>
          <w:ilvl w:val="0"/>
          <w:numId w:val="2"/>
        </w:numPr>
        <w:spacing w:after="80" w:line="280"/>
      </w:pPr>
      <w:r>
        <w:rPr>
          <w:rFonts w:ascii="Times New Roman" w:cs="Times New Roman" w:eastAsia="Times New Roman" w:hAnsi="Times New Roman"/>
          <w:sz w:val="20"/>
          <w:szCs w:val="20"/>
        </w:rPr>
        <w:t xml:space="preserve">Cloud service providers operating per FedRAMP Incident Communications Procedures.</w:t>
      </w:r>
    </w:p>
    <w:p>
      <w:pPr>
        <w:keepNext/>
        <w:spacing w:after="60" w:before="160"/>
      </w:pPr>
      <w:r>
        <w:rPr>
          <w:rFonts w:ascii="Times New Roman" w:cs="Times New Roman" w:eastAsia="Times New Roman" w:hAnsi="Times New Roman"/>
          <w:b/>
          <w:bCs/>
          <w:sz w:val="22"/>
          <w:szCs w:val="22"/>
        </w:rPr>
        <w:t xml:space="preserve">Personnel Security and Training</w:t>
      </w:r>
    </w:p>
    <w:p>
      <w:pPr>
        <w:pStyle w:val="ListParagraph"/>
        <w:numPr>
          <w:ilvl w:val="0"/>
          <w:numId w:val="2"/>
        </w:numPr>
        <w:spacing w:after="80" w:line="280"/>
      </w:pPr>
      <w:r>
        <w:rPr>
          <w:rFonts w:ascii="Times New Roman" w:cs="Times New Roman" w:eastAsia="Times New Roman" w:hAnsi="Times New Roman"/>
          <w:sz w:val="20"/>
          <w:szCs w:val="20"/>
        </w:rPr>
        <w:t xml:space="preserve">All contractor and subcontractor personnel comply with HSPD-12, FIPS 201 PIV, OMB M-05-24, HHS HSPD-12 policy, and Executive Order 13467.</w:t>
      </w:r>
    </w:p>
    <w:p>
      <w:pPr>
        <w:pStyle w:val="ListParagraph"/>
        <w:numPr>
          <w:ilvl w:val="0"/>
          <w:numId w:val="2"/>
        </w:numPr>
        <w:spacing w:after="80" w:line="280"/>
      </w:pPr>
      <w:r>
        <w:rPr>
          <w:rFonts w:ascii="Times New Roman" w:cs="Times New Roman" w:eastAsia="Times New Roman" w:hAnsi="Times New Roman"/>
          <w:sz w:val="20"/>
          <w:szCs w:val="20"/>
        </w:rPr>
        <w:t xml:space="preserve">Background investigations commensurate with position sensitivity designations per 5 CFR Parts 1400 and 731.</w:t>
      </w:r>
    </w:p>
    <w:p>
      <w:pPr>
        <w:pStyle w:val="ListParagraph"/>
        <w:numPr>
          <w:ilvl w:val="0"/>
          <w:numId w:val="2"/>
        </w:numPr>
        <w:spacing w:after="80" w:line="280"/>
      </w:pPr>
      <w:r>
        <w:rPr>
          <w:rFonts w:ascii="Times New Roman" w:cs="Times New Roman" w:eastAsia="Times New Roman" w:hAnsi="Times New Roman"/>
          <w:sz w:val="20"/>
          <w:szCs w:val="20"/>
        </w:rPr>
        <w:t xml:space="preserve">All personnel complete HHS/CDC Contractor Information Security Awareness, Privacy, and Records Management training before performing any work, with annual renewal.</w:t>
      </w:r>
    </w:p>
    <w:p>
      <w:pPr>
        <w:pStyle w:val="ListParagraph"/>
        <w:numPr>
          <w:ilvl w:val="0"/>
          <w:numId w:val="2"/>
        </w:numPr>
        <w:spacing w:after="80" w:line="280"/>
      </w:pPr>
      <w:r>
        <w:rPr>
          <w:rFonts w:ascii="Times New Roman" w:cs="Times New Roman" w:eastAsia="Times New Roman" w:hAnsi="Times New Roman"/>
          <w:sz w:val="20"/>
          <w:szCs w:val="20"/>
        </w:rPr>
        <w:t xml:space="preserve">Personnel with Significant Security Responsibilities (SSR) complete role-based training within 60 days of assuming responsibilities, with annual renewal. Failure to complete training within mandated timeframes results in user account disablement until requirements are met.</w:t>
      </w:r>
    </w:p>
    <w:p>
      <w:pPr>
        <w:pStyle w:val="ListParagraph"/>
        <w:numPr>
          <w:ilvl w:val="0"/>
          <w:numId w:val="2"/>
        </w:numPr>
        <w:spacing w:after="80" w:line="280"/>
      </w:pPr>
      <w:r>
        <w:rPr>
          <w:rFonts w:ascii="Times New Roman" w:cs="Times New Roman" w:eastAsia="Times New Roman" w:hAnsi="Times New Roman"/>
          <w:sz w:val="20"/>
          <w:szCs w:val="20"/>
        </w:rPr>
        <w:t xml:space="preserve">Training records provided to the CO/COR within 30 days after contract award and annually thereafter or upon request.</w:t>
      </w:r>
    </w:p>
    <w:p>
      <w:pPr>
        <w:pStyle w:val="ListParagraph"/>
        <w:numPr>
          <w:ilvl w:val="0"/>
          <w:numId w:val="2"/>
        </w:numPr>
        <w:spacing w:after="80" w:line="280"/>
      </w:pPr>
      <w:r>
        <w:rPr>
          <w:rFonts w:ascii="Times New Roman" w:cs="Times New Roman" w:eastAsia="Times New Roman" w:hAnsi="Times New Roman"/>
          <w:sz w:val="20"/>
          <w:szCs w:val="20"/>
        </w:rPr>
        <w:t xml:space="preserve">HHS IT General Rules of Behavior (ROB) signed at contract initiation and at least annually thereafter; signed ROBs provided as a separate deliverable to the CO/COR.</w:t>
      </w:r>
    </w:p>
    <w:p>
      <w:pPr>
        <w:pStyle w:val="ListParagraph"/>
        <w:numPr>
          <w:ilvl w:val="0"/>
          <w:numId w:val="2"/>
        </w:numPr>
        <w:spacing w:after="80" w:line="280"/>
      </w:pPr>
      <w:r>
        <w:rPr>
          <w:rFonts w:ascii="Times New Roman" w:cs="Times New Roman" w:eastAsia="Times New Roman" w:hAnsi="Times New Roman"/>
          <w:sz w:val="20"/>
          <w:szCs w:val="20"/>
        </w:rPr>
        <w:t xml:space="preserve">Contractor Non-Disclosure Agreements (NDAs) completed by every employee with access to non-public Government information; signed and witnessed NDAs provided to the CO/COR prior to performing any work.</w:t>
      </w:r>
    </w:p>
    <w:p>
      <w:pPr>
        <w:pStyle w:val="ListParagraph"/>
        <w:numPr>
          <w:ilvl w:val="0"/>
          <w:numId w:val="2"/>
        </w:numPr>
        <w:spacing w:after="80" w:line="280"/>
      </w:pPr>
      <w:r>
        <w:rPr>
          <w:rFonts w:ascii="Times New Roman" w:cs="Times New Roman" w:eastAsia="Times New Roman" w:hAnsi="Times New Roman"/>
          <w:sz w:val="20"/>
          <w:szCs w:val="20"/>
        </w:rPr>
        <w:t xml:space="preserve">Personnel roster (name, position, email, phone, responsibility) submitted by the effective date of the contract, with immediate updates on any staffing change. Off-boarding documentation, equipment, and badge return completed within 5 days or less of contract end or termination.</w:t>
      </w:r>
    </w:p>
    <w:p>
      <w:pPr>
        <w:keepNext/>
        <w:spacing w:after="60" w:before="160"/>
      </w:pPr>
      <w:r>
        <w:rPr>
          <w:rFonts w:ascii="Times New Roman" w:cs="Times New Roman" w:eastAsia="Times New Roman" w:hAnsi="Times New Roman"/>
          <w:b/>
          <w:bCs/>
          <w:sz w:val="22"/>
          <w:szCs w:val="22"/>
        </w:rPr>
        <w:t xml:space="preserve">Section 508 / Accessibility</w:t>
      </w:r>
    </w:p>
    <w:p>
      <w:pPr>
        <w:pStyle w:val="ListParagraph"/>
        <w:numPr>
          <w:ilvl w:val="0"/>
          <w:numId w:val="2"/>
        </w:numPr>
        <w:spacing w:after="80" w:line="280"/>
      </w:pPr>
      <w:r>
        <w:rPr>
          <w:rFonts w:ascii="Times New Roman" w:cs="Times New Roman" w:eastAsia="Times New Roman" w:hAnsi="Times New Roman"/>
          <w:sz w:val="20"/>
          <w:szCs w:val="20"/>
        </w:rPr>
        <w:t xml:space="preserve">Compliance with HHSAR 352.239-73 (Section 508 Accessibility Notice) and HHSAR 352.239-74 (Section 508 Accessibility clause).</w:t>
      </w:r>
    </w:p>
    <w:p>
      <w:pPr>
        <w:pStyle w:val="ListParagraph"/>
        <w:numPr>
          <w:ilvl w:val="0"/>
          <w:numId w:val="2"/>
        </w:numPr>
        <w:spacing w:after="80" w:line="280"/>
      </w:pPr>
      <w:r>
        <w:rPr>
          <w:rFonts w:ascii="Times New Roman" w:cs="Times New Roman" w:eastAsia="Times New Roman" w:hAnsi="Times New Roman"/>
          <w:sz w:val="20"/>
          <w:szCs w:val="20"/>
        </w:rPr>
        <w:t xml:space="preserve">All ICT supplies, products, platforms, information, documentation, and services compliant with the Revised 508 Standards (36 CFR 1194.1 and Appendices A, B, C).</w:t>
      </w:r>
    </w:p>
    <w:p>
      <w:pPr>
        <w:pStyle w:val="ListParagraph"/>
        <w:numPr>
          <w:ilvl w:val="0"/>
          <w:numId w:val="2"/>
        </w:numPr>
        <w:spacing w:after="80" w:line="280"/>
      </w:pPr>
      <w:r>
        <w:rPr>
          <w:rFonts w:ascii="Times New Roman" w:cs="Times New Roman" w:eastAsia="Times New Roman" w:hAnsi="Times New Roman"/>
          <w:sz w:val="20"/>
          <w:szCs w:val="20"/>
        </w:rPr>
        <w:t xml:space="preserve">Specific accessibility standards applied: WCAG 2.0 Level A &amp; AA Success Criteria (205); Functional Performance Criteria (302); Interoperability with Assistive Technology (502); Applications (503); Authoring Tools (504); Support Documentation (602); Support Services (603).</w:t>
      </w:r>
    </w:p>
    <w:p>
      <w:pPr>
        <w:pStyle w:val="ListParagraph"/>
        <w:numPr>
          <w:ilvl w:val="0"/>
          <w:numId w:val="2"/>
        </w:numPr>
        <w:spacing w:after="80" w:line="280"/>
      </w:pPr>
      <w:r>
        <w:rPr>
          <w:rFonts w:ascii="Times New Roman" w:cs="Times New Roman" w:eastAsia="Times New Roman" w:hAnsi="Times New Roman"/>
          <w:sz w:val="20"/>
          <w:szCs w:val="20"/>
        </w:rPr>
        <w:t xml:space="preserve">HHS Section 508 Accessibility Conformance Checklist or Accessibility Conformance Report (ACR) based on the VPAT submitted with all applicable deliverables. Any non-conformance identified post-award will be remediated by Deloitte at our own expense.</w:t>
      </w:r>
    </w:p>
    <w:p>
      <w:pPr>
        <w:pStyle w:val="ListParagraph"/>
        <w:numPr>
          <w:ilvl w:val="0"/>
          <w:numId w:val="2"/>
        </w:numPr>
        <w:spacing w:after="80" w:line="280"/>
      </w:pPr>
      <w:r>
        <w:rPr>
          <w:rFonts w:ascii="Times New Roman" w:cs="Times New Roman" w:eastAsia="Times New Roman" w:hAnsi="Times New Roman"/>
          <w:sz w:val="20"/>
          <w:szCs w:val="20"/>
        </w:rPr>
        <w:t xml:space="preserve">All electronic content delivered as final items accompanied by the appropriate HHS accessibility checklist except as approved by the Contracting Officer or COR.</w:t>
      </w:r>
    </w:p>
    <w:p>
      <w:pPr>
        <w:keepNext/>
        <w:spacing w:after="80" w:before="200"/>
      </w:pPr>
      <w:r>
        <w:rPr>
          <w:rFonts w:ascii="Times New Roman" w:cs="Times New Roman" w:eastAsia="Times New Roman" w:hAnsi="Times New Roman"/>
          <w:b/>
          <w:bCs/>
          <w:sz w:val="26"/>
          <w:szCs w:val="26"/>
        </w:rPr>
        <w:t xml:space="preserve">4.6 EPLC, CPIC, and Earned Value Management</w:t>
      </w:r>
    </w:p>
    <w:p>
      <w:pPr>
        <w:spacing w:after="180" w:line="280"/>
      </w:pPr>
      <w:r>
        <w:rPr>
          <w:rFonts w:ascii="Times New Roman" w:cs="Times New Roman" w:eastAsia="Times New Roman" w:hAnsi="Times New Roman"/>
          <w:sz w:val="20"/>
          <w:szCs w:val="20"/>
        </w:rPr>
        <w:t xml:space="preserve">This contract is a Major / Tier 1 Investment under HHS EVMS policy. Deloitte’s management infrastructure is sized accordingly:</w:t>
      </w:r>
    </w:p>
    <w:p>
      <w:pPr>
        <w:pStyle w:val="ListParagraph"/>
        <w:numPr>
          <w:ilvl w:val="0"/>
          <w:numId w:val="2"/>
        </w:numPr>
        <w:spacing w:after="80" w:line="280"/>
      </w:pPr>
      <w:r>
        <w:rPr>
          <w:rFonts w:ascii="Times New Roman" w:cs="Times New Roman" w:eastAsia="Times New Roman" w:hAnsi="Times New Roman"/>
          <w:sz w:val="20"/>
          <w:szCs w:val="20"/>
        </w:rPr>
        <w:t xml:space="preserve">Earned Value Management System implemented in compliance with all 32 guidelines defined by the ANSI/EIA-748-1998A standard, supporting CPR-format data delivery for HHS and OMB consolidation. EVMS implementation phasing (Phase 1: EV data reporting based on current artifacts; Phase 2: implementation of fully compliant EVMS; Phase 3: operation of an ANSI/EIA-748-compliant program management approach) coordinated with CDC.</w:t>
      </w:r>
    </w:p>
    <w:p>
      <w:pPr>
        <w:pStyle w:val="ListParagraph"/>
        <w:numPr>
          <w:ilvl w:val="0"/>
          <w:numId w:val="2"/>
        </w:numPr>
        <w:spacing w:after="80" w:line="280"/>
      </w:pPr>
      <w:r>
        <w:rPr>
          <w:rFonts w:ascii="Times New Roman" w:cs="Times New Roman" w:eastAsia="Times New Roman" w:hAnsi="Times New Roman"/>
          <w:sz w:val="20"/>
          <w:szCs w:val="20"/>
        </w:rPr>
        <w:t xml:space="preserve">Full EVM Report produced no later than the 10th day of each month and delivered to the CDC Investment Manager and COR.</w:t>
      </w:r>
    </w:p>
    <w:p>
      <w:pPr>
        <w:pStyle w:val="ListParagraph"/>
        <w:numPr>
          <w:ilvl w:val="0"/>
          <w:numId w:val="2"/>
        </w:numPr>
        <w:spacing w:after="80" w:line="280"/>
      </w:pPr>
      <w:r>
        <w:rPr>
          <w:rFonts w:ascii="Times New Roman" w:cs="Times New Roman" w:eastAsia="Times New Roman" w:hAnsi="Times New Roman"/>
          <w:sz w:val="20"/>
          <w:szCs w:val="20"/>
        </w:rPr>
        <w:t xml:space="preserve">Project Management Support including project/program strategy and roadmap development, EPLC governance and Stage Gate adherence, Work-Breakdown Structure development and maintenance, master project schedule development and maintenance, scope and change-control management, and EVM tracking.</w:t>
      </w:r>
    </w:p>
    <w:p>
      <w:pPr>
        <w:pStyle w:val="ListParagraph"/>
        <w:numPr>
          <w:ilvl w:val="0"/>
          <w:numId w:val="2"/>
        </w:numPr>
        <w:spacing w:after="80" w:line="280"/>
      </w:pPr>
      <w:r>
        <w:rPr>
          <w:rFonts w:ascii="Times New Roman" w:cs="Times New Roman" w:eastAsia="Times New Roman" w:hAnsi="Times New Roman"/>
          <w:sz w:val="20"/>
          <w:szCs w:val="20"/>
        </w:rPr>
        <w:t xml:space="preserve">Compliance with Capital Planning and Investment Control (CPIC), with all associated IT costs identified and captured in the Enterprise Systems Catalog (ESC) as part of the IT Capital Planning process.</w:t>
      </w:r>
    </w:p>
    <w:p>
      <w:pPr>
        <w:pStyle w:val="ListParagraph"/>
        <w:numPr>
          <w:ilvl w:val="0"/>
          <w:numId w:val="2"/>
        </w:numPr>
        <w:spacing w:after="80" w:line="280"/>
      </w:pPr>
      <w:r>
        <w:rPr>
          <w:rFonts w:ascii="Times New Roman" w:cs="Times New Roman" w:eastAsia="Times New Roman" w:hAnsi="Times New Roman"/>
          <w:sz w:val="20"/>
          <w:szCs w:val="20"/>
        </w:rPr>
        <w:t xml:space="preserve">EPLC Framework adherence for all IT projects, with Stage Gate reviews and approvals at each lifecycle phase.</w:t>
      </w:r>
    </w:p>
    <w:p>
      <w:pPr>
        <w:keepNext/>
        <w:tabs>
          <w:tab w:val="left" w:pos="900"/>
        </w:tabs>
        <w:spacing w:after="120" w:before="360"/>
      </w:pPr>
      <w:r>
        <w:rPr>
          <w:rFonts w:ascii="Times New Roman" w:cs="Times New Roman" w:eastAsia="Times New Roman" w:hAnsi="Times New Roman"/>
          <w:b/>
          <w:bCs/>
          <w:color w:val="86BC25"/>
          <w:sz w:val="28"/>
          <w:szCs w:val="28"/>
        </w:rPr>
        <w:t xml:space="preserve">5.0</w:t>
      </w:r>
      <w:r>
        <w:rPr>
          <w:rFonts w:ascii="Times New Roman" w:cs="Times New Roman" w:eastAsia="Times New Roman" w:hAnsi="Times New Roman"/>
          <w:sz w:val="28"/>
          <w:szCs w:val="28"/>
        </w:rPr>
        <w:t xml:space="preserve">	</w:t>
      </w:r>
      <w:r>
        <w:rPr>
          <w:rFonts w:ascii="Times New Roman" w:cs="Times New Roman" w:eastAsia="Times New Roman" w:hAnsi="Times New Roman"/>
          <w:b/>
          <w:bCs/>
          <w:color w:val="86BC25"/>
          <w:sz w:val="28"/>
          <w:szCs w:val="28"/>
        </w:rPr>
        <w:t xml:space="preserve">Staffing Plan</w:t>
      </w:r>
    </w:p>
    <w:p>
      <w:pPr>
        <w:spacing w:after="180" w:line="280"/>
      </w:pPr>
      <w:r>
        <w:rPr>
          <w:rFonts w:ascii="Times New Roman" w:cs="Times New Roman" w:eastAsia="Times New Roman" w:hAnsi="Times New Roman"/>
          <w:sz w:val="20"/>
          <w:szCs w:val="20"/>
        </w:rPr>
        <w:t xml:space="preserve">Deloitte’s proposed team for NBS Modernization and Support is drawn from our GPS Health practice, which maintains a dedicated bench of public health informaticians, federal software engineers, DevSecOps specialists, and program managers with directly relevant NBS-adjacent experience. The team structure below reflects the full scope of the twelve PWS tasks plus both optional tasks and is sized to meet the minimum performance standards defined in the PWS while maintaining surge capacity for emergent public health priorities (e.g., new emergent notifiable conditions, ingestion volume spikes, cohort migration acceleration).</w:t>
      </w:r>
    </w:p>
    <w:p>
      <w:pPr>
        <w:spacing w:after="180" w:line="280"/>
      </w:pPr>
      <w:r>
        <w:rPr>
          <w:rFonts w:ascii="Times New Roman" w:cs="Times New Roman" w:eastAsia="Times New Roman" w:hAnsi="Times New Roman"/>
          <w:sz w:val="20"/>
          <w:szCs w:val="20"/>
        </w:rPr>
        <w:t xml:space="preserve">Our staffing approach is grounded in five principles:</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Continuity</w:t>
      </w:r>
      <w:r>
        <w:rPr>
          <w:rFonts w:ascii="Times New Roman" w:cs="Times New Roman" w:eastAsia="Times New Roman" w:hAnsi="Times New Roman"/>
          <w:b w:val="false"/>
          <w:bCs w:val="false"/>
          <w:i w:val="false"/>
          <w:iCs w:val="false"/>
          <w:sz w:val="20"/>
          <w:szCs w:val="20"/>
        </w:rPr>
        <w:t xml:space="preserve">—key personnel transitions are managed proactively with documented backups for all critical roles and 30-day continuity coverage for any unplanned departure.</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Depth</w:t>
      </w:r>
      <w:r>
        <w:rPr>
          <w:rFonts w:ascii="Times New Roman" w:cs="Times New Roman" w:eastAsia="Times New Roman" w:hAnsi="Times New Roman"/>
          <w:b w:val="false"/>
          <w:bCs w:val="false"/>
          <w:i w:val="false"/>
          <w:iCs w:val="false"/>
          <w:sz w:val="20"/>
          <w:szCs w:val="20"/>
        </w:rPr>
        <w:t xml:space="preserve">—we draw on a cross-functional GPS bench that exceeds the minimum staffing footprint, enabling rapid surge without recruiting delays.</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Dual-stack engineering</w:t>
      </w:r>
      <w:r>
        <w:rPr>
          <w:rFonts w:ascii="Times New Roman" w:cs="Times New Roman" w:eastAsia="Times New Roman" w:hAnsi="Times New Roman"/>
          <w:b w:val="false"/>
          <w:bCs w:val="false"/>
          <w:i w:val="false"/>
          <w:iCs w:val="false"/>
          <w:sz w:val="20"/>
          <w:szCs w:val="20"/>
        </w:rPr>
        <w:t xml:space="preserve">—dedicated capacity for both NBS 6 (Java application server, SAS/Rhapsody/PHINMS integrations) and NBS 7 (cloud-native microservices, APIs) maintained throughout the contract until CDC directs the full sunset.</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Expertise</w:t>
      </w:r>
      <w:r>
        <w:rPr>
          <w:rFonts w:ascii="Times New Roman" w:cs="Times New Roman" w:eastAsia="Times New Roman" w:hAnsi="Times New Roman"/>
          <w:b w:val="false"/>
          <w:bCs w:val="false"/>
          <w:i w:val="false"/>
          <w:iCs w:val="false"/>
          <w:sz w:val="20"/>
          <w:szCs w:val="20"/>
        </w:rPr>
        <w:t xml:space="preserve">—all proposed personnel meet or exceed the qualifications described below, with public health informatics, epidemiology, federal DevSecOps, and FISMA High experience.</w:t>
      </w:r>
    </w:p>
    <w:p>
      <w:pPr>
        <w:pStyle w:val="ListParagraph"/>
        <w:numPr>
          <w:ilvl w:val="0"/>
          <w:numId w:val="2"/>
        </w:numPr>
        <w:spacing w:after="80" w:line="280"/>
      </w:pPr>
      <w:r>
        <w:rPr>
          <w:rFonts w:ascii="Times New Roman" w:cs="Times New Roman" w:eastAsia="Times New Roman" w:hAnsi="Times New Roman"/>
          <w:b/>
          <w:bCs/>
          <w:i w:val="false"/>
          <w:iCs w:val="false"/>
          <w:sz w:val="20"/>
          <w:szCs w:val="20"/>
        </w:rPr>
        <w:t xml:space="preserve">Access</w:t>
      </w:r>
      <w:r>
        <w:rPr>
          <w:rFonts w:ascii="Times New Roman" w:cs="Times New Roman" w:eastAsia="Times New Roman" w:hAnsi="Times New Roman"/>
          <w:b w:val="false"/>
          <w:bCs w:val="false"/>
          <w:i w:val="false"/>
          <w:iCs w:val="false"/>
          <w:sz w:val="20"/>
          <w:szCs w:val="20"/>
        </w:rPr>
        <w:t xml:space="preserve">—all personnel will complete required HHS/CDC Security Awareness, Privacy, and Records Management training, obtain background investigations commensurate with their position sensitivity designation, and maintain compliance with HSPD-12 PIV credentialing and Rules of Behavior requirements before performing any work. Position Sensitivity Designations will be reviewed and confirmed with CDC at contract initiation. A complete personnel roster will be submitted to the CO/COR by the effective date of the contract, with immediate updates upon any staffing change.</w:t>
      </w:r>
    </w:p>
    <w:p>
      <w:pPr>
        <w:spacing w:after="180" w:line="280"/>
      </w:pPr>
      <w:r>
        <w:rPr>
          <w:rFonts w:ascii="Times New Roman" w:cs="Times New Roman" w:eastAsia="Times New Roman" w:hAnsi="Times New Roman"/>
          <w:sz w:val="20"/>
          <w:szCs w:val="20"/>
        </w:rPr>
        <w:t xml:space="preserve">Table 1 below summarizes the proposed roles, qualifications, and named individuals (placeholders to be filled with names and bios in final submission).</w:t>
      </w:r>
    </w:p>
    <w:p>
      <w:pPr>
        <w:spacing w:after="80" w:before="120"/>
        <w:jc w:val="center"/>
      </w:pPr>
      <w:r>
        <w:rPr>
          <w:rFonts w:ascii="Times New Roman" w:cs="Times New Roman" w:eastAsia="Times New Roman" w:hAnsi="Times New Roman"/>
          <w:b/>
          <w:bCs/>
          <w:i/>
          <w:iCs/>
          <w:sz w:val="20"/>
          <w:szCs w:val="20"/>
        </w:rPr>
        <w:t xml:space="preserve">Table 1: Proposed Key Personnel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BFBFBF" w:sz="4"/>
              <w:left w:val="single" w:color="BFBFBF" w:sz="4"/>
              <w:bottom w:val="single" w:color="BFBFBF" w:sz="4"/>
              <w:right w:val="single" w:color="BFBFBF" w:sz="4"/>
            </w:tcBorders>
            <w:shd w:fill="86BC25"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Role</w:t>
            </w:r>
          </w:p>
        </w:tc>
        <w:tc>
          <w:tcPr>
            <w:tcW w:type="dxa" w:w="5760"/>
            <w:tcBorders>
              <w:top w:val="single" w:color="BFBFBF" w:sz="4"/>
              <w:left w:val="single" w:color="BFBFBF" w:sz="4"/>
              <w:bottom w:val="single" w:color="BFBFBF" w:sz="4"/>
              <w:right w:val="single" w:color="BFBFBF" w:sz="4"/>
            </w:tcBorders>
            <w:shd w:fill="86BC25"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Key Qualifications and Responsibilities</w:t>
            </w:r>
          </w:p>
        </w:tc>
        <w:tc>
          <w:tcPr>
            <w:tcW w:type="dxa" w:w="1200"/>
            <w:tcBorders>
              <w:top w:val="single" w:color="BFBFBF" w:sz="4"/>
              <w:left w:val="single" w:color="BFBFBF" w:sz="4"/>
              <w:bottom w:val="single" w:color="BFBFBF" w:sz="4"/>
              <w:right w:val="single" w:color="BFBFBF" w:sz="4"/>
            </w:tcBorders>
            <w:shd w:fill="86BC25"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Proposed Individual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Program Manager</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Senior leader responsible for overall program governance, cost/schedule performance, EVMS oversight, EPLC Stage Gate adherence, stakeholder communications, risk management, and CDC relationship management. PMP-certified with 10+ years of federal health IT program management experience.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Deputy Program Manager / Technical Lead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Day-to-day delivery oversight across all development workstreams. Deep expertise in agile software development, NBS-equivalent IDSS architecture, federal open-source program management, and dual-stack (legacy Java + cloud-native) engineering programs.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Product Manager(s)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Workstream-level product ownership in coordination with CDC federal Product Owners. Backlog management, sprint planning, user story development, and stakeholder engagement for assigned workstreams (surveillance functionality, interoperability, eCR, PageBuilder, Person Match/Merge, etc.).</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Senior Software Engineers (Full Stack — NBS 7)</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Cloud-native Java/React developers with experience in microservices architecture, containerization (Docker/Kubernetes), CI/CD, and open-source government software development. NBS 7 codebase exposure highly preferred.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NBS 6 Java / Legacy Engineers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Java application server experience for NBS 6 maintenance; familiarity with SAS, Rhapsody, and PHINMS integration patterns; secure coding to OWASP/US-CERT guidance; legacy security patching at FISMA High.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DevSecOps Engineer(s)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CI/CD pipeline management, security scanning toolchain (SAST/SCA/container/IaC), release automation, FISMA compliance evidence generation, and SBOM/provenance management. Experience with Azure DevOps, GitHub Actions, AWS, and CDC’s open-source governance requirements.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QA Lead / Automation Engineers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Test strategy ownership, automated test suite development and maintenance (unit, API, UI, integration, end-to-end), performance and regression testing, accessibility testing (Section 508 / WCAG 2.0 A &amp; AA). Familiarity with NBS 7 test infrastructure preferred.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Public Health Informatician(s)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End-to-end design, configuration, and troubleshooting of public health data flows (ELR, eCR, vital records, syndromic surveillance, immunization, NNDSS, MMG including Gen V3). Deep expertise in HL7v2, FHIR, CDA, CSV, XML, JSON, PHIN standards, and STLT data workflows. Coordinates with engineering and epidemiology SMEs.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Epidemiology / Surveillance SME(s)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Applied public health expertise to validate system features against real-world case surveillance and investigation workflows. Advises on integration of surveillance data streams (ELR, eCR, syndromic surveillance, vital records, immunizations). Participates in cross-contract leadership forums to represent public health perspectives.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UX / HCD Designer(s)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Human-centered design research, usability testing, prototyping, journey mapping, and NBS Design System 2.0 compliance. Works directly with STLT users and CDC stakeholders to validate evolving user needs.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O&amp;M / Help Desk Lead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NBS Central ticket management, Tier 1/2 help desk operations, SLA compliance, knowledge base maintenance, runbook authorship, and STLT support coordination.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Migration / Onboarding Specialists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STLT migration planning, NBS 6-to-7 transition execution, cloud environment setup support, hybrid-environment integration (PHINMS, Rhapsody, SAS), and post-migration stabilization. Familiarity with Azure, AWS, and STLT enterprise IT coordination required.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Information Security / Compliance Specialist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FISMA ATO support, continuous monitoring, PTA/PIA assistance, security control implementation, NIST SP 800-53/171/64/88 compliance, and HHS/CDC security policy compliance across the program.</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[PLACEHOLDER: Name]</w:t>
            </w:r>
          </w:p>
        </w:tc>
      </w:tr>
    </w:tbl>
    <w:p>
      <w:pPr>
        <w:spacing w:after="120"/>
      </w:pPr>
      <w:r>
        <w:t xml:space="preserve"/>
      </w:r>
    </w:p>
    <w:p>
      <w:pPr>
        <w:spacing w:after="180" w:line="280"/>
      </w:pPr>
      <w:r>
        <w:rPr>
          <w:rFonts w:ascii="Times New Roman" w:cs="Times New Roman" w:eastAsia="Times New Roman" w:hAnsi="Times New Roman"/>
          <w:sz w:val="20"/>
          <w:szCs w:val="20"/>
        </w:rPr>
        <w:t xml:space="preserve">All proposed personnel will complete required HHS/CDC Security Awareness Training, Privacy training, and Records Management training before performing any work. Personnel with Significant Security Responsibilities will complete role-based training within 60 days of assuming responsibilities, with annual renewal. A complete personnel roster will be submitted to the CO/COR by the effective date of the contract, with immediate updates upon any staffing change. Off-boarding documentation will be processed within 5 days or less of departure per the CDC Out-Processing Checklist.</w:t>
      </w:r>
    </w:p>
    <w:p>
      <w:r>
        <w:br w:type="page"/>
      </w:r>
    </w:p>
    <w:p>
      <w:pPr>
        <w:keepNext/>
        <w:spacing w:after="120" w:before="360"/>
      </w:pPr>
      <w:r>
        <w:rPr>
          <w:rFonts w:ascii="Times New Roman" w:cs="Times New Roman" w:eastAsia="Times New Roman" w:hAnsi="Times New Roman"/>
          <w:b/>
          <w:bCs/>
          <w:color w:val="86BC25"/>
          <w:sz w:val="28"/>
          <w:szCs w:val="28"/>
        </w:rPr>
        <w:t xml:space="preserve">Appendix A: PWS Compliance Matrix</w:t>
      </w:r>
    </w:p>
    <w:p>
      <w:pPr>
        <w:spacing w:after="180" w:line="280"/>
      </w:pPr>
      <w:r>
        <w:rPr>
          <w:rFonts w:ascii="Times New Roman" w:cs="Times New Roman" w:eastAsia="Times New Roman" w:hAnsi="Times New Roman"/>
          <w:i/>
          <w:iCs/>
          <w:sz w:val="20"/>
          <w:szCs w:val="20"/>
        </w:rPr>
        <w:t xml:space="preserve">The matrix below maps each major PWS task, deliverable, performance standard, and compliance citation to the response section that addresses it. “C” = Comply (full compliance); “CWE” = Comply With Exception (noted in Response or Clarifying Questions). All entries marked “C” in this draft will be confirmed in final submission.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2200"/>
        <w:gridCol w:w="1260"/>
      </w:tblGrid>
      <w:tr>
        <w:trPr>
          <w:tblHeader/>
        </w:trPr>
        <w:tc>
          <w:tcPr>
            <w:tcW w:type="dxa" w:w="1500"/>
            <w:tcBorders>
              <w:top w:val="single" w:color="BFBFBF" w:sz="4"/>
              <w:left w:val="single" w:color="BFBFBF" w:sz="4"/>
              <w:bottom w:val="single" w:color="BFBFBF" w:sz="4"/>
              <w:right w:val="single" w:color="BFBFBF" w:sz="4"/>
            </w:tcBorders>
            <w:shd w:fill="86BC25"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PWS Reference</w:t>
            </w:r>
          </w:p>
        </w:tc>
        <w:tc>
          <w:tcPr>
            <w:tcW w:type="dxa" w:w="4400"/>
            <w:tcBorders>
              <w:top w:val="single" w:color="BFBFBF" w:sz="4"/>
              <w:left w:val="single" w:color="BFBFBF" w:sz="4"/>
              <w:bottom w:val="single" w:color="BFBFBF" w:sz="4"/>
              <w:right w:val="single" w:color="BFBFBF" w:sz="4"/>
            </w:tcBorders>
            <w:shd w:fill="86BC25"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Requirement / Deliverable</w:t>
            </w:r>
          </w:p>
        </w:tc>
        <w:tc>
          <w:tcPr>
            <w:tcW w:type="dxa" w:w="2200"/>
            <w:tcBorders>
              <w:top w:val="single" w:color="BFBFBF" w:sz="4"/>
              <w:left w:val="single" w:color="BFBFBF" w:sz="4"/>
              <w:bottom w:val="single" w:color="BFBFBF" w:sz="4"/>
              <w:right w:val="single" w:color="BFBFBF" w:sz="4"/>
            </w:tcBorders>
            <w:shd w:fill="86BC25"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Response Section</w:t>
            </w:r>
          </w:p>
        </w:tc>
        <w:tc>
          <w:tcPr>
            <w:tcW w:type="dxa" w:w="1260"/>
            <w:tcBorders>
              <w:top w:val="single" w:color="BFBFBF" w:sz="4"/>
              <w:left w:val="single" w:color="BFBFBF" w:sz="4"/>
              <w:bottom w:val="single" w:color="BFBFBF" w:sz="4"/>
              <w:right w:val="single" w:color="BFBFBF" w:sz="4"/>
            </w:tcBorders>
            <w:shd w:fill="86BC25"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 1</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Tier 1/Tier 2 help desk; NBS Central ticketing; KBA within 5 business days; runbooks reviewed quarterly; SLA-based acknowledgment &amp; resolution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§3.1</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 2</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Program Management Plan; integrated Release Calendar; RIO process; agile cadence; release authority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§3.2, §4.1, §4.4</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 3</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DevSecOps; immutable artifacts with SBOM/provenance; SAST/SCA/container/IaC scanning; vuln remediation (Crit ≤15d, High ≤30d); quarterly standards review</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§3.3</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 4</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Test strategy; DoR/DoD; 80%+ coverage; ≤10% performance regression threshold; critical-path test suite; Section 508/WCAG 2.0 A &amp; AA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§3.4</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 5</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MMG/Gen V3 PageBuilder pages; data porting packages; APHL/1CDP coordination; 1-day acknowledgment / 5-day technical response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 6</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All four migration directions; ≥3 STLT migrations/year (non-vendor-hosted); PHINMS/Rhapsody/SAS hybrid support; 1-day / 5-day SLA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§3.6</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 7</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Person match algorithm integration; system-/user-identified merge; unmerge with audit trail; NBS Design System 2.0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§3.7</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 8</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Native eCR module; assessment package within 30–45 days; event-driven pipeline; ingestion-to-availability latency targets; Section 508 viewer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§3.8</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 9</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PageBuilder modernization; full NBS 6 parity; Design System 2.0; incremental libraries; NBS Central traceability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§3.9</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 / §2 Objectives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NBS 6 maintenance; SAS/Rhapsody/PHINMS support; offboarding for non-migrating STLTs; sunset support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§3.10</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 Scope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Cloud-host independence; three hosting models supported; CDCgov GitHub</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§3.11</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Tasks 10–11</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Custom Queues / Event Search; WDS modernization (priced separately if exercised)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§3.12 (see Q4)</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 Task 12</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Transition-in ≤30 days, ≥2 sprints; Transition-out plan ≥60 days prior to end; retrospective within 30 business days; sanitization certification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§3.13</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§9 Deliverables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Kick-Off Meeting within 10 days; Monthly Status Report by 10th; Monthly Staff Roster by 10th; Monthly EVM Report by 10th</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§3.2, §4.3</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§9 Performance Matrix</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Bi-Weekly Sprint Report within 2 working days; Tech Design Doc 1 week prior; 100% PR code-quality pass; 80% unit coverage; lint pass; 99% uptime; ≥4 minor releases/year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§3.2, §3.4, §4.2, §4.3</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Security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FISMA High; FIPS 199 categorization; FIPS 140-2 encryption (transit &amp; rest); NIST SP 800-53/171/64/88; CUI per EO 13556 / 32 CFR 2002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Incident Response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1-hour breach notification; 24-hour CSIRC/CSIRT IOC response; FedRAMP Incident Comm Procedures; no individual notification without CO direction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§4.5 (Incident &amp; Breach)</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PTA/PIA</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PTA/PIA support per OMB M-03-22 within 60–90 days post-award; triennial PIA review</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EVMS / CPIC</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ANSI/EIA-748-1998A EVMS; CPR-format data; HHS OCIO EVM Policy; EPLC Stage Gates; ESC capture for CPIC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§3.2, §4.6</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Training &amp; ROB</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HHS/CDC Security Awareness, Privacy, Records Management training before work; annual renewal; RBT within 60 days for SSR; signed Rules of Behavior at start and annually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§4.5, §5.0</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NDA</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Signed and witnessed NDAs to CO/COR prior to any work performed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HSPD-12 / Background Investigation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HSPD-12 PIV; FIPS 201; 5 CFR Parts 1400 and 731; Position Sensitivity Designation compliance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§4.5, §5.0</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Roster</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Personnel roster by contract effective date; immediate updates on staffing change; off-boarding within 5 days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§4.5, §5.0</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Section 508</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HHSAR 352.239-73 / 352.239-74; WCAG 2.0 A &amp; AA (205); FPC (302); Interoperability (502); Applications (503); Authoring Tools (504); Documentation (602); Services (603); VPAT/ACR submission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IPv6 / HTTPS-HSTS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OMB M-05-22 IPv6 compliance; HTTPS with HSTS for public-facing sites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Records Management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EO 13556 / NARA retention; no unauthorized disposal; incident reporting on accidental disposal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§4.5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§10 Sanitization at Closeout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NIST SP 800-88 sanitization at contract end; certification to CO/COR; Disposition/Decommission Plan if applicable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§3.13, §4.5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w:t>
            </w:r>
          </w:p>
        </w:tc>
      </w:tr>
    </w:tbl>
    <w:p>
      <w:r>
        <w:br w:type="page"/>
      </w:r>
    </w:p>
    <w:p>
      <w:pPr>
        <w:keepNext/>
        <w:spacing w:after="120" w:before="360"/>
      </w:pPr>
      <w:r>
        <w:rPr>
          <w:rFonts w:ascii="Times New Roman" w:cs="Times New Roman" w:eastAsia="Times New Roman" w:hAnsi="Times New Roman"/>
          <w:b/>
          <w:bCs/>
          <w:color w:val="86BC25"/>
          <w:sz w:val="28"/>
          <w:szCs w:val="28"/>
        </w:rPr>
        <w:t xml:space="preserve">Appendix B: Placeholder Summary</w:t>
      </w:r>
    </w:p>
    <w:p>
      <w:pPr>
        <w:spacing w:after="180" w:line="280"/>
      </w:pPr>
      <w:r>
        <w:rPr>
          <w:rFonts w:ascii="Times New Roman" w:cs="Times New Roman" w:eastAsia="Times New Roman" w:hAnsi="Times New Roman"/>
          <w:i/>
          <w:iCs/>
          <w:sz w:val="20"/>
          <w:szCs w:val="20"/>
        </w:rPr>
        <w:t xml:space="preserve">The following table consolidates all placeholders used in this draft. Each requires confirmation or specific information from the Deloitte proposal team before submission. Items are listed in document order.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BFBF" w:sz="4"/>
              <w:left w:val="single" w:color="BFBFBF" w:sz="4"/>
              <w:bottom w:val="single" w:color="BFBFBF" w:sz="4"/>
              <w:right w:val="single" w:color="BFBFBF" w:sz="4"/>
            </w:tcBorders>
            <w:shd w:fill="86BC25"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Placeholder</w:t>
            </w:r>
          </w:p>
        </w:tc>
        <w:tc>
          <w:tcPr>
            <w:tcW w:type="dxa" w:w="1900"/>
            <w:tcBorders>
              <w:top w:val="single" w:color="BFBFBF" w:sz="4"/>
              <w:left w:val="single" w:color="BFBFBF" w:sz="4"/>
              <w:bottom w:val="single" w:color="BFBFBF" w:sz="4"/>
              <w:right w:val="single" w:color="BFBFBF" w:sz="4"/>
            </w:tcBorders>
            <w:shd w:fill="86BC25"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Location</w:t>
            </w:r>
          </w:p>
        </w:tc>
        <w:tc>
          <w:tcPr>
            <w:tcW w:type="dxa" w:w="5260"/>
            <w:tcBorders>
              <w:top w:val="single" w:color="BFBFBF" w:sz="4"/>
              <w:left w:val="single" w:color="BFBFBF" w:sz="4"/>
              <w:bottom w:val="single" w:color="BFBFBF" w:sz="4"/>
              <w:right w:val="single" w:color="BFBFBF" w:sz="4"/>
            </w:tcBorders>
            <w:shd w:fill="86BC25"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Information Needed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Technical POC &amp; Authorized Negotiator</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Title Page</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name, title, email, and phone for the Deloitte technical POC.</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Contracts POC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Title Page</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name, title, email, and phone for the Deloitte contracts POC.</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Address Phone Number</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Title Page</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main Deloitte phone number on Name/Address/Phone line.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CDC GPS Past Performance Footprint</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§1.1</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specific CDC contract references where Deloitte GPS has supported surveillance, data modernization, or public health IT programs. Include contract numbers, COR contacts, period of performance, and 1–2 sentence outcome statements.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Subcontractor Identification &amp; Approach</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§1.2</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Identify any proposed subcontractors with role, expertise, past performance, small business status (8(a)/SDVOSB/WOSB/HUBZone), and subcontracting plan. If prime-only, state explicitly with rationale.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CDC / HHS Surveillance Past Performance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§2.1</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CDC or HHS surveillance / data modernization past performance: contract number, name, agency, period of performance, contract value, COR contact, and 2–3 paragraph description. Strongest examples are NBS-adjacent.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Federal Health IT Agile / DevSecOps Past Performance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§2.2</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federal health IT agile/DevSecOps past performance: contract number, agency, PoP, value, COR contact, and description of CI/CD, FISMA compliance, EVMS, and release management at scale. Quantify outcomes.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STLT Onboarding / Migration / CoP Past Performance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§2.3</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past performance for STLT engagement, onboarding/migration support, or community-of-practice facilitation. Include contract number, agency, PoP, value, and COR contact. Quantify SLA attainment, onboarding cycle time, jurisdictions supported.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Public Health Interoperability / Data Standards Past Performance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§2.4</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past performance for HL7 FHIR R4, HL7v2, eCR, ELR, MMG (Gen V3 if available), or NNDSS implementation. Include contract number, agency, PoP, value, COR contact, and quantified outcomes.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Program Manager — Name &amp; Bio</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§5.0</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proposed Program Manager name, title, qualifications (PMP certification, years of experience, relevant programs).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Deputy PM / Technical Lead — Name &amp; Bio</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§5.0</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proposed Deputy PM / Technical Lead name, title, and qualifications.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All Other Key Personnel — Names &amp; Bios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§5.0</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Times New Roman" w:cs="Times New Roman" w:eastAsia="Times New Roman" w:hAnsi="Times New Roman"/>
                <w:sz w:val="20"/>
                <w:szCs w:val="20"/>
              </w:rPr>
              <w:t xml:space="preserve">Insert names and qualifications for all proposed key personnel roles in the staffing table (Product Managers, Senior Software Engineers, NBS 6 Java/Legacy Engineers, DevSecOps, QA Lead, Public Health Informatician(s), Epi/Surveillance SME(s), UX/HCD, O&amp;M Lead, Migration Specialists, InfoSec Specialist).</w:t>
            </w:r>
          </w:p>
        </w:tc>
      </w:tr>
    </w:tbl>
    <w:p>
      <w:r>
        <w:br w:type="page"/>
      </w:r>
    </w:p>
    <w:p>
      <w:pPr>
        <w:keepNext/>
        <w:spacing w:after="120" w:before="360"/>
      </w:pPr>
      <w:r>
        <w:rPr>
          <w:rFonts w:ascii="Times New Roman" w:cs="Times New Roman" w:eastAsia="Times New Roman" w:hAnsi="Times New Roman"/>
          <w:b/>
          <w:bCs/>
          <w:color w:val="86BC25"/>
          <w:sz w:val="28"/>
          <w:szCs w:val="28"/>
        </w:rPr>
        <w:t xml:space="preserve">Appendix C: Clarifying Questions for CDC Review</w:t>
      </w:r>
    </w:p>
    <w:p>
      <w:pPr>
        <w:spacing w:after="180" w:line="280"/>
      </w:pPr>
      <w:r>
        <w:rPr>
          <w:rFonts w:ascii="Times New Roman" w:cs="Times New Roman" w:eastAsia="Times New Roman" w:hAnsi="Times New Roman"/>
          <w:i/>
          <w:iCs/>
          <w:sz w:val="20"/>
          <w:szCs w:val="20"/>
        </w:rPr>
        <w:t xml:space="preserve">The following questions are flagged for CDC review. Deloitte has made reasonable assumptions where the PWS is ambiguous; these questions identify assumptions that, if incorrect, would materially affect proposal content, staffing, or technical approach.</w:t>
      </w:r>
    </w:p>
    <w:p>
      <w:pPr>
        <w:spacing w:after="60" w:before="160"/>
      </w:pPr>
      <w:r>
        <w:rPr>
          <w:rFonts w:ascii="Times New Roman" w:cs="Times New Roman" w:eastAsia="Times New Roman" w:hAnsi="Times New Roman"/>
          <w:b/>
          <w:bCs/>
          <w:sz w:val="20"/>
          <w:szCs w:val="20"/>
        </w:rPr>
        <w:t xml:space="preserve">Q1: </w:t>
      </w:r>
      <w:r>
        <w:rPr>
          <w:rFonts w:ascii="Times New Roman" w:cs="Times New Roman" w:eastAsia="Times New Roman" w:hAnsi="Times New Roman"/>
          <w:sz w:val="20"/>
          <w:szCs w:val="20"/>
        </w:rPr>
        <w:t xml:space="preserve">This response is structured as an RFI / capability statement. The PWS contains the depth and structure of a full solicitation (twelve tasks, performance standards, deliverables tables). Please confirm whether (a) this is an RFI/Sources Sought response only (no price), (b) a forthcoming RFP will request a priced proposal with cost volume, resumes, and full management plan, or (c) this submission is intended as a priced proposal.</w:t>
      </w:r>
    </w:p>
    <w:p>
      <w:pPr>
        <w:spacing w:after="80"/>
        <w:ind w:left="360"/>
      </w:pPr>
      <w:r>
        <w:rPr>
          <w:rFonts w:ascii="Times New Roman" w:cs="Times New Roman" w:eastAsia="Times New Roman" w:hAnsi="Times New Roman"/>
          <w:i/>
          <w:iCs/>
          <w:sz w:val="20"/>
          <w:szCs w:val="20"/>
        </w:rPr>
        <w:t xml:space="preserve">Section reference: Cover Page / General</w:t>
      </w:r>
    </w:p>
    <w:p>
      <w:pPr>
        <w:spacing w:after="60" w:before="160"/>
      </w:pPr>
      <w:r>
        <w:rPr>
          <w:rFonts w:ascii="Times New Roman" w:cs="Times New Roman" w:eastAsia="Times New Roman" w:hAnsi="Times New Roman"/>
          <w:b/>
          <w:bCs/>
          <w:sz w:val="20"/>
          <w:szCs w:val="20"/>
        </w:rPr>
        <w:t xml:space="preserve">Q2: </w:t>
      </w:r>
      <w:r>
        <w:rPr>
          <w:rFonts w:ascii="Times New Roman" w:cs="Times New Roman" w:eastAsia="Times New Roman" w:hAnsi="Times New Roman"/>
          <w:sz w:val="20"/>
          <w:szCs w:val="20"/>
        </w:rPr>
        <w:t xml:space="preserve">PWS Task 6 specifies a minimum of 3 STLTs per contract year migrating to NBS 7, explicitly excluding vendor-hosted solutions. Should the proposal describe a methodology for identifying and prioritizing which STLTs are included in each annual migration cohort, or will CDC prescribe the cohort selection?</w:t>
      </w:r>
    </w:p>
    <w:p>
      <w:pPr>
        <w:spacing w:after="80"/>
        <w:ind w:left="360"/>
      </w:pPr>
      <w:r>
        <w:rPr>
          <w:rFonts w:ascii="Times New Roman" w:cs="Times New Roman" w:eastAsia="Times New Roman" w:hAnsi="Times New Roman"/>
          <w:i/>
          <w:iCs/>
          <w:sz w:val="20"/>
          <w:szCs w:val="20"/>
        </w:rPr>
        <w:t xml:space="preserve">Section reference: Task 6</w:t>
      </w:r>
    </w:p>
    <w:p>
      <w:pPr>
        <w:spacing w:after="60" w:before="160"/>
      </w:pPr>
      <w:r>
        <w:rPr>
          <w:rFonts w:ascii="Times New Roman" w:cs="Times New Roman" w:eastAsia="Times New Roman" w:hAnsi="Times New Roman"/>
          <w:b/>
          <w:bCs/>
          <w:sz w:val="20"/>
          <w:szCs w:val="20"/>
        </w:rPr>
        <w:t xml:space="preserve">Q3: </w:t>
      </w:r>
      <w:r>
        <w:rPr>
          <w:rFonts w:ascii="Times New Roman" w:cs="Times New Roman" w:eastAsia="Times New Roman" w:hAnsi="Times New Roman"/>
          <w:sz w:val="20"/>
          <w:szCs w:val="20"/>
        </w:rPr>
        <w:t xml:space="preserve">The PWS describes three concurrent hosting models (NBS 6 open-source on Windows, NBS 7 open-source with scripted deploys to STLT-contracted AWS/Azure, and CDC-hosted NBS 7 on Azure). Does CDC anticipate the contractor allocating support effort proportionally across all three, or will CDC-hosted instances receive the majority of dedicated support effort?</w:t>
      </w:r>
    </w:p>
    <w:p>
      <w:pPr>
        <w:spacing w:after="80"/>
        <w:ind w:left="360"/>
      </w:pPr>
      <w:r>
        <w:rPr>
          <w:rFonts w:ascii="Times New Roman" w:cs="Times New Roman" w:eastAsia="Times New Roman" w:hAnsi="Times New Roman"/>
          <w:i/>
          <w:iCs/>
          <w:sz w:val="20"/>
          <w:szCs w:val="20"/>
        </w:rPr>
        <w:t xml:space="preserve">Section reference: Section 1 Background / §3.11</w:t>
      </w:r>
    </w:p>
    <w:p>
      <w:pPr>
        <w:spacing w:after="60" w:before="160"/>
      </w:pPr>
      <w:r>
        <w:rPr>
          <w:rFonts w:ascii="Times New Roman" w:cs="Times New Roman" w:eastAsia="Times New Roman" w:hAnsi="Times New Roman"/>
          <w:b/>
          <w:bCs/>
          <w:sz w:val="20"/>
          <w:szCs w:val="20"/>
        </w:rPr>
        <w:t xml:space="preserve">Q4: </w:t>
      </w:r>
      <w:r>
        <w:rPr>
          <w:rFonts w:ascii="Times New Roman" w:cs="Times New Roman" w:eastAsia="Times New Roman" w:hAnsi="Times New Roman"/>
          <w:sz w:val="20"/>
          <w:szCs w:val="20"/>
        </w:rPr>
        <w:t xml:space="preserve">PWS Tasks 10 (Custom Queues / Event Search) and 11 (WDS Modernization) are labeled “Optional.” Are these tasks priced separately, and does CDC intend to exercise them at contract award, partway through Period of Performance, or potentially defer to a later modification?</w:t>
      </w:r>
    </w:p>
    <w:p>
      <w:pPr>
        <w:spacing w:after="80"/>
        <w:ind w:left="360"/>
      </w:pPr>
      <w:r>
        <w:rPr>
          <w:rFonts w:ascii="Times New Roman" w:cs="Times New Roman" w:eastAsia="Times New Roman" w:hAnsi="Times New Roman"/>
          <w:i/>
          <w:iCs/>
          <w:sz w:val="20"/>
          <w:szCs w:val="20"/>
        </w:rPr>
        <w:t xml:space="preserve">Section reference: Tasks 10–11</w:t>
      </w:r>
    </w:p>
    <w:p>
      <w:pPr>
        <w:spacing w:after="60" w:before="160"/>
      </w:pPr>
      <w:r>
        <w:rPr>
          <w:rFonts w:ascii="Times New Roman" w:cs="Times New Roman" w:eastAsia="Times New Roman" w:hAnsi="Times New Roman"/>
          <w:b/>
          <w:bCs/>
          <w:sz w:val="20"/>
          <w:szCs w:val="20"/>
        </w:rPr>
        <w:t xml:space="preserve">Q5: </w:t>
      </w:r>
      <w:r>
        <w:rPr>
          <w:rFonts w:ascii="Times New Roman" w:cs="Times New Roman" w:eastAsia="Times New Roman" w:hAnsi="Times New Roman"/>
          <w:sz w:val="20"/>
          <w:szCs w:val="20"/>
        </w:rPr>
        <w:t xml:space="preserve">The PWS references “cross-contract leadership forums” for the Epidemiology/Surveillance SME and broader integration with NNDSS, 1CDP, and other CDC programs. Are there other CDC contracts or programs (e.g., NNDSS modernization, EDAV, DMI-funded data modernization) with which the NBS team must formally coordinate, and is there a documented governance structure for those inter-contract interactions?</w:t>
      </w:r>
    </w:p>
    <w:p>
      <w:pPr>
        <w:spacing w:after="80"/>
        <w:ind w:left="360"/>
      </w:pPr>
      <w:r>
        <w:rPr>
          <w:rFonts w:ascii="Times New Roman" w:cs="Times New Roman" w:eastAsia="Times New Roman" w:hAnsi="Times New Roman"/>
          <w:i/>
          <w:iCs/>
          <w:sz w:val="20"/>
          <w:szCs w:val="20"/>
        </w:rPr>
        <w:t xml:space="preserve">Section reference: Section 3 Scope / Task 2 / §5.0</w:t>
      </w:r>
    </w:p>
    <w:p>
      <w:pPr>
        <w:spacing w:after="60" w:before="160"/>
      </w:pPr>
      <w:r>
        <w:rPr>
          <w:rFonts w:ascii="Times New Roman" w:cs="Times New Roman" w:eastAsia="Times New Roman" w:hAnsi="Times New Roman"/>
          <w:b/>
          <w:bCs/>
          <w:sz w:val="20"/>
          <w:szCs w:val="20"/>
        </w:rPr>
        <w:t xml:space="preserve">Q6: </w:t>
      </w:r>
      <w:r>
        <w:rPr>
          <w:rFonts w:ascii="Times New Roman" w:cs="Times New Roman" w:eastAsia="Times New Roman" w:hAnsi="Times New Roman"/>
          <w:sz w:val="20"/>
          <w:szCs w:val="20"/>
        </w:rPr>
        <w:t xml:space="preserve">The PWS references the NBS Design System 2.0 as the standard for all UI development across Tasks 7, 8, and 9. Is the design system currently published and accessible, and will it be provided as Government Furnished Information at contract inception? If still in development, what is the expected availability date?</w:t>
      </w:r>
    </w:p>
    <w:p>
      <w:pPr>
        <w:spacing w:after="80"/>
        <w:ind w:left="360"/>
      </w:pPr>
      <w:r>
        <w:rPr>
          <w:rFonts w:ascii="Times New Roman" w:cs="Times New Roman" w:eastAsia="Times New Roman" w:hAnsi="Times New Roman"/>
          <w:i/>
          <w:iCs/>
          <w:sz w:val="20"/>
          <w:szCs w:val="20"/>
        </w:rPr>
        <w:t xml:space="preserve">Section reference: Tasks 7, 8, 9</w:t>
      </w:r>
    </w:p>
    <w:p>
      <w:pPr>
        <w:spacing w:after="60" w:before="160"/>
      </w:pPr>
      <w:r>
        <w:rPr>
          <w:rFonts w:ascii="Times New Roman" w:cs="Times New Roman" w:eastAsia="Times New Roman" w:hAnsi="Times New Roman"/>
          <w:b/>
          <w:bCs/>
          <w:sz w:val="20"/>
          <w:szCs w:val="20"/>
        </w:rPr>
        <w:t xml:space="preserve">Q7: </w:t>
      </w:r>
      <w:r>
        <w:rPr>
          <w:rFonts w:ascii="Times New Roman" w:cs="Times New Roman" w:eastAsia="Times New Roman" w:hAnsi="Times New Roman"/>
          <w:sz w:val="20"/>
          <w:szCs w:val="20"/>
        </w:rPr>
        <w:t xml:space="preserve">The EVM requirement references HHS OCIO EVM Policy and ANSI/EIA-748-1998A in three implementation phases. Has the previous contractor achieved Phase 2 or Phase 3 certification? Deloitte will comply with all EVM requirements, but understanding the current maturity level will inform transition planning and Phase 1 deliverable expectations.</w:t>
      </w:r>
    </w:p>
    <w:p>
      <w:pPr>
        <w:spacing w:after="80"/>
        <w:ind w:left="360"/>
      </w:pPr>
      <w:r>
        <w:rPr>
          <w:rFonts w:ascii="Times New Roman" w:cs="Times New Roman" w:eastAsia="Times New Roman" w:hAnsi="Times New Roman"/>
          <w:i/>
          <w:iCs/>
          <w:sz w:val="20"/>
          <w:szCs w:val="20"/>
        </w:rPr>
        <w:t xml:space="preserve">Section reference: §10 — Capital Planning</w:t>
      </w:r>
    </w:p>
    <w:p>
      <w:pPr>
        <w:spacing w:after="60" w:before="160"/>
      </w:pPr>
      <w:r>
        <w:rPr>
          <w:rFonts w:ascii="Times New Roman" w:cs="Times New Roman" w:eastAsia="Times New Roman" w:hAnsi="Times New Roman"/>
          <w:b/>
          <w:bCs/>
          <w:sz w:val="20"/>
          <w:szCs w:val="20"/>
        </w:rPr>
        <w:t xml:space="preserve">Q8: </w:t>
      </w:r>
      <w:r>
        <w:rPr>
          <w:rFonts w:ascii="Times New Roman" w:cs="Times New Roman" w:eastAsia="Times New Roman" w:hAnsi="Times New Roman"/>
          <w:sz w:val="20"/>
          <w:szCs w:val="20"/>
        </w:rPr>
        <w:t xml:space="preserve">PWS Section 5 states that the contractor is responsible for obtaining and maintaining connectivity to the CDC network. Please clarify: does this mean VPN access to CDC’s internal network, or does it refer only to access to CDC cloud environments (Azure, GitHub) via public internet with appropriate controls?</w:t>
      </w:r>
    </w:p>
    <w:p>
      <w:pPr>
        <w:spacing w:after="80"/>
        <w:ind w:left="360"/>
      </w:pPr>
      <w:r>
        <w:rPr>
          <w:rFonts w:ascii="Times New Roman" w:cs="Times New Roman" w:eastAsia="Times New Roman" w:hAnsi="Times New Roman"/>
          <w:i/>
          <w:iCs/>
          <w:sz w:val="20"/>
          <w:szCs w:val="20"/>
        </w:rPr>
        <w:t xml:space="preserve">Section reference: Section 5 — Government Furnished Property</w:t>
      </w:r>
    </w:p>
    <w:p>
      <w:pPr>
        <w:spacing w:after="60" w:before="160"/>
      </w:pPr>
      <w:r>
        <w:rPr>
          <w:rFonts w:ascii="Times New Roman" w:cs="Times New Roman" w:eastAsia="Times New Roman" w:hAnsi="Times New Roman"/>
          <w:b/>
          <w:bCs/>
          <w:sz w:val="20"/>
          <w:szCs w:val="20"/>
        </w:rPr>
        <w:t xml:space="preserve">Q9: </w:t>
      </w:r>
      <w:r>
        <w:rPr>
          <w:rFonts w:ascii="Times New Roman" w:cs="Times New Roman" w:eastAsia="Times New Roman" w:hAnsi="Times New Roman"/>
          <w:sz w:val="20"/>
          <w:szCs w:val="20"/>
        </w:rPr>
        <w:t xml:space="preserve">The PWS requires maintenance of “at least one demonstration environment with the latest GA release of NBS accessible to the public.” Will CDC provide hosting for this environment, or is the contractor responsible for procuring and operating it (subject to ODC approval)? What level of accessibility is expected (open public access, registered users, anonymized data only)?</w:t>
      </w:r>
    </w:p>
    <w:p>
      <w:pPr>
        <w:spacing w:after="80"/>
        <w:ind w:left="360"/>
      </w:pPr>
      <w:r>
        <w:rPr>
          <w:rFonts w:ascii="Times New Roman" w:cs="Times New Roman" w:eastAsia="Times New Roman" w:hAnsi="Times New Roman"/>
          <w:i/>
          <w:iCs/>
          <w:sz w:val="20"/>
          <w:szCs w:val="20"/>
        </w:rPr>
        <w:t xml:space="preserve">Section reference: Section 4 / Subsection A</w:t>
      </w:r>
    </w:p>
    <w:p>
      <w:pPr>
        <w:spacing w:after="60" w:before="160"/>
      </w:pPr>
      <w:r>
        <w:rPr>
          <w:rFonts w:ascii="Times New Roman" w:cs="Times New Roman" w:eastAsia="Times New Roman" w:hAnsi="Times New Roman"/>
          <w:b/>
          <w:bCs/>
          <w:sz w:val="20"/>
          <w:szCs w:val="20"/>
        </w:rPr>
        <w:t xml:space="preserve">Q10: </w:t>
      </w:r>
      <w:r>
        <w:rPr>
          <w:rFonts w:ascii="Times New Roman" w:cs="Times New Roman" w:eastAsia="Times New Roman" w:hAnsi="Times New Roman"/>
          <w:sz w:val="20"/>
          <w:szCs w:val="20"/>
        </w:rPr>
        <w:t xml:space="preserve">Task 6 references migration from “NBS 6 or 7 to another surveillance system.” Are there specific alternative IDSS platforms CDC anticipates STLTs migrating to, and does the contractor have a defined level of effort or scope for outbound migration support (vs. a best-efforts assistance posture)?</w:t>
      </w:r>
    </w:p>
    <w:p>
      <w:pPr>
        <w:spacing w:after="80"/>
        <w:ind w:left="360"/>
      </w:pPr>
      <w:r>
        <w:rPr>
          <w:rFonts w:ascii="Times New Roman" w:cs="Times New Roman" w:eastAsia="Times New Roman" w:hAnsi="Times New Roman"/>
          <w:i/>
          <w:iCs/>
          <w:sz w:val="20"/>
          <w:szCs w:val="20"/>
        </w:rPr>
        <w:t xml:space="preserve">Section reference: Task 6</w:t>
      </w:r>
    </w:p>
    <w:p>
      <w:pPr>
        <w:spacing w:after="60" w:before="160"/>
      </w:pPr>
      <w:r>
        <w:rPr>
          <w:rFonts w:ascii="Times New Roman" w:cs="Times New Roman" w:eastAsia="Times New Roman" w:hAnsi="Times New Roman"/>
          <w:b/>
          <w:bCs/>
          <w:sz w:val="20"/>
          <w:szCs w:val="20"/>
        </w:rPr>
        <w:t xml:space="preserve">Q11: </w:t>
      </w:r>
      <w:r>
        <w:rPr>
          <w:rFonts w:ascii="Times New Roman" w:cs="Times New Roman" w:eastAsia="Times New Roman" w:hAnsi="Times New Roman"/>
          <w:sz w:val="20"/>
          <w:szCs w:val="20"/>
        </w:rPr>
        <w:t xml:space="preserve">Section 9 requires Monthly EVM Reports and Section 10 references a Tier 1 Major Investment EVMS. Is CPR Format A only, or are additional CPR formats (B, C, D, E, F) required? Will CDC provide a CPR template or accept the contractor’s standard CPR submission format?</w:t>
      </w:r>
    </w:p>
    <w:p>
      <w:pPr>
        <w:spacing w:after="80"/>
        <w:ind w:left="360"/>
      </w:pPr>
      <w:r>
        <w:rPr>
          <w:rFonts w:ascii="Times New Roman" w:cs="Times New Roman" w:eastAsia="Times New Roman" w:hAnsi="Times New Roman"/>
          <w:i/>
          <w:iCs/>
          <w:sz w:val="20"/>
          <w:szCs w:val="20"/>
        </w:rPr>
        <w:t xml:space="preserve">Section reference: Section 9 / §10 Capital Planning</w:t>
      </w:r>
    </w:p>
    <w:sectPr>
      <w:headerReference w:type="default" r:id="rId9"/>
      <w:footerReference w:type="default" r:id="rId10"/>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200"/>
    </w:pPr>
    <w:r>
      <w:rPr>
        <w:rFonts w:ascii="Times New Roman" w:cs="Times New Roman" w:eastAsia="Times New Roman" w:hAnsi="Times New Roman"/>
        <w:sz w:val="18"/>
        <w:szCs w:val="18"/>
      </w:rPr>
      <w:t xml:space="preserve">Use or disclosure of the data contained on this page is subject to the restrictions on the title page of this request.</w:t>
    </w:r>
  </w:p>
  <w:p>
    <w:r>
      <w:rPr>
        <w:rFonts w:ascii="Times New Roman" w:cs="Times New Roman" w:eastAsia="Times New Roman" w:hAnsi="Times New Roman"/>
        <w:b/>
        <w:bCs/>
        <w:sz w:val="18"/>
        <w:szCs w:val="18"/>
      </w:rPr>
      <w:t xml:space="preserve">Copyright © 2026 Deloitte Development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2382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38125"/>
                  </a:xfrm>
                  <a:prstGeom prst="rect">
                    <a:avLst/>
                  </a:prstGeom>
                </pic:spPr>
              </pic:pic>
            </a:graphicData>
          </a:graphic>
        </wp:inline>
      </w:drawing>
    </w:r>
    <w:r>
      <w:rPr>
        <w:rFonts w:ascii="Times New Roman" w:cs="Times New Roman" w:eastAsia="Times New Roman" w:hAnsi="Times New Roman"/>
      </w:rPr>
      <w:t xml:space="preserve">	</w:t>
    </w:r>
    <w:r>
      <w:rPr>
        <w:rFonts w:ascii="Times New Roman" w:cs="Times New Roman" w:eastAsia="Times New Roman" w:hAnsi="Times New Roman"/>
      </w:rPr>
      <w:t xml:space="preserve">	</w:t>
    </w:r>
    <w:r>
      <w:drawing>
        <wp:inline distT="0" distB="0" distL="0" distR="0">
          <wp:extent cx="1571625"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571625" cy="6477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2382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38125"/>
                  </a:xfrm>
                  <a:prstGeom prst="rect">
                    <a:avLst/>
                  </a:prstGeom>
                </pic:spPr>
              </pic:pic>
            </a:graphicData>
          </a:graphic>
        </wp:inline>
      </w:drawing>
    </w:r>
    <w:r>
      <w:rPr>
        <w:rFonts w:ascii="Times New Roman" w:cs="Times New Roman" w:eastAsia="Times New Roman" w:hAnsi="Times New Roman"/>
      </w:rPr>
      <w:t xml:space="preserve">	</w:t>
    </w:r>
    <w:r>
      <w:rPr>
        <w:rFonts w:ascii="Times New Roman" w:cs="Times New Roman" w:eastAsia="Times New Roman" w:hAnsi="Times New Roman"/>
      </w:rPr>
      <w:t xml:space="preserve">	</w:t>
    </w:r>
    <w:r>
      <w:drawing>
        <wp:inline distT="0" distB="0" distL="0" distR="0">
          <wp:extent cx="1571625"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571625" cy="6477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360"/>
      </w:tabs>
      <w:spacing w:after="60"/>
    </w:pPr>
    <w:r>
      <w:drawing>
        <wp:inline distT="0" distB="0" distL="0" distR="0">
          <wp:extent cx="9525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180975"/>
                  </a:xfrm>
                  <a:prstGeom prst="rect">
                    <a:avLst/>
                  </a:prstGeom>
                </pic:spPr>
              </pic:pic>
            </a:graphicData>
          </a:graphic>
        </wp:inline>
      </w:drawing>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NBS Modernization and Support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image" Target="media/bddd6ee343053c5120190ad771b69b350e769e4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5bda4e38c74f00d6d744fb27d8f1c60f93e6d0f.png"/><Relationship Id="rId1" Type="http://schemas.openxmlformats.org/officeDocument/2006/relationships/image" Target="media/72815826180d30e3712679753a7eb7e2c763f638.png"/></Relationships>
</file>

<file path=word/_rels/header2.xml.rels><?xml version="1.0" encoding="UTF-8"?><Relationships xmlns="http://schemas.openxmlformats.org/package/2006/relationships"><Relationship Id="rId0" Type="http://schemas.openxmlformats.org/officeDocument/2006/relationships/image" Target="media/55bda4e38c74f00d6d744fb27d8f1c60f93e6d0f.png"/><Relationship Id="rId1" Type="http://schemas.openxmlformats.org/officeDocument/2006/relationships/image" Target="media/72815826180d30e3712679753a7eb7e2c763f638.png"/></Relationships>
</file>

<file path=word/_rels/header3.xml.rels><?xml version="1.0" encoding="UTF-8"?><Relationships xmlns="http://schemas.openxmlformats.org/package/2006/relationships"><Relationship Id="rId0" Type="http://schemas.openxmlformats.org/officeDocument/2006/relationships/image" Target="media/55bda4e38c74f00d6d744fb27d8f1c60f93e6d0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NBS Modernization and Support — RFI Response</dc:title>
  <dc:creator>Deloitte Consulting LLP</dc:creator>
  <cp:lastModifiedBy>Un-named</cp:lastModifiedBy>
  <cp:revision>1</cp:revision>
  <dcterms:created xsi:type="dcterms:W3CDTF">2026-04-28T00:53:06.462Z</dcterms:created>
  <dcterms:modified xsi:type="dcterms:W3CDTF">2026-04-28T00:53:06.463Z</dcterms:modified>
</cp:coreProperties>
</file>

<file path=docProps/custom.xml><?xml version="1.0" encoding="utf-8"?>
<Properties xmlns="http://schemas.openxmlformats.org/officeDocument/2006/custom-properties" xmlns:vt="http://schemas.openxmlformats.org/officeDocument/2006/docPropsVTypes"/>
</file>