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C51B0E" w14:paraId="7F0D5F52" w14:textId="77777777" w:rsidTr="000C5214">
        <w:tc>
          <w:tcPr>
            <w:tcW w:w="5000" w:type="pct"/>
          </w:tcPr>
          <w:p w14:paraId="0932DB22" w14:textId="77777777" w:rsidR="00C51B0E" w:rsidRDefault="00C4149E" w:rsidP="007C1C7D">
            <w:pPr>
              <w:pStyle w:val="BodyText"/>
              <w:jc w:val="center"/>
            </w:pPr>
            <w:r>
              <w:rPr>
                <w:noProof/>
              </w:rPr>
              <w:drawing>
                <wp:inline distT="0" distB="0" distL="0" distR="0" wp14:anchorId="1B7294DC" wp14:editId="15C57612">
                  <wp:extent cx="4816475" cy="45053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16475" cy="4505325"/>
                          </a:xfrm>
                          <a:prstGeom prst="rect">
                            <a:avLst/>
                          </a:prstGeom>
                          <a:noFill/>
                        </pic:spPr>
                      </pic:pic>
                    </a:graphicData>
                  </a:graphic>
                </wp:inline>
              </w:drawing>
            </w:r>
          </w:p>
        </w:tc>
      </w:tr>
    </w:tbl>
    <w:p w14:paraId="3F0EC0EE" w14:textId="77777777" w:rsidR="002A3437" w:rsidRPr="006733C8" w:rsidRDefault="0023659D" w:rsidP="002A3437">
      <w:pPr>
        <w:pStyle w:val="CoverTitle"/>
      </w:pPr>
      <w:fldSimple w:instr="FILLIN  &quot;Agency of the Federal Government Title&quot;  \* MERGEFORMAT">
        <w:r>
          <w:t>Centers for Medicare &amp; Medicaid Services (CMS)</w:t>
        </w:r>
      </w:fldSimple>
    </w:p>
    <w:p w14:paraId="340C32EB" w14:textId="77777777" w:rsidR="002A3437" w:rsidRPr="007772C7" w:rsidRDefault="00CF4CB3" w:rsidP="002A3437">
      <w:pPr>
        <w:pStyle w:val="Coversubhead"/>
      </w:pPr>
      <w:fldSimple w:instr="FILLIN  &quot;Project description or name&quot;  \* MERGEFORMAT">
        <w:r w:rsidRPr="00CF4CB3">
          <w:t>CCIIO Enrollment Resolution &amp; Reconciliation</w:t>
        </w:r>
        <w:r>
          <w:t xml:space="preserve"> (E</w:t>
        </w:r>
        <w:r w:rsidR="006104BE">
          <w:t>R&amp;R)</w:t>
        </w:r>
        <w:r w:rsidRPr="00CF4CB3">
          <w:t>, Form 1095-A Data Reporting</w:t>
        </w:r>
        <w:r w:rsidR="0023659D">
          <w:t xml:space="preserve"/>
        </w:r>
      </w:fldSimple>
    </w:p>
    <w:p w14:paraId="530A2DA6" w14:textId="77777777" w:rsidR="002A3437" w:rsidRPr="00744B4B" w:rsidRDefault="002A3437" w:rsidP="002A3437">
      <w:pPr>
        <w:pStyle w:val="CoverVolumeNumber"/>
        <w:rPr>
          <w:bCs w:val="0"/>
        </w:rPr>
      </w:pPr>
      <w:r w:rsidRPr="00744B4B">
        <w:rPr>
          <w:bCs w:val="0"/>
        </w:rPr>
        <w:fldChar w:fldCharType="begin"/>
      </w:r>
      <w:r w:rsidRPr="00744B4B">
        <w:rPr>
          <w:bCs w:val="0"/>
        </w:rPr>
        <w:instrText xml:space="preserve"> FILLIN  "Volume number and name"  \* MERGEFORMAT </w:instrText>
      </w:r>
      <w:r w:rsidRPr="00744B4B">
        <w:rPr>
          <w:bCs w:val="0"/>
        </w:rPr>
        <w:fldChar w:fldCharType="separate"/>
      </w:r>
      <w:r w:rsidRPr="00744B4B">
        <w:rPr>
          <w:bCs w:val="0"/>
        </w:rPr>
        <w:t>Volume I – Technical Proposal</w:t>
      </w:r>
      <w:r w:rsidRPr="00744B4B">
        <w:rPr>
          <w:bCs w:val="0"/>
        </w:rPr>
        <w:fldChar w:fldCharType="end"/>
      </w:r>
    </w:p>
    <w:p w14:paraId="48860FB2" w14:textId="77777777" w:rsidR="002A3437" w:rsidRPr="00C7269A" w:rsidRDefault="002A3437" w:rsidP="002A3437">
      <w:pPr>
        <w:pStyle w:val="CoverRFPNumber"/>
      </w:pPr>
      <w:r>
        <w:rPr>
          <w:noProof/>
        </w:rPr>
        <w:t>Request for Quote (RFQ): 75FCMC26Q0068</w:t>
      </w:r>
      <w:fldSimple w:instr="FILLIN  &quot;RFP/RFQ/RFI #&quot;  \* MERGEFORMAT">
        <w:r w:rsidR="0023659D">
          <w:t>75FCMC26Q0068</w:t>
        </w:r>
      </w:fldSimple>
    </w:p>
    <w:p w14:paraId="5A150A10" w14:textId="77777777" w:rsidR="002A3437" w:rsidRDefault="0023659D" w:rsidP="002A3437">
      <w:pPr>
        <w:pStyle w:val="CoverDate"/>
      </w:pPr>
      <w:fldSimple w:instr="FILLIN  &quot;Submission due date&quot;  \* MERGEFORMAT">
        <w:r>
          <w:t>May 07, 2026</w:t>
        </w:r>
      </w:fldSimple>
    </w:p>
    <w:p w14:paraId="742FDEF4" w14:textId="77777777" w:rsidR="002A3437" w:rsidRPr="00744B4B" w:rsidRDefault="002A3437" w:rsidP="002A3437">
      <w:pPr>
        <w:pStyle w:val="CoverText"/>
        <w:rPr>
          <w:b/>
        </w:rPr>
      </w:pPr>
      <w:r w:rsidRPr="00744B4B">
        <w:rPr>
          <w:b/>
        </w:rPr>
        <w:t>Submitted By:</w:t>
      </w:r>
    </w:p>
    <w:p w14:paraId="6B8919FE" w14:textId="77777777" w:rsidR="002A3437" w:rsidRPr="007D635A" w:rsidRDefault="002A3437" w:rsidP="002A3437">
      <w:pPr>
        <w:pStyle w:val="CoverText"/>
      </w:pPr>
      <w:r w:rsidRPr="00390AB5">
        <w:rPr>
          <w:rStyle w:val="CoverFSSEntityName"/>
        </w:rPr>
        <w:fldChar w:fldCharType="begin"/>
      </w:r>
      <w:r w:rsidRPr="00390AB5">
        <w:rPr>
          <w:rStyle w:val="CoverFSSEntityName"/>
        </w:rPr>
        <w:instrText xml:space="preserve"> FILLIN  "FSS Entity Name"  \* MERGEFORMAT </w:instrText>
      </w:r>
      <w:r w:rsidRPr="00390AB5">
        <w:rPr>
          <w:rStyle w:val="CoverFSSEntityName"/>
        </w:rPr>
        <w:fldChar w:fldCharType="separate"/>
      </w:r>
      <w:r w:rsidR="0023659D">
        <w:rPr>
          <w:rStyle w:val="CoverFSSEntityName"/>
        </w:rPr>
        <w:t>Deloitte Consulting LLP</w:t>
      </w:r>
      <w:r w:rsidRPr="00390AB5">
        <w:rPr>
          <w:rStyle w:val="CoverFSSEntityName"/>
        </w:rPr>
        <w:fldChar w:fldCharType="end"/>
      </w:r>
      <w:r>
        <w:t xml:space="preserve"> | </w:t>
      </w:r>
      <w:r w:rsidRPr="008A42F6">
        <w:t>1919 North Lynn Street | Arlington, VA 22209</w:t>
      </w:r>
    </w:p>
    <w:p w14:paraId="05B72016" w14:textId="77777777" w:rsidR="00DB3627" w:rsidRDefault="00DB3627" w:rsidP="00DB3627">
      <w:pPr>
        <w:pStyle w:val="Cover2DeloitteAddress"/>
        <w:sectPr w:rsidR="00DB3627" w:rsidSect="000B1BCE">
          <w:headerReference w:type="default" r:id="rId12"/>
          <w:footerReference w:type="default" r:id="rId13"/>
          <w:footerReference w:type="first" r:id="rId14"/>
          <w:pgSz w:w="12240" w:h="15840" w:code="1"/>
          <w:pgMar w:top="1440" w:right="1440" w:bottom="1440" w:left="1440" w:header="720" w:footer="720" w:gutter="0"/>
          <w:cols w:space="720"/>
          <w:vAlign w:val="bottom"/>
          <w:docGrid w:linePitch="360"/>
        </w:sectPr>
      </w:pPr>
    </w:p>
    <w:p w14:paraId="5D872368" w14:textId="77777777" w:rsidR="00744B4B" w:rsidRPr="00F022D5" w:rsidRDefault="0023659D" w:rsidP="00744B4B">
      <w:pPr>
        <w:pStyle w:val="Cover2Agency"/>
      </w:pPr>
      <w:fldSimple w:instr="STYLEREF  &quot;Cover title&quot;  \* MERGEFORMAT">
        <w:r>
          <w:rPr>
            <w:noProof/>
          </w:rPr>
          <w:t>Centers for Medicare &amp; Medicaid Services (CMS)</w:t>
        </w:r>
      </w:fldSimple>
    </w:p>
    <w:p w14:paraId="24662247" w14:textId="77777777" w:rsidR="00744B4B" w:rsidRPr="007772C7" w:rsidRDefault="006104BE" w:rsidP="003B0978">
      <w:pPr>
        <w:pStyle w:val="Cover2ProjectDescription"/>
      </w:pPr>
      <w:fldSimple w:instr="STYLEREF  &quot;Cover subhead&quot;  \* MERGEFORMAT">
        <w:r>
          <w:t>CCIIO Enrollment Resolution &amp; Reconciliation (ER&amp;R), Form 1095-A Data Reporting</w:t>
        </w:r>
      </w:fldSimple>
    </w:p>
    <w:p w14:paraId="7D3DBAEE" w14:textId="77777777" w:rsidR="00744B4B" w:rsidRPr="00F022D5" w:rsidRDefault="00C32A3C" w:rsidP="00C76534">
      <w:pPr>
        <w:pStyle w:val="Cover2RFQNumber"/>
      </w:pPr>
      <w:fldSimple w:instr="STYLEREF  &quot;Cover RFP Number&quot;  \* MERGEFORMAT">
        <w:r>
          <w:t>Request for Quote (RFQ): 75FCMC26Q0068</w:t>
        </w:r>
      </w:fldSimple>
    </w:p>
    <w:p w14:paraId="4439450E" w14:textId="77777777" w:rsidR="00744B4B" w:rsidRPr="00F022D5" w:rsidRDefault="0084034F" w:rsidP="00744B4B">
      <w:pPr>
        <w:pStyle w:val="Cover2Solicitation"/>
      </w:pPr>
      <w:fldSimple w:instr="STYLEREF  &quot;Cover volume number&quot;  \* MERGEFORMAT">
        <w:r>
          <w:rPr>
            <w:noProof/>
          </w:rPr>
          <w:t>Volume I – Technical Proposal</w:t>
        </w:r>
      </w:fldSimple>
    </w:p>
    <w:p w14:paraId="641B0905" w14:textId="77777777" w:rsidR="00744B4B" w:rsidRPr="00F022D5" w:rsidRDefault="0023659D" w:rsidP="00744B4B">
      <w:pPr>
        <w:pStyle w:val="Cover2Date"/>
      </w:pPr>
      <w:fldSimple w:instr="STYLEREF  &quot;Cover date&quot;  \* MERGEFORMAT">
        <w:r>
          <w:rPr>
            <w:noProof/>
          </w:rPr>
          <w:t>May 07, 2026</w:t>
        </w:r>
      </w:fldSimple>
    </w:p>
    <w:p w14:paraId="7C35E3F9" w14:textId="77777777" w:rsidR="00AB4D65" w:rsidRPr="00E371CA" w:rsidRDefault="00AB4D65" w:rsidP="00AB4D65">
      <w:pPr>
        <w:pStyle w:val="Cover2Presentedby"/>
      </w:pPr>
      <w:r w:rsidRPr="00E371CA">
        <w:t>Submitted by:</w:t>
      </w:r>
    </w:p>
    <w:p w14:paraId="1E61C518" w14:textId="77777777" w:rsidR="00AB4D65" w:rsidRPr="00174AA8" w:rsidRDefault="00AB4D65" w:rsidP="00AB4D65">
      <w:pPr>
        <w:pStyle w:val="Cover2DeloitteAddress"/>
      </w:pPr>
      <w:r w:rsidRPr="00174AA8">
        <w:rPr>
          <w:rStyle w:val="CoverFSSEntityName"/>
        </w:rPr>
        <w:fldChar w:fldCharType="begin"/>
      </w:r>
      <w:r w:rsidRPr="00174AA8">
        <w:rPr>
          <w:rStyle w:val="CoverFSSEntityName"/>
        </w:rPr>
        <w:instrText xml:space="preserve"> FILLIN  "FSS Entity Name"  \* MERGEFORMAT </w:instrText>
      </w:r>
      <w:r w:rsidRPr="00174AA8">
        <w:rPr>
          <w:rStyle w:val="CoverFSSEntityName"/>
        </w:rPr>
        <w:fldChar w:fldCharType="separate"/>
      </w:r>
      <w:r w:rsidR="0023659D">
        <w:rPr>
          <w:rStyle w:val="CoverFSSEntityName"/>
        </w:rPr>
        <w:t xml:space="preserve">Deloitte Consulting LLP </w:t>
      </w:r>
      <w:r w:rsidRPr="00174AA8">
        <w:rPr>
          <w:rStyle w:val="CoverFSSEntityName"/>
        </w:rPr>
        <w:fldChar w:fldCharType="end"/>
      </w:r>
      <w:r w:rsidRPr="00174AA8">
        <w:t>, 1919 North Lynn Street, Arlington, VA 22209</w:t>
      </w:r>
    </w:p>
    <w:p w14:paraId="62C6D2F1" w14:textId="77777777" w:rsidR="00E42ECE" w:rsidRPr="00E371CA" w:rsidRDefault="00E42ECE" w:rsidP="00E42ECE">
      <w:pPr>
        <w:pStyle w:val="Cover2Presentedby"/>
      </w:pPr>
      <w:r w:rsidRPr="00E371CA">
        <w:t>Submitted to:</w:t>
      </w:r>
    </w:p>
    <w:tbl>
      <w:tblPr>
        <w:tblStyle w:val="TableGrid"/>
        <w:tblW w:w="0" w:type="auto"/>
        <w:tblBorders>
          <w:top w:val="single" w:sz="4" w:space="0" w:color="007CB0" w:themeColor="accent6"/>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E42ECE" w14:paraId="13F5A609" w14:textId="77777777" w:rsidTr="0073033A">
        <w:trPr>
          <w:trHeight w:val="1809"/>
        </w:trPr>
        <w:tc>
          <w:tcPr>
            <w:tcW w:w="9350" w:type="dxa"/>
            <w:shd w:val="clear" w:color="auto" w:fill="F2F2F2" w:themeFill="background1" w:themeFillShade="F2"/>
          </w:tcPr>
          <w:p w14:paraId="0097551A" w14:textId="77777777" w:rsidR="00E42ECE" w:rsidRDefault="00281226" w:rsidP="00037792">
            <w:pPr>
              <w:pStyle w:val="Cover2DeloitteAddress"/>
              <w:ind w:left="-105"/>
            </w:pPr>
            <w:r w:rsidRPr="00281226">
              <w:t>Amberly Kovalick</w:t>
            </w:r>
            <w:r w:rsidR="00E779D3">
              <w:t xml:space="preserve">, </w:t>
            </w:r>
            <w:r w:rsidR="00E779D3" w:rsidRPr="00E779D3">
              <w:t>Contracting Officer</w:t>
            </w:r>
          </w:p>
          <w:p w14:paraId="48A868FD" w14:textId="77777777" w:rsidR="00E779D3" w:rsidRDefault="00E779D3" w:rsidP="00037792">
            <w:pPr>
              <w:pStyle w:val="Cover2DeloitteAddress"/>
              <w:ind w:left="-105"/>
            </w:pPr>
            <w:r w:rsidRPr="00E65057">
              <w:rPr>
                <w:rStyle w:val="CharacterBold"/>
              </w:rPr>
              <w:t>Email:</w:t>
            </w:r>
            <w:r w:rsidRPr="00E779D3">
              <w:t xml:space="preserve"> Amberly.Kovalick@cms.hhs.gov.</w:t>
            </w:r>
          </w:p>
          <w:p w14:paraId="7FD081A2" w14:textId="77777777" w:rsidR="00E779D3" w:rsidRDefault="00BF7FB9" w:rsidP="00037792">
            <w:pPr>
              <w:pStyle w:val="Cover2DeloitteAddress"/>
              <w:ind w:left="-105"/>
            </w:pPr>
            <w:r w:rsidRPr="00BF7FB9">
              <w:t xml:space="preserve">Megan </w:t>
            </w:r>
            <w:proofErr w:type="spellStart"/>
            <w:r w:rsidRPr="00BF7FB9">
              <w:t>Famodu</w:t>
            </w:r>
            <w:proofErr w:type="spellEnd"/>
            <w:r>
              <w:t xml:space="preserve">, </w:t>
            </w:r>
            <w:r w:rsidR="00670C67" w:rsidRPr="00670C67">
              <w:t>Contract Specialist</w:t>
            </w:r>
          </w:p>
          <w:p w14:paraId="7D0A1357" w14:textId="77777777" w:rsidR="005C6CA6" w:rsidRDefault="009E4AA8" w:rsidP="00037792">
            <w:pPr>
              <w:pStyle w:val="Cover2DeloitteAddress"/>
              <w:ind w:left="-105"/>
            </w:pPr>
            <w:r w:rsidRPr="00E65057">
              <w:rPr>
                <w:rStyle w:val="CharacterBold"/>
              </w:rPr>
              <w:t>Email:</w:t>
            </w:r>
            <w:r>
              <w:t xml:space="preserve"> </w:t>
            </w:r>
            <w:proofErr w:type="spellStart"/>
            <w:r w:rsidRPr="009E4AA8">
              <w:t>Megan.</w:t>
            </w:r>
            <w:proofErr w:type="gramStart"/>
            <w:r w:rsidRPr="009E4AA8">
              <w:t>Famodu</w:t>
            </w:r>
            <w:proofErr w:type="spellEnd"/>
            <w:r w:rsidRPr="009E4AA8">
              <w:t xml:space="preserve"> @</w:t>
            </w:r>
            <w:proofErr w:type="gramEnd"/>
            <w:r w:rsidRPr="009E4AA8">
              <w:t>cms.hhs.gov</w:t>
            </w:r>
          </w:p>
          <w:p w14:paraId="0694FB9A" w14:textId="77777777" w:rsidR="009260D8" w:rsidRPr="009260D8" w:rsidRDefault="009260D8" w:rsidP="009260D8">
            <w:pPr>
              <w:pStyle w:val="Cover2DeloitteAddress"/>
              <w:ind w:left="-105"/>
            </w:pPr>
            <w:r w:rsidRPr="009260D8">
              <w:t>DIV OF MEDICARE &amp; MARKETPLACE CONTRACTS,</w:t>
            </w:r>
          </w:p>
          <w:p w14:paraId="1C84F453" w14:textId="77777777" w:rsidR="009260D8" w:rsidRPr="009260D8" w:rsidRDefault="009260D8" w:rsidP="009260D8">
            <w:pPr>
              <w:pStyle w:val="Cover2DeloitteAddress"/>
              <w:ind w:left="-105"/>
            </w:pPr>
            <w:r w:rsidRPr="009260D8">
              <w:t>CMS - OAGM</w:t>
            </w:r>
          </w:p>
          <w:p w14:paraId="339DE287" w14:textId="77777777" w:rsidR="009260D8" w:rsidRPr="009260D8" w:rsidRDefault="009260D8" w:rsidP="009260D8">
            <w:pPr>
              <w:pStyle w:val="Cover2DeloitteAddress"/>
              <w:ind w:left="-105"/>
            </w:pPr>
            <w:r w:rsidRPr="009260D8">
              <w:t>7500 SECURITY BOULEVARD, MS: B3-30-03</w:t>
            </w:r>
          </w:p>
          <w:p w14:paraId="4B082EBB" w14:textId="77777777" w:rsidR="00E42ECE" w:rsidRPr="00E371CA" w:rsidRDefault="009260D8" w:rsidP="006104BE">
            <w:pPr>
              <w:pStyle w:val="Cover2DeloitteAddress"/>
              <w:ind w:left="-105"/>
            </w:pPr>
            <w:r w:rsidRPr="009260D8">
              <w:t>BALTIMORE, MD 21244-1850</w:t>
            </w:r>
          </w:p>
        </w:tc>
      </w:tr>
    </w:tbl>
    <w:p w14:paraId="67A4159B" w14:textId="77777777" w:rsidR="00E42ECE" w:rsidRPr="00E371CA" w:rsidRDefault="00E42ECE" w:rsidP="00E42ECE">
      <w:pPr>
        <w:pStyle w:val="Cover2Presentedby"/>
      </w:pPr>
      <w:r w:rsidRPr="00E371CA">
        <w:t>Submitted by:</w:t>
      </w:r>
    </w:p>
    <w:tbl>
      <w:tblPr>
        <w:tblW w:w="0" w:type="auto"/>
        <w:tblBorders>
          <w:top w:val="single" w:sz="4" w:space="0" w:color="007CB0" w:themeColor="accent6"/>
        </w:tblBorders>
        <w:tblCellMar>
          <w:top w:w="216" w:type="dxa"/>
          <w:left w:w="115" w:type="dxa"/>
          <w:bottom w:w="216" w:type="dxa"/>
          <w:right w:w="115" w:type="dxa"/>
        </w:tblCellMar>
        <w:tblLook w:val="01E0" w:firstRow="1" w:lastRow="1" w:firstColumn="1" w:lastColumn="1" w:noHBand="0" w:noVBand="0"/>
      </w:tblPr>
      <w:tblGrid>
        <w:gridCol w:w="4713"/>
        <w:gridCol w:w="4647"/>
      </w:tblGrid>
      <w:tr w:rsidR="00E42ECE" w:rsidRPr="00F022D5" w14:paraId="11F9F6B2" w14:textId="77777777" w:rsidTr="0DA8A253">
        <w:tc>
          <w:tcPr>
            <w:tcW w:w="4713" w:type="dxa"/>
            <w:shd w:val="clear" w:color="auto" w:fill="F2F2F2" w:themeFill="background1" w:themeFillShade="F2"/>
          </w:tcPr>
          <w:p w14:paraId="1CDDD478" w14:textId="77777777" w:rsidR="00E42ECE" w:rsidRPr="00E371CA" w:rsidRDefault="00E42ECE" w:rsidP="00B90E6C">
            <w:pPr>
              <w:pStyle w:val="Cover2Presentedby"/>
            </w:pPr>
            <w:r w:rsidRPr="00E371CA">
              <w:t xml:space="preserve">Technical POC and </w:t>
            </w:r>
            <w:r w:rsidRPr="00E371CA">
              <w:br/>
              <w:t>Authorized Negotiator:</w:t>
            </w:r>
          </w:p>
          <w:p w14:paraId="052CCE6C" w14:textId="77777777" w:rsidR="00E42ECE" w:rsidRPr="00E371CA" w:rsidRDefault="0023659D" w:rsidP="00B90E6C">
            <w:pPr>
              <w:pStyle w:val="Cover2DeloitteAddress"/>
            </w:pPr>
            <w:r w:rsidRPr="0023659D">
              <w:t>Matt Siegel</w:t>
            </w:r>
            <w:r w:rsidR="00E42ECE" w:rsidRPr="00E371CA">
              <w:t>, Managing Director</w:t>
            </w:r>
          </w:p>
          <w:p w14:paraId="22F7BC02" w14:textId="77777777" w:rsidR="00E42ECE" w:rsidRPr="00E371CA" w:rsidRDefault="00E42ECE" w:rsidP="00B90E6C">
            <w:pPr>
              <w:pStyle w:val="Cover2DeloitteAddress"/>
            </w:pPr>
            <w:r>
              <w:t>Tel. +1 (</w:t>
            </w:r>
            <w:r w:rsidR="0023659D">
              <w:t>617</w:t>
            </w:r>
            <w:r>
              <w:t xml:space="preserve">) </w:t>
            </w:r>
            <w:r w:rsidR="0023659D">
              <w:t>437-2646</w:t>
            </w:r>
          </w:p>
          <w:p w14:paraId="14F46A1A" w14:textId="77777777" w:rsidR="00E42ECE" w:rsidRPr="00E371CA" w:rsidRDefault="00E42ECE" w:rsidP="00B90E6C">
            <w:pPr>
              <w:pStyle w:val="Cover2DeloitteAddress"/>
            </w:pPr>
            <w:r w:rsidRPr="00E371CA">
              <w:t xml:space="preserve">Email: </w:t>
            </w:r>
            <w:r w:rsidR="0023659D" w:rsidRPr="0023659D">
              <w:t>masiegel@deloitte.com</w:t>
            </w:r>
          </w:p>
        </w:tc>
        <w:tc>
          <w:tcPr>
            <w:tcW w:w="4647" w:type="dxa"/>
            <w:shd w:val="clear" w:color="auto" w:fill="F2F2F2" w:themeFill="background1" w:themeFillShade="F2"/>
          </w:tcPr>
          <w:p w14:paraId="7F9724F5" w14:textId="77777777" w:rsidR="00E42ECE" w:rsidRPr="00E371CA" w:rsidRDefault="00E42ECE" w:rsidP="00B90E6C">
            <w:pPr>
              <w:pStyle w:val="Cover2Presentedby"/>
            </w:pPr>
            <w:r w:rsidRPr="00E371CA">
              <w:t>Contracts POC:</w:t>
            </w:r>
          </w:p>
          <w:p w14:paraId="6471D013" w14:textId="77777777" w:rsidR="00E42ECE" w:rsidRPr="00E371CA" w:rsidRDefault="0023659D" w:rsidP="00B90E6C">
            <w:pPr>
              <w:pStyle w:val="Cover2DeloitteAddress"/>
            </w:pPr>
            <w:r w:rsidRPr="009C1BFC">
              <w:rPr>
                <w:noProof/>
              </w:rPr>
              <w:t>Teresa Sage</w:t>
            </w:r>
            <w:proofErr w:type="gramStart"/>
            <w:r w:rsidR="00E42ECE" w:rsidRPr="00E371CA">
              <w:t>, Contracts</w:t>
            </w:r>
            <w:proofErr w:type="gramEnd"/>
            <w:r w:rsidR="00E42ECE" w:rsidRPr="00E371CA">
              <w:t xml:space="preserve"> Administrator</w:t>
            </w:r>
          </w:p>
          <w:p w14:paraId="7D485984" w14:textId="77777777" w:rsidR="00E42ECE" w:rsidRPr="00E371CA" w:rsidRDefault="00E42ECE" w:rsidP="00B90E6C">
            <w:pPr>
              <w:pStyle w:val="Cover2DeloitteAddress"/>
            </w:pPr>
            <w:r>
              <w:t>Tel. +1 (</w:t>
            </w:r>
            <w:r w:rsidR="0023659D">
              <w:t>571</w:t>
            </w:r>
            <w:r>
              <w:t xml:space="preserve">) </w:t>
            </w:r>
            <w:r w:rsidR="0023659D">
              <w:t>814-7707</w:t>
            </w:r>
          </w:p>
          <w:p w14:paraId="5B9F1D61" w14:textId="77777777" w:rsidR="00E42ECE" w:rsidRPr="00E371CA" w:rsidRDefault="00E42ECE" w:rsidP="00B90E6C">
            <w:pPr>
              <w:pStyle w:val="Cover2DeloitteAddress"/>
            </w:pPr>
            <w:r w:rsidRPr="00E371CA">
              <w:t xml:space="preserve">Email: </w:t>
            </w:r>
            <w:r w:rsidR="00CA68EF" w:rsidRPr="00CA68EF">
              <w:t>tsage@deloitte.com</w:t>
            </w:r>
          </w:p>
          <w:p w14:paraId="0236F8F8" w14:textId="77777777" w:rsidR="00E42ECE" w:rsidRPr="00E371CA" w:rsidRDefault="00E42ECE" w:rsidP="00B90E6C">
            <w:pPr>
              <w:pStyle w:val="Cover2DeloitteAddress"/>
            </w:pPr>
            <w:r w:rsidRPr="00E371CA">
              <w:t xml:space="preserve">Reference Number: </w:t>
            </w:r>
            <w:r w:rsidR="00CA68EF">
              <w:t>JO-</w:t>
            </w:r>
            <w:r w:rsidR="00CA68EF" w:rsidRPr="00AE073A">
              <w:t>069714</w:t>
            </w:r>
          </w:p>
        </w:tc>
      </w:tr>
    </w:tbl>
    <w:tbl>
      <w:tblPr>
        <w:tblpPr w:leftFromText="187" w:rightFromText="187" w:vertAnchor="page" w:horzAnchor="margin" w:tblpY="13051"/>
        <w:tblOverlap w:val="never"/>
        <w:tblW w:w="0" w:type="auto"/>
        <w:tblCellMar>
          <w:left w:w="0" w:type="dxa"/>
          <w:right w:w="0" w:type="dxa"/>
        </w:tblCellMar>
        <w:tblLook w:val="04A0" w:firstRow="1" w:lastRow="0" w:firstColumn="1" w:lastColumn="0" w:noHBand="0" w:noVBand="1"/>
      </w:tblPr>
      <w:tblGrid>
        <w:gridCol w:w="9360"/>
      </w:tblGrid>
      <w:tr w:rsidR="003F4CAF" w:rsidRPr="00BD61C0" w14:paraId="6C2A42CA" w14:textId="77777777" w:rsidTr="003F4CAF">
        <w:tc>
          <w:tcPr>
            <w:tcW w:w="9360" w:type="dxa"/>
          </w:tcPr>
          <w:p w14:paraId="057171E0" w14:textId="77777777" w:rsidR="003F4CAF" w:rsidRPr="00BD61C0" w:rsidRDefault="003F4CAF" w:rsidP="003F4CAF">
            <w:pPr>
              <w:pStyle w:val="Cover2Disclosure"/>
            </w:pPr>
            <w:r w:rsidRPr="00BD61C0">
              <w:t xml:space="preserve">This proposal or quotation includes data that shall not be disclosed outside of the Government and shall not be duplicated, used, or disclosed in whole or in part for any purpose other than to evaluate this proposal or quotation. If, however, a contract is awarded to this Offeror or Quoter </w:t>
            </w:r>
            <w:proofErr w:type="gramStart"/>
            <w:r w:rsidRPr="00BD61C0">
              <w:t>as a result of</w:t>
            </w:r>
            <w:proofErr w:type="gramEnd"/>
            <w:r w:rsidRPr="00BD61C0">
              <w:t xml:space="preserve"> or in connection with the submission of this data, the Government shall have the right to duplicate, use, or disclose the data to the extent provided in the resulting contract. This restriction does not limit the Government</w:t>
            </w:r>
            <w:r w:rsidR="003B17C2">
              <w:t>’</w:t>
            </w:r>
            <w:r w:rsidRPr="00BD61C0">
              <w:t xml:space="preserve">s right to use information contained in this data if it is obtained from other sources without restriction. The data subject to this restriction </w:t>
            </w:r>
            <w:proofErr w:type="gramStart"/>
            <w:r w:rsidRPr="00BD61C0">
              <w:t>are</w:t>
            </w:r>
            <w:proofErr w:type="gramEnd"/>
            <w:r w:rsidRPr="00BD61C0">
              <w:t xml:space="preserve"> contained in this entire proposal.</w:t>
            </w:r>
          </w:p>
        </w:tc>
      </w:tr>
    </w:tbl>
    <w:p w14:paraId="3FD99F17" w14:textId="77777777" w:rsidR="007D635A" w:rsidRDefault="007D635A" w:rsidP="00D347C0">
      <w:pPr>
        <w:pStyle w:val="Letterdate"/>
        <w:sectPr w:rsidR="007D635A" w:rsidSect="000B1BCE">
          <w:headerReference w:type="default" r:id="rId15"/>
          <w:footerReference w:type="default" r:id="rId16"/>
          <w:headerReference w:type="first" r:id="rId17"/>
          <w:pgSz w:w="12240" w:h="15840" w:code="1"/>
          <w:pgMar w:top="1440" w:right="1440" w:bottom="1440" w:left="1440" w:header="720" w:footer="720" w:gutter="0"/>
          <w:cols w:space="720"/>
          <w:titlePg/>
          <w:docGrid w:linePitch="360"/>
        </w:sectPr>
      </w:pPr>
    </w:p>
    <w:p w14:paraId="1AB90BFA" w14:textId="77777777" w:rsidR="00744B4B" w:rsidRDefault="00F85F11" w:rsidP="00744B4B">
      <w:pPr>
        <w:pStyle w:val="Letterdate"/>
      </w:pPr>
      <w:r>
        <w:rPr>
          <w:noProof/>
        </w:rPr>
        <w:lastRenderedPageBreak/>
        <w:drawing>
          <wp:anchor distT="0" distB="0" distL="114300" distR="114300" simplePos="0" relativeHeight="251658240" behindDoc="0" locked="1" layoutInCell="1" allowOverlap="1" wp14:anchorId="40A9FAA4" wp14:editId="54012AD0">
            <wp:simplePos x="0" y="0"/>
            <wp:positionH relativeFrom="margin">
              <wp:posOffset>6235700</wp:posOffset>
            </wp:positionH>
            <wp:positionV relativeFrom="margin">
              <wp:posOffset>95250</wp:posOffset>
            </wp:positionV>
            <wp:extent cx="109728" cy="384048"/>
            <wp:effectExtent l="0" t="0" r="508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09728" cy="384048"/>
                    </a:xfrm>
                    <a:prstGeom prst="rect">
                      <a:avLst/>
                    </a:prstGeom>
                    <a:noFill/>
                  </pic:spPr>
                </pic:pic>
              </a:graphicData>
            </a:graphic>
            <wp14:sizeRelH relativeFrom="margin">
              <wp14:pctWidth>0</wp14:pctWidth>
            </wp14:sizeRelH>
            <wp14:sizeRelV relativeFrom="margin">
              <wp14:pctHeight>0</wp14:pctHeight>
            </wp14:sizeRelV>
          </wp:anchor>
        </w:drawing>
      </w:r>
      <w:r w:rsidR="00744B4B">
        <w:rPr>
          <w:noProof/>
        </w:rPr>
        <w:drawing>
          <wp:anchor distT="0" distB="0" distL="114300" distR="114300" simplePos="0" relativeHeight="251658242" behindDoc="0" locked="1" layoutInCell="1" allowOverlap="1" wp14:anchorId="4BD4411B" wp14:editId="28D296F4">
            <wp:simplePos x="0" y="0"/>
            <wp:positionH relativeFrom="margin">
              <wp:posOffset>6235700</wp:posOffset>
            </wp:positionH>
            <wp:positionV relativeFrom="margin">
              <wp:posOffset>95250</wp:posOffset>
            </wp:positionV>
            <wp:extent cx="109728" cy="384048"/>
            <wp:effectExtent l="0" t="0" r="508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09728" cy="384048"/>
                    </a:xfrm>
                    <a:prstGeom prst="rect">
                      <a:avLst/>
                    </a:prstGeom>
                    <a:noFill/>
                  </pic:spPr>
                </pic:pic>
              </a:graphicData>
            </a:graphic>
            <wp14:sizeRelH relativeFrom="margin">
              <wp14:pctWidth>0</wp14:pctWidth>
            </wp14:sizeRelH>
            <wp14:sizeRelV relativeFrom="margin">
              <wp14:pctHeight>0</wp14:pctHeight>
            </wp14:sizeRelV>
          </wp:anchor>
        </w:drawing>
      </w:r>
      <w:fldSimple w:instr="STYLEREF  &quot;Cover date&quot;  \* MERGEFORMAT">
        <w:r w:rsidR="00CA68EF">
          <w:rPr>
            <w:noProof/>
          </w:rPr>
          <w:t>May 07, 2026</w:t>
        </w:r>
      </w:fldSimple>
    </w:p>
    <w:p w14:paraId="480D2866" w14:textId="77777777" w:rsidR="00D347C0" w:rsidRDefault="00A137CB" w:rsidP="00D347C0">
      <w:pPr>
        <w:pStyle w:val="LetterContractingOfficerAddress"/>
      </w:pPr>
      <w:r w:rsidRPr="00A137CB">
        <w:t>Amberly Kovalick</w:t>
      </w:r>
      <w:r w:rsidR="006247D0">
        <w:t xml:space="preserve">, </w:t>
      </w:r>
      <w:r w:rsidR="00FA5B47" w:rsidRPr="00FA5B47">
        <w:t>Contracting Officer</w:t>
      </w:r>
    </w:p>
    <w:p w14:paraId="3BD39BD5" w14:textId="77777777" w:rsidR="00FA5B47" w:rsidRDefault="006247D0" w:rsidP="00D347C0">
      <w:pPr>
        <w:pStyle w:val="LetterContractingOfficerAddress"/>
      </w:pPr>
      <w:r w:rsidRPr="006247D0">
        <w:t xml:space="preserve">Megan </w:t>
      </w:r>
      <w:proofErr w:type="spellStart"/>
      <w:r w:rsidRPr="006247D0">
        <w:t>Famodu</w:t>
      </w:r>
      <w:proofErr w:type="spellEnd"/>
      <w:r w:rsidRPr="006247D0">
        <w:t>, Contract Specialist</w:t>
      </w:r>
    </w:p>
    <w:p w14:paraId="400E1EDC" w14:textId="77777777" w:rsidR="006247D0" w:rsidRDefault="006247D0" w:rsidP="006247D0">
      <w:pPr>
        <w:pStyle w:val="LetterContractingOfficerAddress"/>
      </w:pPr>
      <w:r>
        <w:t>DIV OF MEDICARE &amp; MARKETPLACE CONTRACTS,</w:t>
      </w:r>
    </w:p>
    <w:p w14:paraId="78C2A7A6" w14:textId="77777777" w:rsidR="006247D0" w:rsidRDefault="006247D0" w:rsidP="006247D0">
      <w:pPr>
        <w:pStyle w:val="LetterContractingOfficerAddress"/>
      </w:pPr>
      <w:r>
        <w:t>CMS - OAGM</w:t>
      </w:r>
    </w:p>
    <w:p w14:paraId="5EA68151" w14:textId="77777777" w:rsidR="006247D0" w:rsidRDefault="006247D0" w:rsidP="006247D0">
      <w:pPr>
        <w:pStyle w:val="LetterContractingOfficerAddress"/>
      </w:pPr>
      <w:r>
        <w:t>7500 SECURITY BOULEVARD, MS: B3-30-03</w:t>
      </w:r>
    </w:p>
    <w:p w14:paraId="34BBDD90" w14:textId="77777777" w:rsidR="00D347C0" w:rsidRDefault="006247D0" w:rsidP="006247D0">
      <w:pPr>
        <w:pStyle w:val="LetterContractingOfficerAddress"/>
      </w:pPr>
      <w:r>
        <w:t>BALTIMORE, MD 21244-1850</w:t>
      </w:r>
    </w:p>
    <w:tbl>
      <w:tblPr>
        <w:tblW w:w="0" w:type="auto"/>
        <w:tblCellMar>
          <w:top w:w="360" w:type="dxa"/>
          <w:left w:w="0" w:type="dxa"/>
          <w:right w:w="0" w:type="dxa"/>
        </w:tblCellMar>
        <w:tblLook w:val="04A0" w:firstRow="1" w:lastRow="0" w:firstColumn="1" w:lastColumn="0" w:noHBand="0" w:noVBand="1"/>
      </w:tblPr>
      <w:tblGrid>
        <w:gridCol w:w="540"/>
        <w:gridCol w:w="8820"/>
      </w:tblGrid>
      <w:tr w:rsidR="00396D80" w14:paraId="478767DA" w14:textId="77777777" w:rsidTr="007E0D54">
        <w:tc>
          <w:tcPr>
            <w:tcW w:w="540" w:type="dxa"/>
          </w:tcPr>
          <w:p w14:paraId="262FAEB0" w14:textId="77777777" w:rsidR="00396D80" w:rsidRDefault="00396D80" w:rsidP="00396D80">
            <w:pPr>
              <w:pStyle w:val="Lettertext"/>
            </w:pPr>
            <w:r w:rsidRPr="000421FB">
              <w:t>RE</w:t>
            </w:r>
            <w:r w:rsidRPr="00396D80">
              <w:t>:</w:t>
            </w:r>
          </w:p>
        </w:tc>
        <w:tc>
          <w:tcPr>
            <w:tcW w:w="8820" w:type="dxa"/>
          </w:tcPr>
          <w:p w14:paraId="0E4D5375" w14:textId="77777777" w:rsidR="00396D80" w:rsidRDefault="00281226" w:rsidP="00072882">
            <w:pPr>
              <w:pStyle w:val="Lettertext"/>
            </w:pPr>
            <w:fldSimple w:instr="STYLEREF  &quot;Cover RFP Number&quot;  \* MERGEFORMAT">
              <w:r>
                <w:rPr>
                  <w:noProof/>
                </w:rPr>
                <w:t>Request for Proposal (RFP): 75FCMC26Q0068</w:t>
              </w:r>
            </w:fldSimple>
            <w:r w:rsidR="00744B4B">
              <w:rPr>
                <w:noProof/>
              </w:rPr>
              <w:t>,</w:t>
            </w:r>
            <w:r w:rsidR="00744B4B">
              <w:t xml:space="preserve"> </w:t>
            </w:r>
            <w:fldSimple w:instr="STYLEREF  &quot;Cover2_Project Description&quot;  \* MERGEFORMAT">
              <w:r w:rsidR="005A3FD0">
                <w:rPr>
                  <w:noProof/>
                </w:rPr>
                <w:t>CCIIO Enrollment Resolution &amp; Reconciliation (ER&amp;R), Form 1095-A Data Reporting</w:t>
              </w:r>
            </w:fldSimple>
          </w:p>
        </w:tc>
      </w:tr>
    </w:tbl>
    <w:p w14:paraId="30A7E073" w14:textId="77777777" w:rsidR="00396D80" w:rsidRDefault="00396D80" w:rsidP="00396D80">
      <w:pPr>
        <w:pStyle w:val="Lettertext"/>
      </w:pPr>
      <w:r>
        <w:t xml:space="preserve">Dear </w:t>
      </w:r>
      <w:r w:rsidR="002D111E">
        <w:t>Ms. Kovalick and</w:t>
      </w:r>
      <w:r w:rsidR="00F05698">
        <w:t xml:space="preserve"> Ms. </w:t>
      </w:r>
      <w:proofErr w:type="spellStart"/>
      <w:r w:rsidR="002D111E">
        <w:t>Famodu</w:t>
      </w:r>
      <w:proofErr w:type="spellEnd"/>
      <w:r>
        <w:t>:</w:t>
      </w:r>
    </w:p>
    <w:p w14:paraId="335A75D8" w14:textId="77777777" w:rsidR="00744B4B" w:rsidRDefault="00744B4B" w:rsidP="00744B4B">
      <w:pPr>
        <w:pStyle w:val="Lettertext"/>
      </w:pPr>
      <w:r>
        <w:t xml:space="preserve">Deloitte is pleased to submit our proposal to provide Enrollment Resolution &amp; Reconciliation (ER&amp;R), Form 1095-A Data Reporting to the Centers for Medicare &amp; Medicaid Services (CMS). We believe that our submission meets </w:t>
      </w:r>
      <w:proofErr w:type="gramStart"/>
      <w:r>
        <w:t>all of</w:t>
      </w:r>
      <w:proofErr w:type="gramEnd"/>
      <w:r>
        <w:t xml:space="preserve"> the requirements of the </w:t>
      </w:r>
      <w:proofErr w:type="gramStart"/>
      <w:r>
        <w:t>request, and</w:t>
      </w:r>
      <w:proofErr w:type="gramEnd"/>
      <w:r>
        <w:t xml:space="preserve"> demonstrates that Deloitte possesses the required level of skill and experience to perform the Statement of Work (SOW). </w:t>
      </w:r>
      <w:fldSimple w:instr="STYLEREF  &quot;Cover title&quot;  \* MERGEFORMAT">
        <w:r w:rsidR="00C73A0E">
          <w:rPr>
            <w:noProof/>
          </w:rPr>
          <w:t>Centers for Medicare &amp; Medicaid Services (CMS)</w:t>
        </w:r>
      </w:fldSimple>
    </w:p>
    <w:p w14:paraId="30679FAF" w14:textId="77777777" w:rsidR="00744B4B" w:rsidRDefault="00744B4B" w:rsidP="00744B4B">
      <w:pPr>
        <w:pStyle w:val="Lettertext"/>
      </w:pPr>
      <w:r>
        <w:t xml:space="preserve">We are excited by the prospect of working with you, and we hope our proposal conveys our enthusiastic commitment to </w:t>
      </w:r>
      <w:proofErr w:type="gramStart"/>
      <w:r>
        <w:t>provide</w:t>
      </w:r>
      <w:proofErr w:type="gramEnd"/>
      <w:r>
        <w:t xml:space="preserve"> distinctive client service and highly specialized talent </w:t>
      </w:r>
      <w:proofErr w:type="gramStart"/>
      <w:r>
        <w:t>to</w:t>
      </w:r>
      <w:proofErr w:type="gramEnd"/>
      <w:r>
        <w:t xml:space="preserve"> this project. Our submission consists of </w:t>
      </w:r>
      <w:r w:rsidR="004A3E87">
        <w:t xml:space="preserve">4 </w:t>
      </w:r>
      <w:r>
        <w:t xml:space="preserve">volumes: Volume </w:t>
      </w:r>
      <w:r w:rsidR="00412B72">
        <w:t>I</w:t>
      </w:r>
      <w:r w:rsidR="00F05698">
        <w:t xml:space="preserve">: </w:t>
      </w:r>
      <w:r w:rsidR="001F528F">
        <w:t xml:space="preserve">Technical Quote, </w:t>
      </w:r>
      <w:r w:rsidR="00933209">
        <w:t>Volume II: Business Quote,</w:t>
      </w:r>
      <w:r w:rsidR="0069000A">
        <w:t xml:space="preserve"> Volume III: Conflict of Interest</w:t>
      </w:r>
      <w:r w:rsidR="00F05698">
        <w:t>,</w:t>
      </w:r>
      <w:r w:rsidR="00933209">
        <w:t xml:space="preserve"> </w:t>
      </w:r>
      <w:r>
        <w:t xml:space="preserve">and Volume </w:t>
      </w:r>
      <w:r w:rsidR="00803237">
        <w:t>IV</w:t>
      </w:r>
      <w:r w:rsidR="00F05698">
        <w:t xml:space="preserve">: </w:t>
      </w:r>
      <w:r w:rsidR="00E54FEF">
        <w:t>Section 508 Compliance</w:t>
      </w:r>
      <w:r>
        <w:t>.</w:t>
      </w:r>
    </w:p>
    <w:p w14:paraId="1265C99B" w14:textId="77777777" w:rsidR="00D347C0" w:rsidRDefault="00744B4B" w:rsidP="00396D80">
      <w:pPr>
        <w:pStyle w:val="Lettertext"/>
      </w:pPr>
      <w:r>
        <w:t>We look forward to working with you to achieve optimum value to the Centers for Medicare &amp; Medicaid Services (CMS). If you have any questions or require additional information, please contact me at +1 (617) 437-2646. Should you have any contractual questions, please contact Teresa Sage, Contracts Administrator, +1 (571) 814-7707.</w:t>
      </w:r>
      <w:fldSimple w:instr="STYLEREF  &quot;Cover title&quot;  \* MERGEFORMAT">
        <w:r w:rsidR="00E67541">
          <w:rPr>
            <w:noProof/>
          </w:rPr>
          <w:t>Centers for Medicare &amp; Medicaid Services (CMS)</w:t>
        </w:r>
      </w:fldSimple>
    </w:p>
    <w:p w14:paraId="65F3E84B" w14:textId="77777777" w:rsidR="00A52F22" w:rsidRDefault="00396D80" w:rsidP="00396D80">
      <w:pPr>
        <w:pStyle w:val="Lettertext"/>
      </w:pPr>
      <w:r>
        <w:t>Sincerely,</w:t>
      </w:r>
    </w:p>
    <w:p w14:paraId="238D2524" w14:textId="77777777" w:rsidR="00810A93" w:rsidRPr="00810A93" w:rsidRDefault="00E67541" w:rsidP="00396D80">
      <w:pPr>
        <w:pStyle w:val="Lettertext"/>
        <w:rPr>
          <w:noProof/>
        </w:rPr>
      </w:pPr>
      <w:fldSimple w:instr="STYLEREF  &quot;Cover 2_PPD&quot;  \* MERGEFORMAT">
        <w:r w:rsidRPr="00E67541">
          <w:rPr>
            <w:noProof/>
          </w:rPr>
          <w:t>Matt Siegel, Managing Director</w:t>
        </w:r>
        <w:r w:rsidR="00AB778D" w:rsidRPr="00810A93">
          <w:rPr>
            <w:noProof/>
          </w:rPr>
          <w:t xml:space="preserve"/>
        </w:r>
      </w:fldSimple>
    </w:p>
    <w:p w14:paraId="78D69C22" w14:textId="77777777" w:rsidR="00396D80" w:rsidRDefault="00E67541" w:rsidP="00396D80">
      <w:pPr>
        <w:pStyle w:val="Lettertext"/>
      </w:pPr>
      <w:fldSimple w:instr="STYLEREF  &quot;Cover FSS Entity Name&quot;  \* MERGEFORMAT">
        <w:r>
          <w:rPr>
            <w:noProof/>
          </w:rPr>
          <w:t>Deloitte Consulting LLP</w:t>
        </w:r>
      </w:fldSimple>
    </w:p>
    <w:p w14:paraId="5C30BE2F" w14:textId="77777777" w:rsidR="002105BC" w:rsidRDefault="002105BC" w:rsidP="00396D80">
      <w:pPr>
        <w:pStyle w:val="Lettertext"/>
        <w:sectPr w:rsidR="002105BC" w:rsidSect="000B1BCE">
          <w:headerReference w:type="first" r:id="rId19"/>
          <w:footerReference w:type="first" r:id="rId20"/>
          <w:pgSz w:w="12240" w:h="15840" w:code="1"/>
          <w:pgMar w:top="1440" w:right="1440" w:bottom="1440" w:left="1440" w:header="720" w:footer="576" w:gutter="0"/>
          <w:pgNumType w:fmt="lowerLetter" w:start="1"/>
          <w:cols w:space="720"/>
          <w:titlePg/>
          <w:docGrid w:linePitch="360"/>
        </w:sectPr>
      </w:pPr>
    </w:p>
    <w:p w14:paraId="54FCF866" w14:textId="77777777" w:rsidR="00C024BF" w:rsidRPr="003E53B9" w:rsidRDefault="00C024BF" w:rsidP="002105BC">
      <w:pPr>
        <w:pStyle w:val="HeadingNoTOC"/>
      </w:pPr>
      <w:r w:rsidRPr="003E53B9">
        <w:lastRenderedPageBreak/>
        <w:t>Table of Contents</w:t>
      </w:r>
    </w:p>
    <w:p w14:paraId="1AFE82AB" w14:textId="3D8FC94D" w:rsidR="00EC1036" w:rsidRDefault="00381F1F">
      <w:pPr>
        <w:pStyle w:val="TOC1"/>
        <w:rPr>
          <w:rFonts w:asciiTheme="minorHAnsi" w:eastAsiaTheme="minorEastAsia" w:hAnsiTheme="minorHAnsi" w:cstheme="minorBidi"/>
          <w:kern w:val="2"/>
          <w14:ligatures w14:val="standardContextual"/>
        </w:rPr>
      </w:pPr>
      <w:r>
        <w:rPr>
          <w:b/>
        </w:rPr>
        <w:fldChar w:fldCharType="begin"/>
      </w:r>
      <w:r w:rsidR="00C024BF">
        <w:instrText xml:space="preserve"> TOC \o "1-3" \h \z \u </w:instrText>
      </w:r>
      <w:r>
        <w:rPr>
          <w:b/>
        </w:rPr>
        <w:fldChar w:fldCharType="separate"/>
      </w:r>
      <w:hyperlink w:anchor="_Toc228252905" w:history="1">
        <w:r w:rsidR="00EC1036" w:rsidRPr="00A9478A">
          <w:rPr>
            <w:rStyle w:val="Hyperlink"/>
          </w:rPr>
          <w:t>1.0</w:t>
        </w:r>
        <w:r w:rsidR="00EC1036">
          <w:rPr>
            <w:rFonts w:asciiTheme="minorHAnsi" w:eastAsiaTheme="minorEastAsia" w:hAnsiTheme="minorHAnsi" w:cstheme="minorBidi"/>
            <w:kern w:val="2"/>
            <w14:ligatures w14:val="standardContextual"/>
          </w:rPr>
          <w:tab/>
        </w:r>
        <w:r w:rsidR="00EC1036" w:rsidRPr="00A9478A">
          <w:rPr>
            <w:rStyle w:val="Hyperlink"/>
          </w:rPr>
          <w:t>Section 1: Technical Understanding and Approach (Total 40 Pages)</w:t>
        </w:r>
        <w:r w:rsidR="00EC1036">
          <w:rPr>
            <w:webHidden/>
          </w:rPr>
          <w:tab/>
        </w:r>
        <w:r w:rsidR="00EC1036">
          <w:rPr>
            <w:webHidden/>
          </w:rPr>
          <w:fldChar w:fldCharType="begin"/>
        </w:r>
        <w:r w:rsidR="00EC1036">
          <w:rPr>
            <w:webHidden/>
          </w:rPr>
          <w:instrText xml:space="preserve"> PAGEREF _Toc228252905 \h </w:instrText>
        </w:r>
        <w:r w:rsidR="00EC1036">
          <w:rPr>
            <w:webHidden/>
          </w:rPr>
        </w:r>
        <w:r w:rsidR="00EC1036">
          <w:rPr>
            <w:webHidden/>
          </w:rPr>
          <w:fldChar w:fldCharType="separate"/>
        </w:r>
        <w:r w:rsidR="00EC1036">
          <w:rPr>
            <w:webHidden/>
          </w:rPr>
          <w:t>2</w:t>
        </w:r>
        <w:r w:rsidR="00EC1036">
          <w:rPr>
            <w:webHidden/>
          </w:rPr>
          <w:fldChar w:fldCharType="end"/>
        </w:r>
      </w:hyperlink>
    </w:p>
    <w:p w14:paraId="30E78941" w14:textId="07CFB08C" w:rsidR="00EC1036" w:rsidRDefault="00EC1036">
      <w:pPr>
        <w:pStyle w:val="TOC2"/>
        <w:tabs>
          <w:tab w:val="left" w:pos="1094"/>
        </w:tabs>
        <w:rPr>
          <w:rFonts w:asciiTheme="minorHAnsi" w:eastAsiaTheme="minorEastAsia" w:hAnsiTheme="minorHAnsi" w:cstheme="minorBidi"/>
          <w:kern w:val="2"/>
          <w14:ligatures w14:val="standardContextual"/>
        </w:rPr>
      </w:pPr>
      <w:hyperlink w:anchor="_Toc228252906" w:history="1">
        <w:r w:rsidRPr="00A9478A">
          <w:rPr>
            <w:rStyle w:val="Hyperlink"/>
          </w:rPr>
          <w:t>1.1</w:t>
        </w:r>
        <w:r>
          <w:rPr>
            <w:rFonts w:asciiTheme="minorHAnsi" w:eastAsiaTheme="minorEastAsia" w:hAnsiTheme="minorHAnsi" w:cstheme="minorBidi"/>
            <w:kern w:val="2"/>
            <w14:ligatures w14:val="standardContextual"/>
          </w:rPr>
          <w:tab/>
        </w:r>
        <w:r w:rsidRPr="00A9478A">
          <w:rPr>
            <w:rStyle w:val="Hyperlink"/>
          </w:rPr>
          <w:t>Sub-Section 1A: Understanding of CMS’ Program and Acquisition Objectives (1 Page)</w:t>
        </w:r>
        <w:r>
          <w:rPr>
            <w:webHidden/>
          </w:rPr>
          <w:tab/>
        </w:r>
        <w:r>
          <w:rPr>
            <w:webHidden/>
          </w:rPr>
          <w:fldChar w:fldCharType="begin"/>
        </w:r>
        <w:r>
          <w:rPr>
            <w:webHidden/>
          </w:rPr>
          <w:instrText xml:space="preserve"> PAGEREF _Toc228252906 \h </w:instrText>
        </w:r>
        <w:r>
          <w:rPr>
            <w:webHidden/>
          </w:rPr>
        </w:r>
        <w:r>
          <w:rPr>
            <w:webHidden/>
          </w:rPr>
          <w:fldChar w:fldCharType="separate"/>
        </w:r>
        <w:r>
          <w:rPr>
            <w:webHidden/>
          </w:rPr>
          <w:t>2</w:t>
        </w:r>
        <w:r>
          <w:rPr>
            <w:webHidden/>
          </w:rPr>
          <w:fldChar w:fldCharType="end"/>
        </w:r>
      </w:hyperlink>
    </w:p>
    <w:p w14:paraId="3D893FC1" w14:textId="3C05E81B" w:rsidR="00EC1036" w:rsidRDefault="00EC1036">
      <w:pPr>
        <w:pStyle w:val="TOC2"/>
        <w:tabs>
          <w:tab w:val="left" w:pos="1094"/>
        </w:tabs>
        <w:rPr>
          <w:rFonts w:asciiTheme="minorHAnsi" w:eastAsiaTheme="minorEastAsia" w:hAnsiTheme="minorHAnsi" w:cstheme="minorBidi"/>
          <w:kern w:val="2"/>
          <w14:ligatures w14:val="standardContextual"/>
        </w:rPr>
      </w:pPr>
      <w:hyperlink w:anchor="_Toc228252907" w:history="1">
        <w:r w:rsidRPr="00A9478A">
          <w:rPr>
            <w:rStyle w:val="Hyperlink"/>
          </w:rPr>
          <w:t>1.2</w:t>
        </w:r>
        <w:r>
          <w:rPr>
            <w:rFonts w:asciiTheme="minorHAnsi" w:eastAsiaTheme="minorEastAsia" w:hAnsiTheme="minorHAnsi" w:cstheme="minorBidi"/>
            <w:kern w:val="2"/>
            <w14:ligatures w14:val="standardContextual"/>
          </w:rPr>
          <w:tab/>
        </w:r>
        <w:r w:rsidRPr="00A9478A">
          <w:rPr>
            <w:rStyle w:val="Hyperlink"/>
          </w:rPr>
          <w:t>Sub-Section 1B: Approach to Performing the Requirements in the SOW (Total 18 Pages)</w:t>
        </w:r>
        <w:r>
          <w:rPr>
            <w:webHidden/>
          </w:rPr>
          <w:tab/>
        </w:r>
        <w:r>
          <w:rPr>
            <w:webHidden/>
          </w:rPr>
          <w:fldChar w:fldCharType="begin"/>
        </w:r>
        <w:r>
          <w:rPr>
            <w:webHidden/>
          </w:rPr>
          <w:instrText xml:space="preserve"> PAGEREF _Toc228252907 \h </w:instrText>
        </w:r>
        <w:r>
          <w:rPr>
            <w:webHidden/>
          </w:rPr>
        </w:r>
        <w:r>
          <w:rPr>
            <w:webHidden/>
          </w:rPr>
          <w:fldChar w:fldCharType="separate"/>
        </w:r>
        <w:r>
          <w:rPr>
            <w:webHidden/>
          </w:rPr>
          <w:t>3</w:t>
        </w:r>
        <w:r>
          <w:rPr>
            <w:webHidden/>
          </w:rPr>
          <w:fldChar w:fldCharType="end"/>
        </w:r>
      </w:hyperlink>
    </w:p>
    <w:p w14:paraId="555FB158" w14:textId="06E18E9A" w:rsidR="00EC1036" w:rsidRDefault="00EC1036">
      <w:pPr>
        <w:pStyle w:val="TOC3"/>
        <w:tabs>
          <w:tab w:val="left" w:pos="1800"/>
        </w:tabs>
        <w:rPr>
          <w:rFonts w:asciiTheme="minorHAnsi" w:eastAsiaTheme="minorEastAsia" w:hAnsiTheme="minorHAnsi" w:cstheme="minorBidi"/>
          <w:kern w:val="2"/>
          <w14:ligatures w14:val="standardContextual"/>
        </w:rPr>
      </w:pPr>
      <w:hyperlink w:anchor="_Toc228252908" w:history="1">
        <w:r w:rsidRPr="00A9478A">
          <w:rPr>
            <w:rStyle w:val="Hyperlink"/>
          </w:rPr>
          <w:t>1.2.1</w:t>
        </w:r>
        <w:r>
          <w:rPr>
            <w:rFonts w:asciiTheme="minorHAnsi" w:eastAsiaTheme="minorEastAsia" w:hAnsiTheme="minorHAnsi" w:cstheme="minorBidi"/>
            <w:kern w:val="2"/>
            <w14:ligatures w14:val="standardContextual"/>
          </w:rPr>
          <w:tab/>
        </w:r>
        <w:r w:rsidRPr="00A9478A">
          <w:rPr>
            <w:rStyle w:val="Hyperlink"/>
          </w:rPr>
          <w:t xml:space="preserve">Task 2: ER&amp;R Issuer Disputes </w:t>
        </w:r>
        <w:r w:rsidRPr="00A9478A">
          <w:rPr>
            <w:rStyle w:val="Hyperlink"/>
            <w:vertAlign w:val="superscript"/>
          </w:rPr>
          <w:t>(SOW 3.2)</w:t>
        </w:r>
        <w:r w:rsidRPr="00A9478A">
          <w:rPr>
            <w:rStyle w:val="Hyperlink"/>
          </w:rPr>
          <w:t xml:space="preserve"> (2 Pages)</w:t>
        </w:r>
        <w:r>
          <w:rPr>
            <w:webHidden/>
          </w:rPr>
          <w:tab/>
        </w:r>
        <w:r>
          <w:rPr>
            <w:webHidden/>
          </w:rPr>
          <w:fldChar w:fldCharType="begin"/>
        </w:r>
        <w:r>
          <w:rPr>
            <w:webHidden/>
          </w:rPr>
          <w:instrText xml:space="preserve"> PAGEREF _Toc228252908 \h </w:instrText>
        </w:r>
        <w:r>
          <w:rPr>
            <w:webHidden/>
          </w:rPr>
        </w:r>
        <w:r>
          <w:rPr>
            <w:webHidden/>
          </w:rPr>
          <w:fldChar w:fldCharType="separate"/>
        </w:r>
        <w:r>
          <w:rPr>
            <w:webHidden/>
          </w:rPr>
          <w:t>3</w:t>
        </w:r>
        <w:r>
          <w:rPr>
            <w:webHidden/>
          </w:rPr>
          <w:fldChar w:fldCharType="end"/>
        </w:r>
      </w:hyperlink>
    </w:p>
    <w:p w14:paraId="53235BD4" w14:textId="258F0A2B" w:rsidR="00EC1036" w:rsidRDefault="00EC1036">
      <w:pPr>
        <w:pStyle w:val="TOC3"/>
        <w:tabs>
          <w:tab w:val="left" w:pos="1800"/>
        </w:tabs>
        <w:rPr>
          <w:rFonts w:asciiTheme="minorHAnsi" w:eastAsiaTheme="minorEastAsia" w:hAnsiTheme="minorHAnsi" w:cstheme="minorBidi"/>
          <w:kern w:val="2"/>
          <w14:ligatures w14:val="standardContextual"/>
        </w:rPr>
      </w:pPr>
      <w:hyperlink w:anchor="_Toc228252909" w:history="1">
        <w:r w:rsidRPr="00A9478A">
          <w:rPr>
            <w:rStyle w:val="Hyperlink"/>
          </w:rPr>
          <w:t>1.2.2</w:t>
        </w:r>
        <w:r>
          <w:rPr>
            <w:rFonts w:asciiTheme="minorHAnsi" w:eastAsiaTheme="minorEastAsia" w:hAnsiTheme="minorHAnsi" w:cstheme="minorBidi"/>
            <w:kern w:val="2"/>
            <w14:ligatures w14:val="standardContextual"/>
          </w:rPr>
          <w:tab/>
        </w:r>
        <w:r w:rsidRPr="00A9478A">
          <w:rPr>
            <w:rStyle w:val="Hyperlink"/>
          </w:rPr>
          <w:t xml:space="preserve">Task 3: Form 1095-A Consumer Disputes </w:t>
        </w:r>
        <w:r w:rsidRPr="00A9478A">
          <w:rPr>
            <w:rStyle w:val="Hyperlink"/>
            <w:vertAlign w:val="superscript"/>
          </w:rPr>
          <w:t>(SOW 3.3)</w:t>
        </w:r>
        <w:r w:rsidRPr="00A9478A">
          <w:rPr>
            <w:rStyle w:val="Hyperlink"/>
          </w:rPr>
          <w:t xml:space="preserve"> (2 Pages)</w:t>
        </w:r>
        <w:r>
          <w:rPr>
            <w:webHidden/>
          </w:rPr>
          <w:tab/>
        </w:r>
        <w:r>
          <w:rPr>
            <w:webHidden/>
          </w:rPr>
          <w:fldChar w:fldCharType="begin"/>
        </w:r>
        <w:r>
          <w:rPr>
            <w:webHidden/>
          </w:rPr>
          <w:instrText xml:space="preserve"> PAGEREF _Toc228252909 \h </w:instrText>
        </w:r>
        <w:r>
          <w:rPr>
            <w:webHidden/>
          </w:rPr>
        </w:r>
        <w:r>
          <w:rPr>
            <w:webHidden/>
          </w:rPr>
          <w:fldChar w:fldCharType="separate"/>
        </w:r>
        <w:r>
          <w:rPr>
            <w:webHidden/>
          </w:rPr>
          <w:t>11</w:t>
        </w:r>
        <w:r>
          <w:rPr>
            <w:webHidden/>
          </w:rPr>
          <w:fldChar w:fldCharType="end"/>
        </w:r>
      </w:hyperlink>
    </w:p>
    <w:p w14:paraId="0E86AC36" w14:textId="575ECE4E" w:rsidR="00EC1036" w:rsidRDefault="00EC1036">
      <w:pPr>
        <w:pStyle w:val="TOC3"/>
        <w:tabs>
          <w:tab w:val="left" w:pos="1800"/>
        </w:tabs>
        <w:rPr>
          <w:rFonts w:asciiTheme="minorHAnsi" w:eastAsiaTheme="minorEastAsia" w:hAnsiTheme="minorHAnsi" w:cstheme="minorBidi"/>
          <w:kern w:val="2"/>
          <w14:ligatures w14:val="standardContextual"/>
        </w:rPr>
      </w:pPr>
      <w:hyperlink w:anchor="_Toc228252910" w:history="1">
        <w:r w:rsidRPr="00A9478A">
          <w:rPr>
            <w:rStyle w:val="Hyperlink"/>
          </w:rPr>
          <w:t>1.2.3</w:t>
        </w:r>
        <w:r>
          <w:rPr>
            <w:rFonts w:asciiTheme="minorHAnsi" w:eastAsiaTheme="minorEastAsia" w:hAnsiTheme="minorHAnsi" w:cstheme="minorBidi"/>
            <w:kern w:val="2"/>
            <w14:ligatures w14:val="standardContextual"/>
          </w:rPr>
          <w:tab/>
        </w:r>
        <w:r w:rsidRPr="00A9478A">
          <w:rPr>
            <w:rStyle w:val="Hyperlink"/>
          </w:rPr>
          <w:t xml:space="preserve">Task 4: Complex Case Help Center (CCHC) </w:t>
        </w:r>
        <w:r w:rsidRPr="00A9478A">
          <w:rPr>
            <w:rStyle w:val="Hyperlink"/>
            <w:vertAlign w:val="superscript"/>
          </w:rPr>
          <w:t>(SOW 3.4)</w:t>
        </w:r>
        <w:r w:rsidRPr="00A9478A">
          <w:rPr>
            <w:rStyle w:val="Hyperlink"/>
          </w:rPr>
          <w:t xml:space="preserve"> (2.5 Pages)</w:t>
        </w:r>
        <w:r>
          <w:rPr>
            <w:webHidden/>
          </w:rPr>
          <w:tab/>
        </w:r>
        <w:r>
          <w:rPr>
            <w:webHidden/>
          </w:rPr>
          <w:fldChar w:fldCharType="begin"/>
        </w:r>
        <w:r>
          <w:rPr>
            <w:webHidden/>
          </w:rPr>
          <w:instrText xml:space="preserve"> PAGEREF _Toc228252910 \h </w:instrText>
        </w:r>
        <w:r>
          <w:rPr>
            <w:webHidden/>
          </w:rPr>
        </w:r>
        <w:r>
          <w:rPr>
            <w:webHidden/>
          </w:rPr>
          <w:fldChar w:fldCharType="separate"/>
        </w:r>
        <w:r>
          <w:rPr>
            <w:webHidden/>
          </w:rPr>
          <w:t>16</w:t>
        </w:r>
        <w:r>
          <w:rPr>
            <w:webHidden/>
          </w:rPr>
          <w:fldChar w:fldCharType="end"/>
        </w:r>
      </w:hyperlink>
    </w:p>
    <w:p w14:paraId="5F893F13" w14:textId="5FF6FBEA" w:rsidR="00EC1036" w:rsidRDefault="00EC1036">
      <w:pPr>
        <w:pStyle w:val="TOC3"/>
        <w:tabs>
          <w:tab w:val="left" w:pos="1800"/>
        </w:tabs>
        <w:rPr>
          <w:rFonts w:asciiTheme="minorHAnsi" w:eastAsiaTheme="minorEastAsia" w:hAnsiTheme="minorHAnsi" w:cstheme="minorBidi"/>
          <w:kern w:val="2"/>
          <w14:ligatures w14:val="standardContextual"/>
        </w:rPr>
      </w:pPr>
      <w:hyperlink w:anchor="_Toc228252911" w:history="1">
        <w:r w:rsidRPr="00A9478A">
          <w:rPr>
            <w:rStyle w:val="Hyperlink"/>
          </w:rPr>
          <w:t>1.2.4</w:t>
        </w:r>
        <w:r>
          <w:rPr>
            <w:rFonts w:asciiTheme="minorHAnsi" w:eastAsiaTheme="minorEastAsia" w:hAnsiTheme="minorHAnsi" w:cstheme="minorBidi"/>
            <w:kern w:val="2"/>
            <w14:ligatures w14:val="standardContextual"/>
          </w:rPr>
          <w:tab/>
        </w:r>
        <w:r w:rsidRPr="00A9478A">
          <w:rPr>
            <w:rStyle w:val="Hyperlink"/>
          </w:rPr>
          <w:t xml:space="preserve">Task 5: Updating the FFE </w:t>
        </w:r>
        <w:r w:rsidRPr="00A9478A">
          <w:rPr>
            <w:rStyle w:val="Hyperlink"/>
            <w:vertAlign w:val="superscript"/>
          </w:rPr>
          <w:t>(SOW 3.5)</w:t>
        </w:r>
        <w:r w:rsidRPr="00A9478A">
          <w:rPr>
            <w:rStyle w:val="Hyperlink"/>
          </w:rPr>
          <w:t xml:space="preserve"> (0.5 Pages)</w:t>
        </w:r>
        <w:r>
          <w:rPr>
            <w:webHidden/>
          </w:rPr>
          <w:tab/>
        </w:r>
        <w:r>
          <w:rPr>
            <w:webHidden/>
          </w:rPr>
          <w:fldChar w:fldCharType="begin"/>
        </w:r>
        <w:r>
          <w:rPr>
            <w:webHidden/>
          </w:rPr>
          <w:instrText xml:space="preserve"> PAGEREF _Toc228252911 \h </w:instrText>
        </w:r>
        <w:r>
          <w:rPr>
            <w:webHidden/>
          </w:rPr>
        </w:r>
        <w:r>
          <w:rPr>
            <w:webHidden/>
          </w:rPr>
          <w:fldChar w:fldCharType="separate"/>
        </w:r>
        <w:r>
          <w:rPr>
            <w:webHidden/>
          </w:rPr>
          <w:t>19</w:t>
        </w:r>
        <w:r>
          <w:rPr>
            <w:webHidden/>
          </w:rPr>
          <w:fldChar w:fldCharType="end"/>
        </w:r>
      </w:hyperlink>
    </w:p>
    <w:p w14:paraId="2F45A33B" w14:textId="12933192" w:rsidR="00EC1036" w:rsidRDefault="00EC1036">
      <w:pPr>
        <w:pStyle w:val="TOC3"/>
        <w:tabs>
          <w:tab w:val="left" w:pos="1800"/>
        </w:tabs>
        <w:rPr>
          <w:rFonts w:asciiTheme="minorHAnsi" w:eastAsiaTheme="minorEastAsia" w:hAnsiTheme="minorHAnsi" w:cstheme="minorBidi"/>
          <w:kern w:val="2"/>
          <w14:ligatures w14:val="standardContextual"/>
        </w:rPr>
      </w:pPr>
      <w:hyperlink w:anchor="_Toc228252912" w:history="1">
        <w:r w:rsidRPr="00A9478A">
          <w:rPr>
            <w:rStyle w:val="Hyperlink"/>
          </w:rPr>
          <w:t>1.2.5</w:t>
        </w:r>
        <w:r>
          <w:rPr>
            <w:rFonts w:asciiTheme="minorHAnsi" w:eastAsiaTheme="minorEastAsia" w:hAnsiTheme="minorHAnsi" w:cstheme="minorBidi"/>
            <w:kern w:val="2"/>
            <w14:ligatures w14:val="standardContextual"/>
          </w:rPr>
          <w:tab/>
        </w:r>
        <w:r w:rsidRPr="00A9478A">
          <w:rPr>
            <w:rStyle w:val="Hyperlink"/>
          </w:rPr>
          <w:t xml:space="preserve">Task 6: Notice Generation </w:t>
        </w:r>
        <w:r w:rsidRPr="00A9478A">
          <w:rPr>
            <w:rStyle w:val="Hyperlink"/>
            <w:vertAlign w:val="superscript"/>
          </w:rPr>
          <w:t>(SOW 3.6)</w:t>
        </w:r>
        <w:r w:rsidRPr="00A9478A">
          <w:rPr>
            <w:rStyle w:val="Hyperlink"/>
          </w:rPr>
          <w:t xml:space="preserve"> (0.5 Pages)</w:t>
        </w:r>
        <w:r>
          <w:rPr>
            <w:webHidden/>
          </w:rPr>
          <w:tab/>
        </w:r>
        <w:r>
          <w:rPr>
            <w:webHidden/>
          </w:rPr>
          <w:fldChar w:fldCharType="begin"/>
        </w:r>
        <w:r>
          <w:rPr>
            <w:webHidden/>
          </w:rPr>
          <w:instrText xml:space="preserve"> PAGEREF _Toc228252912 \h </w:instrText>
        </w:r>
        <w:r>
          <w:rPr>
            <w:webHidden/>
          </w:rPr>
        </w:r>
        <w:r>
          <w:rPr>
            <w:webHidden/>
          </w:rPr>
          <w:fldChar w:fldCharType="separate"/>
        </w:r>
        <w:r>
          <w:rPr>
            <w:webHidden/>
          </w:rPr>
          <w:t>20</w:t>
        </w:r>
        <w:r>
          <w:rPr>
            <w:webHidden/>
          </w:rPr>
          <w:fldChar w:fldCharType="end"/>
        </w:r>
      </w:hyperlink>
    </w:p>
    <w:p w14:paraId="1D93D46B" w14:textId="679D9FAD" w:rsidR="00EC1036" w:rsidRDefault="00EC1036">
      <w:pPr>
        <w:pStyle w:val="TOC3"/>
        <w:tabs>
          <w:tab w:val="left" w:pos="1800"/>
        </w:tabs>
        <w:rPr>
          <w:rFonts w:asciiTheme="minorHAnsi" w:eastAsiaTheme="minorEastAsia" w:hAnsiTheme="minorHAnsi" w:cstheme="minorBidi"/>
          <w:kern w:val="2"/>
          <w14:ligatures w14:val="standardContextual"/>
        </w:rPr>
      </w:pPr>
      <w:hyperlink w:anchor="_Toc228252913" w:history="1">
        <w:r w:rsidRPr="00A9478A">
          <w:rPr>
            <w:rStyle w:val="Hyperlink"/>
          </w:rPr>
          <w:t>1.2.6</w:t>
        </w:r>
        <w:r>
          <w:rPr>
            <w:rFonts w:asciiTheme="minorHAnsi" w:eastAsiaTheme="minorEastAsia" w:hAnsiTheme="minorHAnsi" w:cstheme="minorBidi"/>
            <w:kern w:val="2"/>
            <w14:ligatures w14:val="standardContextual"/>
          </w:rPr>
          <w:tab/>
        </w:r>
        <w:r w:rsidRPr="00A9478A">
          <w:rPr>
            <w:rStyle w:val="Hyperlink"/>
          </w:rPr>
          <w:t xml:space="preserve">Task 7: Telephone and Correspondence Support </w:t>
        </w:r>
        <w:r w:rsidRPr="00A9478A">
          <w:rPr>
            <w:rStyle w:val="Hyperlink"/>
            <w:vertAlign w:val="superscript"/>
          </w:rPr>
          <w:t>(SOW 3.7)</w:t>
        </w:r>
        <w:r w:rsidRPr="00A9478A">
          <w:rPr>
            <w:rStyle w:val="Hyperlink"/>
          </w:rPr>
          <w:t xml:space="preserve"> (2 Pages)</w:t>
        </w:r>
        <w:r>
          <w:rPr>
            <w:webHidden/>
          </w:rPr>
          <w:tab/>
        </w:r>
        <w:r>
          <w:rPr>
            <w:webHidden/>
          </w:rPr>
          <w:fldChar w:fldCharType="begin"/>
        </w:r>
        <w:r>
          <w:rPr>
            <w:webHidden/>
          </w:rPr>
          <w:instrText xml:space="preserve"> PAGEREF _Toc228252913 \h </w:instrText>
        </w:r>
        <w:r>
          <w:rPr>
            <w:webHidden/>
          </w:rPr>
        </w:r>
        <w:r>
          <w:rPr>
            <w:webHidden/>
          </w:rPr>
          <w:fldChar w:fldCharType="separate"/>
        </w:r>
        <w:r>
          <w:rPr>
            <w:webHidden/>
          </w:rPr>
          <w:t>21</w:t>
        </w:r>
        <w:r>
          <w:rPr>
            <w:webHidden/>
          </w:rPr>
          <w:fldChar w:fldCharType="end"/>
        </w:r>
      </w:hyperlink>
    </w:p>
    <w:p w14:paraId="4B48D95F" w14:textId="16B154FD" w:rsidR="00EC1036" w:rsidRDefault="00EC1036">
      <w:pPr>
        <w:pStyle w:val="TOC3"/>
        <w:tabs>
          <w:tab w:val="left" w:pos="1800"/>
        </w:tabs>
        <w:rPr>
          <w:rFonts w:asciiTheme="minorHAnsi" w:eastAsiaTheme="minorEastAsia" w:hAnsiTheme="minorHAnsi" w:cstheme="minorBidi"/>
          <w:kern w:val="2"/>
          <w14:ligatures w14:val="standardContextual"/>
        </w:rPr>
      </w:pPr>
      <w:hyperlink w:anchor="_Toc228252914" w:history="1">
        <w:r w:rsidRPr="00A9478A">
          <w:rPr>
            <w:rStyle w:val="Hyperlink"/>
          </w:rPr>
          <w:t>1.2.7</w:t>
        </w:r>
        <w:r>
          <w:rPr>
            <w:rFonts w:asciiTheme="minorHAnsi" w:eastAsiaTheme="minorEastAsia" w:hAnsiTheme="minorHAnsi" w:cstheme="minorBidi"/>
            <w:kern w:val="2"/>
            <w14:ligatures w14:val="standardContextual"/>
          </w:rPr>
          <w:tab/>
        </w:r>
        <w:r w:rsidRPr="00A9478A">
          <w:rPr>
            <w:rStyle w:val="Hyperlink"/>
          </w:rPr>
          <w:t xml:space="preserve">Task 8: IT Systems </w:t>
        </w:r>
        <w:r w:rsidRPr="00A9478A">
          <w:rPr>
            <w:rStyle w:val="Hyperlink"/>
            <w:vertAlign w:val="superscript"/>
          </w:rPr>
          <w:t>(SOW 3.8)</w:t>
        </w:r>
        <w:r w:rsidRPr="00A9478A">
          <w:rPr>
            <w:rStyle w:val="Hyperlink"/>
          </w:rPr>
          <w:t xml:space="preserve"> (5 Pages)</w:t>
        </w:r>
        <w:r>
          <w:rPr>
            <w:webHidden/>
          </w:rPr>
          <w:tab/>
        </w:r>
        <w:r>
          <w:rPr>
            <w:webHidden/>
          </w:rPr>
          <w:fldChar w:fldCharType="begin"/>
        </w:r>
        <w:r>
          <w:rPr>
            <w:webHidden/>
          </w:rPr>
          <w:instrText xml:space="preserve"> PAGEREF _Toc228252914 \h </w:instrText>
        </w:r>
        <w:r>
          <w:rPr>
            <w:webHidden/>
          </w:rPr>
        </w:r>
        <w:r>
          <w:rPr>
            <w:webHidden/>
          </w:rPr>
          <w:fldChar w:fldCharType="separate"/>
        </w:r>
        <w:r>
          <w:rPr>
            <w:webHidden/>
          </w:rPr>
          <w:t>23</w:t>
        </w:r>
        <w:r>
          <w:rPr>
            <w:webHidden/>
          </w:rPr>
          <w:fldChar w:fldCharType="end"/>
        </w:r>
      </w:hyperlink>
    </w:p>
    <w:p w14:paraId="44C7FCCF" w14:textId="6861E0C1" w:rsidR="00EC1036" w:rsidRDefault="00EC1036">
      <w:pPr>
        <w:pStyle w:val="TOC3"/>
        <w:tabs>
          <w:tab w:val="left" w:pos="1800"/>
        </w:tabs>
        <w:rPr>
          <w:rFonts w:asciiTheme="minorHAnsi" w:eastAsiaTheme="minorEastAsia" w:hAnsiTheme="minorHAnsi" w:cstheme="minorBidi"/>
          <w:kern w:val="2"/>
          <w14:ligatures w14:val="standardContextual"/>
        </w:rPr>
      </w:pPr>
      <w:hyperlink w:anchor="_Toc228252915" w:history="1">
        <w:r w:rsidRPr="00A9478A">
          <w:rPr>
            <w:rStyle w:val="Hyperlink"/>
          </w:rPr>
          <w:t>1.2.8</w:t>
        </w:r>
        <w:r>
          <w:rPr>
            <w:rFonts w:asciiTheme="minorHAnsi" w:eastAsiaTheme="minorEastAsia" w:hAnsiTheme="minorHAnsi" w:cstheme="minorBidi"/>
            <w:kern w:val="2"/>
            <w14:ligatures w14:val="standardContextual"/>
          </w:rPr>
          <w:tab/>
        </w:r>
        <w:r w:rsidRPr="00A9478A">
          <w:rPr>
            <w:rStyle w:val="Hyperlink"/>
          </w:rPr>
          <w:t>Task 9: Standard Operating Procedures (SOPs) Business Requirements and Quality Assurance</w:t>
        </w:r>
        <w:r w:rsidRPr="00A9478A">
          <w:rPr>
            <w:rStyle w:val="Hyperlink"/>
            <w:vertAlign w:val="superscript"/>
          </w:rPr>
          <w:t>(SOW 3.9)</w:t>
        </w:r>
        <w:r w:rsidRPr="00A9478A">
          <w:rPr>
            <w:rStyle w:val="Hyperlink"/>
          </w:rPr>
          <w:t xml:space="preserve"> (2 Pages)</w:t>
        </w:r>
        <w:r>
          <w:rPr>
            <w:webHidden/>
          </w:rPr>
          <w:tab/>
        </w:r>
        <w:r>
          <w:rPr>
            <w:webHidden/>
          </w:rPr>
          <w:fldChar w:fldCharType="begin"/>
        </w:r>
        <w:r>
          <w:rPr>
            <w:webHidden/>
          </w:rPr>
          <w:instrText xml:space="preserve"> PAGEREF _Toc228252915 \h </w:instrText>
        </w:r>
        <w:r>
          <w:rPr>
            <w:webHidden/>
          </w:rPr>
        </w:r>
        <w:r>
          <w:rPr>
            <w:webHidden/>
          </w:rPr>
          <w:fldChar w:fldCharType="separate"/>
        </w:r>
        <w:r>
          <w:rPr>
            <w:webHidden/>
          </w:rPr>
          <w:t>34</w:t>
        </w:r>
        <w:r>
          <w:rPr>
            <w:webHidden/>
          </w:rPr>
          <w:fldChar w:fldCharType="end"/>
        </w:r>
      </w:hyperlink>
    </w:p>
    <w:p w14:paraId="473A6F3C" w14:textId="083BA09F" w:rsidR="00EC1036" w:rsidRDefault="00EC1036">
      <w:pPr>
        <w:pStyle w:val="TOC3"/>
        <w:tabs>
          <w:tab w:val="left" w:pos="1800"/>
        </w:tabs>
        <w:rPr>
          <w:rFonts w:asciiTheme="minorHAnsi" w:eastAsiaTheme="minorEastAsia" w:hAnsiTheme="minorHAnsi" w:cstheme="minorBidi"/>
          <w:kern w:val="2"/>
          <w14:ligatures w14:val="standardContextual"/>
        </w:rPr>
      </w:pPr>
      <w:hyperlink w:anchor="_Toc228252916" w:history="1">
        <w:r w:rsidRPr="00A9478A">
          <w:rPr>
            <w:rStyle w:val="Hyperlink"/>
          </w:rPr>
          <w:t>1.2.9</w:t>
        </w:r>
        <w:r>
          <w:rPr>
            <w:rFonts w:asciiTheme="minorHAnsi" w:eastAsiaTheme="minorEastAsia" w:hAnsiTheme="minorHAnsi" w:cstheme="minorBidi"/>
            <w:kern w:val="2"/>
            <w14:ligatures w14:val="standardContextual"/>
          </w:rPr>
          <w:tab/>
        </w:r>
        <w:r w:rsidRPr="00A9478A">
          <w:rPr>
            <w:rStyle w:val="Hyperlink"/>
          </w:rPr>
          <w:t>Task 10: Ad Hoc Work and Special Projects</w:t>
        </w:r>
        <w:r w:rsidRPr="00A9478A">
          <w:rPr>
            <w:rStyle w:val="Hyperlink"/>
            <w:vertAlign w:val="superscript"/>
          </w:rPr>
          <w:t>(SOW 3.10)</w:t>
        </w:r>
        <w:r w:rsidRPr="00A9478A">
          <w:rPr>
            <w:rStyle w:val="Hyperlink"/>
          </w:rPr>
          <w:t xml:space="preserve"> (1.5 Pages)</w:t>
        </w:r>
        <w:r>
          <w:rPr>
            <w:webHidden/>
          </w:rPr>
          <w:tab/>
        </w:r>
        <w:r>
          <w:rPr>
            <w:webHidden/>
          </w:rPr>
          <w:fldChar w:fldCharType="begin"/>
        </w:r>
        <w:r>
          <w:rPr>
            <w:webHidden/>
          </w:rPr>
          <w:instrText xml:space="preserve"> PAGEREF _Toc228252916 \h </w:instrText>
        </w:r>
        <w:r>
          <w:rPr>
            <w:webHidden/>
          </w:rPr>
        </w:r>
        <w:r>
          <w:rPr>
            <w:webHidden/>
          </w:rPr>
          <w:fldChar w:fldCharType="separate"/>
        </w:r>
        <w:r>
          <w:rPr>
            <w:webHidden/>
          </w:rPr>
          <w:t>37</w:t>
        </w:r>
        <w:r>
          <w:rPr>
            <w:webHidden/>
          </w:rPr>
          <w:fldChar w:fldCharType="end"/>
        </w:r>
      </w:hyperlink>
    </w:p>
    <w:p w14:paraId="27CA2910" w14:textId="3EA368DA" w:rsidR="00EC1036" w:rsidRDefault="00EC1036">
      <w:pPr>
        <w:pStyle w:val="TOC2"/>
        <w:tabs>
          <w:tab w:val="left" w:pos="1094"/>
        </w:tabs>
        <w:rPr>
          <w:rFonts w:asciiTheme="minorHAnsi" w:eastAsiaTheme="minorEastAsia" w:hAnsiTheme="minorHAnsi" w:cstheme="minorBidi"/>
          <w:kern w:val="2"/>
          <w14:ligatures w14:val="standardContextual"/>
        </w:rPr>
      </w:pPr>
      <w:hyperlink w:anchor="_Toc228252917" w:history="1">
        <w:r w:rsidRPr="00A9478A">
          <w:rPr>
            <w:rStyle w:val="Hyperlink"/>
          </w:rPr>
          <w:t>1.3</w:t>
        </w:r>
        <w:r>
          <w:rPr>
            <w:rFonts w:asciiTheme="minorHAnsi" w:eastAsiaTheme="minorEastAsia" w:hAnsiTheme="minorHAnsi" w:cstheme="minorBidi"/>
            <w:kern w:val="2"/>
            <w14:ligatures w14:val="standardContextual"/>
          </w:rPr>
          <w:tab/>
        </w:r>
        <w:r w:rsidRPr="00A9478A">
          <w:rPr>
            <w:rStyle w:val="Hyperlink"/>
          </w:rPr>
          <w:t>Sub-Section 1C: Understanding and Mitigation of Risks (2 Pages)</w:t>
        </w:r>
        <w:r>
          <w:rPr>
            <w:webHidden/>
          </w:rPr>
          <w:tab/>
        </w:r>
        <w:r>
          <w:rPr>
            <w:webHidden/>
          </w:rPr>
          <w:fldChar w:fldCharType="begin"/>
        </w:r>
        <w:r>
          <w:rPr>
            <w:webHidden/>
          </w:rPr>
          <w:instrText xml:space="preserve"> PAGEREF _Toc228252917 \h </w:instrText>
        </w:r>
        <w:r>
          <w:rPr>
            <w:webHidden/>
          </w:rPr>
        </w:r>
        <w:r>
          <w:rPr>
            <w:webHidden/>
          </w:rPr>
          <w:fldChar w:fldCharType="separate"/>
        </w:r>
        <w:r>
          <w:rPr>
            <w:webHidden/>
          </w:rPr>
          <w:t>41</w:t>
        </w:r>
        <w:r>
          <w:rPr>
            <w:webHidden/>
          </w:rPr>
          <w:fldChar w:fldCharType="end"/>
        </w:r>
      </w:hyperlink>
    </w:p>
    <w:p w14:paraId="1196239B" w14:textId="2464BB39" w:rsidR="00EC1036" w:rsidRDefault="00EC1036">
      <w:pPr>
        <w:pStyle w:val="TOC1"/>
        <w:rPr>
          <w:rFonts w:asciiTheme="minorHAnsi" w:eastAsiaTheme="minorEastAsia" w:hAnsiTheme="minorHAnsi" w:cstheme="minorBidi"/>
          <w:kern w:val="2"/>
          <w14:ligatures w14:val="standardContextual"/>
        </w:rPr>
      </w:pPr>
      <w:hyperlink w:anchor="_Toc228252918" w:history="1">
        <w:r w:rsidRPr="00A9478A">
          <w:rPr>
            <w:rStyle w:val="Hyperlink"/>
          </w:rPr>
          <w:t>2.0</w:t>
        </w:r>
        <w:r>
          <w:rPr>
            <w:rFonts w:asciiTheme="minorHAnsi" w:eastAsiaTheme="minorEastAsia" w:hAnsiTheme="minorHAnsi" w:cstheme="minorBidi"/>
            <w:kern w:val="2"/>
            <w14:ligatures w14:val="standardContextual"/>
          </w:rPr>
          <w:tab/>
        </w:r>
        <w:r w:rsidRPr="00A9478A">
          <w:rPr>
            <w:rStyle w:val="Hyperlink"/>
          </w:rPr>
          <w:t>Section 2: Management Approach, Quality Assurance and Surveillance Plan, and Staffing Plan (Total 11 Pages)</w:t>
        </w:r>
        <w:r>
          <w:rPr>
            <w:webHidden/>
          </w:rPr>
          <w:tab/>
        </w:r>
        <w:r>
          <w:rPr>
            <w:webHidden/>
          </w:rPr>
          <w:fldChar w:fldCharType="begin"/>
        </w:r>
        <w:r>
          <w:rPr>
            <w:webHidden/>
          </w:rPr>
          <w:instrText xml:space="preserve"> PAGEREF _Toc228252918 \h </w:instrText>
        </w:r>
        <w:r>
          <w:rPr>
            <w:webHidden/>
          </w:rPr>
        </w:r>
        <w:r>
          <w:rPr>
            <w:webHidden/>
          </w:rPr>
          <w:fldChar w:fldCharType="separate"/>
        </w:r>
        <w:r>
          <w:rPr>
            <w:webHidden/>
          </w:rPr>
          <w:t>48</w:t>
        </w:r>
        <w:r>
          <w:rPr>
            <w:webHidden/>
          </w:rPr>
          <w:fldChar w:fldCharType="end"/>
        </w:r>
      </w:hyperlink>
    </w:p>
    <w:p w14:paraId="47E0AE26" w14:textId="11026048" w:rsidR="00EC1036" w:rsidRDefault="00EC1036">
      <w:pPr>
        <w:pStyle w:val="TOC2"/>
        <w:tabs>
          <w:tab w:val="left" w:pos="1094"/>
        </w:tabs>
        <w:rPr>
          <w:rFonts w:asciiTheme="minorHAnsi" w:eastAsiaTheme="minorEastAsia" w:hAnsiTheme="minorHAnsi" w:cstheme="minorBidi"/>
          <w:kern w:val="2"/>
          <w14:ligatures w14:val="standardContextual"/>
        </w:rPr>
      </w:pPr>
      <w:hyperlink w:anchor="_Toc228252919" w:history="1">
        <w:r w:rsidRPr="00A9478A">
          <w:rPr>
            <w:rStyle w:val="Hyperlink"/>
          </w:rPr>
          <w:t>2.1</w:t>
        </w:r>
        <w:r>
          <w:rPr>
            <w:rFonts w:asciiTheme="minorHAnsi" w:eastAsiaTheme="minorEastAsia" w:hAnsiTheme="minorHAnsi" w:cstheme="minorBidi"/>
            <w:kern w:val="2"/>
            <w14:ligatures w14:val="standardContextual"/>
          </w:rPr>
          <w:tab/>
        </w:r>
        <w:r w:rsidRPr="00A9478A">
          <w:rPr>
            <w:rStyle w:val="Hyperlink"/>
          </w:rPr>
          <w:t>Sub-Section 2A: Management Approach (6 Pages)</w:t>
        </w:r>
        <w:r>
          <w:rPr>
            <w:webHidden/>
          </w:rPr>
          <w:tab/>
        </w:r>
        <w:r>
          <w:rPr>
            <w:webHidden/>
          </w:rPr>
          <w:fldChar w:fldCharType="begin"/>
        </w:r>
        <w:r>
          <w:rPr>
            <w:webHidden/>
          </w:rPr>
          <w:instrText xml:space="preserve"> PAGEREF _Toc228252919 \h </w:instrText>
        </w:r>
        <w:r>
          <w:rPr>
            <w:webHidden/>
          </w:rPr>
        </w:r>
        <w:r>
          <w:rPr>
            <w:webHidden/>
          </w:rPr>
          <w:fldChar w:fldCharType="separate"/>
        </w:r>
        <w:r>
          <w:rPr>
            <w:webHidden/>
          </w:rPr>
          <w:t>48</w:t>
        </w:r>
        <w:r>
          <w:rPr>
            <w:webHidden/>
          </w:rPr>
          <w:fldChar w:fldCharType="end"/>
        </w:r>
      </w:hyperlink>
    </w:p>
    <w:p w14:paraId="1185D487" w14:textId="2BDED72E" w:rsidR="00EC1036" w:rsidRDefault="00EC1036">
      <w:pPr>
        <w:pStyle w:val="TOC3"/>
        <w:tabs>
          <w:tab w:val="left" w:pos="1800"/>
        </w:tabs>
        <w:rPr>
          <w:rFonts w:asciiTheme="minorHAnsi" w:eastAsiaTheme="minorEastAsia" w:hAnsiTheme="minorHAnsi" w:cstheme="minorBidi"/>
          <w:kern w:val="2"/>
          <w14:ligatures w14:val="standardContextual"/>
        </w:rPr>
      </w:pPr>
      <w:hyperlink w:anchor="_Toc228252920" w:history="1">
        <w:r w:rsidRPr="00A9478A">
          <w:rPr>
            <w:rStyle w:val="Hyperlink"/>
          </w:rPr>
          <w:t>2.1.1</w:t>
        </w:r>
        <w:r>
          <w:rPr>
            <w:rFonts w:asciiTheme="minorHAnsi" w:eastAsiaTheme="minorEastAsia" w:hAnsiTheme="minorHAnsi" w:cstheme="minorBidi"/>
            <w:kern w:val="2"/>
            <w14:ligatures w14:val="standardContextual"/>
          </w:rPr>
          <w:tab/>
        </w:r>
        <w:r w:rsidRPr="00A9478A">
          <w:rPr>
            <w:rStyle w:val="Hyperlink"/>
          </w:rPr>
          <w:t xml:space="preserve">Task 1: Program Implementation and Oversight (PI&amp;O) </w:t>
        </w:r>
        <w:r w:rsidRPr="00A9478A">
          <w:rPr>
            <w:rStyle w:val="Hyperlink"/>
            <w:vertAlign w:val="superscript"/>
          </w:rPr>
          <w:t>(SOW 3.1)</w:t>
        </w:r>
        <w:r>
          <w:rPr>
            <w:webHidden/>
          </w:rPr>
          <w:tab/>
        </w:r>
        <w:r>
          <w:rPr>
            <w:webHidden/>
          </w:rPr>
          <w:fldChar w:fldCharType="begin"/>
        </w:r>
        <w:r>
          <w:rPr>
            <w:webHidden/>
          </w:rPr>
          <w:instrText xml:space="preserve"> PAGEREF _Toc228252920 \h </w:instrText>
        </w:r>
        <w:r>
          <w:rPr>
            <w:webHidden/>
          </w:rPr>
        </w:r>
        <w:r>
          <w:rPr>
            <w:webHidden/>
          </w:rPr>
          <w:fldChar w:fldCharType="separate"/>
        </w:r>
        <w:r>
          <w:rPr>
            <w:webHidden/>
          </w:rPr>
          <w:t>48</w:t>
        </w:r>
        <w:r>
          <w:rPr>
            <w:webHidden/>
          </w:rPr>
          <w:fldChar w:fldCharType="end"/>
        </w:r>
      </w:hyperlink>
    </w:p>
    <w:p w14:paraId="56370806" w14:textId="3BB8AFFC" w:rsidR="00EC1036" w:rsidRDefault="00EC1036">
      <w:pPr>
        <w:pStyle w:val="TOC3"/>
        <w:tabs>
          <w:tab w:val="left" w:pos="1800"/>
        </w:tabs>
        <w:rPr>
          <w:rFonts w:asciiTheme="minorHAnsi" w:eastAsiaTheme="minorEastAsia" w:hAnsiTheme="minorHAnsi" w:cstheme="minorBidi"/>
          <w:kern w:val="2"/>
          <w14:ligatures w14:val="standardContextual"/>
        </w:rPr>
      </w:pPr>
      <w:hyperlink w:anchor="_Toc228252921" w:history="1">
        <w:r w:rsidRPr="00A9478A">
          <w:rPr>
            <w:rStyle w:val="Hyperlink"/>
          </w:rPr>
          <w:t>2.1.2</w:t>
        </w:r>
        <w:r>
          <w:rPr>
            <w:rFonts w:asciiTheme="minorHAnsi" w:eastAsiaTheme="minorEastAsia" w:hAnsiTheme="minorHAnsi" w:cstheme="minorBidi"/>
            <w:kern w:val="2"/>
            <w14:ligatures w14:val="standardContextual"/>
          </w:rPr>
          <w:tab/>
        </w:r>
        <w:r w:rsidRPr="00A9478A">
          <w:rPr>
            <w:rStyle w:val="Hyperlink"/>
          </w:rPr>
          <w:t xml:space="preserve">Task 11: Transition-Out (Optional) </w:t>
        </w:r>
        <w:r w:rsidRPr="00A9478A">
          <w:rPr>
            <w:rStyle w:val="Hyperlink"/>
            <w:vertAlign w:val="superscript"/>
          </w:rPr>
          <w:t>(SOW 3.11)</w:t>
        </w:r>
        <w:r>
          <w:rPr>
            <w:webHidden/>
          </w:rPr>
          <w:tab/>
        </w:r>
        <w:r>
          <w:rPr>
            <w:webHidden/>
          </w:rPr>
          <w:fldChar w:fldCharType="begin"/>
        </w:r>
        <w:r>
          <w:rPr>
            <w:webHidden/>
          </w:rPr>
          <w:instrText xml:space="preserve"> PAGEREF _Toc228252921 \h </w:instrText>
        </w:r>
        <w:r>
          <w:rPr>
            <w:webHidden/>
          </w:rPr>
        </w:r>
        <w:r>
          <w:rPr>
            <w:webHidden/>
          </w:rPr>
          <w:fldChar w:fldCharType="separate"/>
        </w:r>
        <w:r>
          <w:rPr>
            <w:webHidden/>
          </w:rPr>
          <w:t>52</w:t>
        </w:r>
        <w:r>
          <w:rPr>
            <w:webHidden/>
          </w:rPr>
          <w:fldChar w:fldCharType="end"/>
        </w:r>
      </w:hyperlink>
    </w:p>
    <w:p w14:paraId="183BA4E0" w14:textId="4FAA847F" w:rsidR="00EC1036" w:rsidRDefault="00EC1036">
      <w:pPr>
        <w:pStyle w:val="TOC3"/>
        <w:tabs>
          <w:tab w:val="left" w:pos="1800"/>
        </w:tabs>
        <w:rPr>
          <w:rFonts w:asciiTheme="minorHAnsi" w:eastAsiaTheme="minorEastAsia" w:hAnsiTheme="minorHAnsi" w:cstheme="minorBidi"/>
          <w:kern w:val="2"/>
          <w14:ligatures w14:val="standardContextual"/>
        </w:rPr>
      </w:pPr>
      <w:hyperlink w:anchor="_Toc228252922" w:history="1">
        <w:r w:rsidRPr="00A9478A">
          <w:rPr>
            <w:rStyle w:val="Hyperlink"/>
          </w:rPr>
          <w:t>2.1.3</w:t>
        </w:r>
        <w:r>
          <w:rPr>
            <w:rFonts w:asciiTheme="minorHAnsi" w:eastAsiaTheme="minorEastAsia" w:hAnsiTheme="minorHAnsi" w:cstheme="minorBidi"/>
            <w:kern w:val="2"/>
            <w14:ligatures w14:val="standardContextual"/>
          </w:rPr>
          <w:tab/>
        </w:r>
        <w:r w:rsidRPr="00A9478A">
          <w:rPr>
            <w:rStyle w:val="Hyperlink"/>
          </w:rPr>
          <w:t>Task 12: Transition-In (Optional)</w:t>
        </w:r>
        <w:r w:rsidRPr="00A9478A">
          <w:rPr>
            <w:rStyle w:val="Hyperlink"/>
            <w:vertAlign w:val="superscript"/>
          </w:rPr>
          <w:t xml:space="preserve"> (SOW 3.12)</w:t>
        </w:r>
        <w:r>
          <w:rPr>
            <w:webHidden/>
          </w:rPr>
          <w:tab/>
        </w:r>
        <w:r>
          <w:rPr>
            <w:webHidden/>
          </w:rPr>
          <w:fldChar w:fldCharType="begin"/>
        </w:r>
        <w:r>
          <w:rPr>
            <w:webHidden/>
          </w:rPr>
          <w:instrText xml:space="preserve"> PAGEREF _Toc228252922 \h </w:instrText>
        </w:r>
        <w:r>
          <w:rPr>
            <w:webHidden/>
          </w:rPr>
        </w:r>
        <w:r>
          <w:rPr>
            <w:webHidden/>
          </w:rPr>
          <w:fldChar w:fldCharType="separate"/>
        </w:r>
        <w:r>
          <w:rPr>
            <w:webHidden/>
          </w:rPr>
          <w:t>53</w:t>
        </w:r>
        <w:r>
          <w:rPr>
            <w:webHidden/>
          </w:rPr>
          <w:fldChar w:fldCharType="end"/>
        </w:r>
      </w:hyperlink>
    </w:p>
    <w:p w14:paraId="4330DEEC" w14:textId="1E06E38C" w:rsidR="00EC1036" w:rsidRDefault="00EC1036">
      <w:pPr>
        <w:pStyle w:val="TOC2"/>
        <w:tabs>
          <w:tab w:val="left" w:pos="1094"/>
        </w:tabs>
        <w:rPr>
          <w:rFonts w:asciiTheme="minorHAnsi" w:eastAsiaTheme="minorEastAsia" w:hAnsiTheme="minorHAnsi" w:cstheme="minorBidi"/>
          <w:kern w:val="2"/>
          <w14:ligatures w14:val="standardContextual"/>
        </w:rPr>
      </w:pPr>
      <w:hyperlink w:anchor="_Toc228252923" w:history="1">
        <w:r w:rsidRPr="00A9478A">
          <w:rPr>
            <w:rStyle w:val="Hyperlink"/>
          </w:rPr>
          <w:t>2.2</w:t>
        </w:r>
        <w:r>
          <w:rPr>
            <w:rFonts w:asciiTheme="minorHAnsi" w:eastAsiaTheme="minorEastAsia" w:hAnsiTheme="minorHAnsi" w:cstheme="minorBidi"/>
            <w:kern w:val="2"/>
            <w14:ligatures w14:val="standardContextual"/>
          </w:rPr>
          <w:tab/>
        </w:r>
        <w:r w:rsidRPr="00A9478A">
          <w:rPr>
            <w:rStyle w:val="Hyperlink"/>
          </w:rPr>
          <w:t>Sub-Section 2B: Quality Assurance Approach (3 Pages)</w:t>
        </w:r>
        <w:r>
          <w:rPr>
            <w:webHidden/>
          </w:rPr>
          <w:tab/>
        </w:r>
        <w:r>
          <w:rPr>
            <w:webHidden/>
          </w:rPr>
          <w:fldChar w:fldCharType="begin"/>
        </w:r>
        <w:r>
          <w:rPr>
            <w:webHidden/>
          </w:rPr>
          <w:instrText xml:space="preserve"> PAGEREF _Toc228252923 \h </w:instrText>
        </w:r>
        <w:r>
          <w:rPr>
            <w:webHidden/>
          </w:rPr>
        </w:r>
        <w:r>
          <w:rPr>
            <w:webHidden/>
          </w:rPr>
          <w:fldChar w:fldCharType="separate"/>
        </w:r>
        <w:r>
          <w:rPr>
            <w:webHidden/>
          </w:rPr>
          <w:t>56</w:t>
        </w:r>
        <w:r>
          <w:rPr>
            <w:webHidden/>
          </w:rPr>
          <w:fldChar w:fldCharType="end"/>
        </w:r>
      </w:hyperlink>
    </w:p>
    <w:p w14:paraId="44E4CA64" w14:textId="7C6E22CF" w:rsidR="00EC1036" w:rsidRDefault="00EC1036">
      <w:pPr>
        <w:pStyle w:val="TOC2"/>
        <w:tabs>
          <w:tab w:val="left" w:pos="1094"/>
        </w:tabs>
        <w:rPr>
          <w:rFonts w:asciiTheme="minorHAnsi" w:eastAsiaTheme="minorEastAsia" w:hAnsiTheme="minorHAnsi" w:cstheme="minorBidi"/>
          <w:kern w:val="2"/>
          <w14:ligatures w14:val="standardContextual"/>
        </w:rPr>
      </w:pPr>
      <w:hyperlink w:anchor="_Toc228252924" w:history="1">
        <w:r w:rsidRPr="00A9478A">
          <w:rPr>
            <w:rStyle w:val="Hyperlink"/>
          </w:rPr>
          <w:t>2.3</w:t>
        </w:r>
        <w:r>
          <w:rPr>
            <w:rFonts w:asciiTheme="minorHAnsi" w:eastAsiaTheme="minorEastAsia" w:hAnsiTheme="minorHAnsi" w:cstheme="minorBidi"/>
            <w:kern w:val="2"/>
            <w14:ligatures w14:val="standardContextual"/>
          </w:rPr>
          <w:tab/>
        </w:r>
        <w:r w:rsidRPr="00A9478A">
          <w:rPr>
            <w:rStyle w:val="Hyperlink"/>
          </w:rPr>
          <w:t>Sub-Section 2C: Staffing Plan (2 Pages)</w:t>
        </w:r>
        <w:r>
          <w:rPr>
            <w:webHidden/>
          </w:rPr>
          <w:tab/>
        </w:r>
        <w:r>
          <w:rPr>
            <w:webHidden/>
          </w:rPr>
          <w:fldChar w:fldCharType="begin"/>
        </w:r>
        <w:r>
          <w:rPr>
            <w:webHidden/>
          </w:rPr>
          <w:instrText xml:space="preserve"> PAGEREF _Toc228252924 \h </w:instrText>
        </w:r>
        <w:r>
          <w:rPr>
            <w:webHidden/>
          </w:rPr>
        </w:r>
        <w:r>
          <w:rPr>
            <w:webHidden/>
          </w:rPr>
          <w:fldChar w:fldCharType="separate"/>
        </w:r>
        <w:r>
          <w:rPr>
            <w:webHidden/>
          </w:rPr>
          <w:t>59</w:t>
        </w:r>
        <w:r>
          <w:rPr>
            <w:webHidden/>
          </w:rPr>
          <w:fldChar w:fldCharType="end"/>
        </w:r>
      </w:hyperlink>
    </w:p>
    <w:p w14:paraId="1835432F" w14:textId="5F06AB38" w:rsidR="00EC1036" w:rsidRDefault="00EC1036">
      <w:pPr>
        <w:pStyle w:val="TOC1"/>
        <w:rPr>
          <w:rFonts w:asciiTheme="minorHAnsi" w:eastAsiaTheme="minorEastAsia" w:hAnsiTheme="minorHAnsi" w:cstheme="minorBidi"/>
          <w:kern w:val="2"/>
          <w14:ligatures w14:val="standardContextual"/>
        </w:rPr>
      </w:pPr>
      <w:hyperlink w:anchor="_Toc228252925" w:history="1">
        <w:r w:rsidRPr="00A9478A">
          <w:rPr>
            <w:rStyle w:val="Hyperlink"/>
          </w:rPr>
          <w:t>3.0</w:t>
        </w:r>
        <w:r>
          <w:rPr>
            <w:rFonts w:asciiTheme="minorHAnsi" w:eastAsiaTheme="minorEastAsia" w:hAnsiTheme="minorHAnsi" w:cstheme="minorBidi"/>
            <w:kern w:val="2"/>
            <w14:ligatures w14:val="standardContextual"/>
          </w:rPr>
          <w:tab/>
        </w:r>
        <w:r w:rsidRPr="00A9478A">
          <w:rPr>
            <w:rStyle w:val="Hyperlink"/>
          </w:rPr>
          <w:t>Section 3: Key Personnel Qualifications and Corporate Experience (Total 8 Pages)</w:t>
        </w:r>
        <w:r>
          <w:rPr>
            <w:webHidden/>
          </w:rPr>
          <w:tab/>
        </w:r>
        <w:r>
          <w:rPr>
            <w:webHidden/>
          </w:rPr>
          <w:fldChar w:fldCharType="begin"/>
        </w:r>
        <w:r>
          <w:rPr>
            <w:webHidden/>
          </w:rPr>
          <w:instrText xml:space="preserve"> PAGEREF _Toc228252925 \h </w:instrText>
        </w:r>
        <w:r>
          <w:rPr>
            <w:webHidden/>
          </w:rPr>
        </w:r>
        <w:r>
          <w:rPr>
            <w:webHidden/>
          </w:rPr>
          <w:fldChar w:fldCharType="separate"/>
        </w:r>
        <w:r>
          <w:rPr>
            <w:webHidden/>
          </w:rPr>
          <w:t>61</w:t>
        </w:r>
        <w:r>
          <w:rPr>
            <w:webHidden/>
          </w:rPr>
          <w:fldChar w:fldCharType="end"/>
        </w:r>
      </w:hyperlink>
    </w:p>
    <w:p w14:paraId="4E5F2848" w14:textId="39FE5D45" w:rsidR="00EC1036" w:rsidRDefault="00EC1036">
      <w:pPr>
        <w:pStyle w:val="TOC2"/>
        <w:tabs>
          <w:tab w:val="left" w:pos="1094"/>
        </w:tabs>
        <w:rPr>
          <w:rFonts w:asciiTheme="minorHAnsi" w:eastAsiaTheme="minorEastAsia" w:hAnsiTheme="minorHAnsi" w:cstheme="minorBidi"/>
          <w:kern w:val="2"/>
          <w14:ligatures w14:val="standardContextual"/>
        </w:rPr>
      </w:pPr>
      <w:hyperlink w:anchor="_Toc228252926" w:history="1">
        <w:r w:rsidRPr="00A9478A">
          <w:rPr>
            <w:rStyle w:val="Hyperlink"/>
          </w:rPr>
          <w:t>3.1</w:t>
        </w:r>
        <w:r>
          <w:rPr>
            <w:rFonts w:asciiTheme="minorHAnsi" w:eastAsiaTheme="minorEastAsia" w:hAnsiTheme="minorHAnsi" w:cstheme="minorBidi"/>
            <w:kern w:val="2"/>
            <w14:ligatures w14:val="standardContextual"/>
          </w:rPr>
          <w:tab/>
        </w:r>
        <w:r w:rsidRPr="00A9478A">
          <w:rPr>
            <w:rStyle w:val="Hyperlink"/>
          </w:rPr>
          <w:t>Sub-Section 3A: Key Personnel Qualifications (4 Pages)</w:t>
        </w:r>
        <w:r>
          <w:rPr>
            <w:webHidden/>
          </w:rPr>
          <w:tab/>
        </w:r>
        <w:r>
          <w:rPr>
            <w:webHidden/>
          </w:rPr>
          <w:fldChar w:fldCharType="begin"/>
        </w:r>
        <w:r>
          <w:rPr>
            <w:webHidden/>
          </w:rPr>
          <w:instrText xml:space="preserve"> PAGEREF _Toc228252926 \h </w:instrText>
        </w:r>
        <w:r>
          <w:rPr>
            <w:webHidden/>
          </w:rPr>
        </w:r>
        <w:r>
          <w:rPr>
            <w:webHidden/>
          </w:rPr>
          <w:fldChar w:fldCharType="separate"/>
        </w:r>
        <w:r>
          <w:rPr>
            <w:webHidden/>
          </w:rPr>
          <w:t>61</w:t>
        </w:r>
        <w:r>
          <w:rPr>
            <w:webHidden/>
          </w:rPr>
          <w:fldChar w:fldCharType="end"/>
        </w:r>
      </w:hyperlink>
    </w:p>
    <w:p w14:paraId="33993390" w14:textId="1675D4FD" w:rsidR="00EC1036" w:rsidRDefault="00EC1036">
      <w:pPr>
        <w:pStyle w:val="TOC2"/>
        <w:tabs>
          <w:tab w:val="left" w:pos="1094"/>
        </w:tabs>
        <w:rPr>
          <w:rFonts w:asciiTheme="minorHAnsi" w:eastAsiaTheme="minorEastAsia" w:hAnsiTheme="minorHAnsi" w:cstheme="minorBidi"/>
          <w:kern w:val="2"/>
          <w14:ligatures w14:val="standardContextual"/>
        </w:rPr>
      </w:pPr>
      <w:hyperlink w:anchor="_Toc228252927" w:history="1">
        <w:r w:rsidRPr="00A9478A">
          <w:rPr>
            <w:rStyle w:val="Hyperlink"/>
          </w:rPr>
          <w:t>3.2</w:t>
        </w:r>
        <w:r>
          <w:rPr>
            <w:rFonts w:asciiTheme="minorHAnsi" w:eastAsiaTheme="minorEastAsia" w:hAnsiTheme="minorHAnsi" w:cstheme="minorBidi"/>
            <w:kern w:val="2"/>
            <w14:ligatures w14:val="standardContextual"/>
          </w:rPr>
          <w:tab/>
        </w:r>
        <w:r w:rsidRPr="00A9478A">
          <w:rPr>
            <w:rStyle w:val="Hyperlink"/>
          </w:rPr>
          <w:t>Sub-Section 3B: Corporate Experience (4 Pages)</w:t>
        </w:r>
        <w:r>
          <w:rPr>
            <w:webHidden/>
          </w:rPr>
          <w:tab/>
        </w:r>
        <w:r>
          <w:rPr>
            <w:webHidden/>
          </w:rPr>
          <w:fldChar w:fldCharType="begin"/>
        </w:r>
        <w:r>
          <w:rPr>
            <w:webHidden/>
          </w:rPr>
          <w:instrText xml:space="preserve"> PAGEREF _Toc228252927 \h </w:instrText>
        </w:r>
        <w:r>
          <w:rPr>
            <w:webHidden/>
          </w:rPr>
        </w:r>
        <w:r>
          <w:rPr>
            <w:webHidden/>
          </w:rPr>
          <w:fldChar w:fldCharType="separate"/>
        </w:r>
        <w:r>
          <w:rPr>
            <w:webHidden/>
          </w:rPr>
          <w:t>63</w:t>
        </w:r>
        <w:r>
          <w:rPr>
            <w:webHidden/>
          </w:rPr>
          <w:fldChar w:fldCharType="end"/>
        </w:r>
      </w:hyperlink>
    </w:p>
    <w:p w14:paraId="175BFA40" w14:textId="4B446B1A" w:rsidR="00EC1036" w:rsidRDefault="00EC1036">
      <w:pPr>
        <w:pStyle w:val="TOC1"/>
        <w:rPr>
          <w:rFonts w:asciiTheme="minorHAnsi" w:eastAsiaTheme="minorEastAsia" w:hAnsiTheme="minorHAnsi" w:cstheme="minorBidi"/>
          <w:kern w:val="2"/>
          <w14:ligatures w14:val="standardContextual"/>
        </w:rPr>
      </w:pPr>
      <w:hyperlink w:anchor="_Toc228252928" w:history="1">
        <w:r w:rsidRPr="00A9478A">
          <w:rPr>
            <w:rStyle w:val="Hyperlink"/>
          </w:rPr>
          <w:t>4.0</w:t>
        </w:r>
        <w:r>
          <w:rPr>
            <w:rFonts w:asciiTheme="minorHAnsi" w:eastAsiaTheme="minorEastAsia" w:hAnsiTheme="minorHAnsi" w:cstheme="minorBidi"/>
            <w:kern w:val="2"/>
            <w14:ligatures w14:val="standardContextual"/>
          </w:rPr>
          <w:tab/>
        </w:r>
        <w:r w:rsidRPr="00A9478A">
          <w:rPr>
            <w:rStyle w:val="Hyperlink"/>
          </w:rPr>
          <w:t>Section 4: Small Business Utilization (5 Pages)</w:t>
        </w:r>
        <w:r>
          <w:rPr>
            <w:webHidden/>
          </w:rPr>
          <w:tab/>
        </w:r>
        <w:r>
          <w:rPr>
            <w:webHidden/>
          </w:rPr>
          <w:fldChar w:fldCharType="begin"/>
        </w:r>
        <w:r>
          <w:rPr>
            <w:webHidden/>
          </w:rPr>
          <w:instrText xml:space="preserve"> PAGEREF _Toc228252928 \h </w:instrText>
        </w:r>
        <w:r>
          <w:rPr>
            <w:webHidden/>
          </w:rPr>
        </w:r>
        <w:r>
          <w:rPr>
            <w:webHidden/>
          </w:rPr>
          <w:fldChar w:fldCharType="separate"/>
        </w:r>
        <w:r>
          <w:rPr>
            <w:webHidden/>
          </w:rPr>
          <w:t>1</w:t>
        </w:r>
        <w:r>
          <w:rPr>
            <w:webHidden/>
          </w:rPr>
          <w:fldChar w:fldCharType="end"/>
        </w:r>
      </w:hyperlink>
    </w:p>
    <w:p w14:paraId="3E9C220C" w14:textId="5F4F1065" w:rsidR="00EC1036" w:rsidRDefault="00EC1036">
      <w:pPr>
        <w:pStyle w:val="TOC1"/>
        <w:tabs>
          <w:tab w:val="left" w:pos="1800"/>
        </w:tabs>
        <w:rPr>
          <w:rFonts w:asciiTheme="minorHAnsi" w:eastAsiaTheme="minorEastAsia" w:hAnsiTheme="minorHAnsi" w:cstheme="minorBidi"/>
          <w:kern w:val="2"/>
          <w14:ligatures w14:val="standardContextual"/>
        </w:rPr>
      </w:pPr>
      <w:hyperlink w:anchor="_Toc228252929" w:history="1">
        <w:r w:rsidRPr="00A9478A">
          <w:rPr>
            <w:rStyle w:val="Hyperlink"/>
          </w:rPr>
          <w:t>Appendix A</w:t>
        </w:r>
        <w:r>
          <w:rPr>
            <w:rFonts w:asciiTheme="minorHAnsi" w:eastAsiaTheme="minorEastAsia" w:hAnsiTheme="minorHAnsi" w:cstheme="minorBidi"/>
            <w:kern w:val="2"/>
            <w14:ligatures w14:val="standardContextual"/>
          </w:rPr>
          <w:tab/>
        </w:r>
        <w:r w:rsidRPr="00A9478A">
          <w:rPr>
            <w:rStyle w:val="Hyperlink"/>
          </w:rPr>
          <w:t>Key Personnel Resumes (2 Pages Each)</w:t>
        </w:r>
        <w:r>
          <w:rPr>
            <w:webHidden/>
          </w:rPr>
          <w:tab/>
        </w:r>
        <w:r>
          <w:rPr>
            <w:webHidden/>
          </w:rPr>
          <w:fldChar w:fldCharType="begin"/>
        </w:r>
        <w:r>
          <w:rPr>
            <w:webHidden/>
          </w:rPr>
          <w:instrText xml:space="preserve"> PAGEREF _Toc228252929 \h </w:instrText>
        </w:r>
        <w:r>
          <w:rPr>
            <w:webHidden/>
          </w:rPr>
        </w:r>
        <w:r>
          <w:rPr>
            <w:webHidden/>
          </w:rPr>
          <w:fldChar w:fldCharType="separate"/>
        </w:r>
        <w:r>
          <w:rPr>
            <w:webHidden/>
          </w:rPr>
          <w:t>2</w:t>
        </w:r>
        <w:r>
          <w:rPr>
            <w:webHidden/>
          </w:rPr>
          <w:fldChar w:fldCharType="end"/>
        </w:r>
      </w:hyperlink>
    </w:p>
    <w:p w14:paraId="06D2F410" w14:textId="40DF0056" w:rsidR="00EC1036" w:rsidRDefault="00EC1036">
      <w:pPr>
        <w:pStyle w:val="TOC2"/>
        <w:tabs>
          <w:tab w:val="left" w:pos="1094"/>
        </w:tabs>
        <w:rPr>
          <w:rFonts w:asciiTheme="minorHAnsi" w:eastAsiaTheme="minorEastAsia" w:hAnsiTheme="minorHAnsi" w:cstheme="minorBidi"/>
          <w:kern w:val="2"/>
          <w14:ligatures w14:val="standardContextual"/>
        </w:rPr>
      </w:pPr>
      <w:hyperlink w:anchor="_Toc228252930" w:history="1">
        <w:r w:rsidRPr="00A9478A">
          <w:rPr>
            <w:rStyle w:val="Hyperlink"/>
          </w:rPr>
          <w:t>A.1</w:t>
        </w:r>
        <w:r>
          <w:rPr>
            <w:rFonts w:asciiTheme="minorHAnsi" w:eastAsiaTheme="minorEastAsia" w:hAnsiTheme="minorHAnsi" w:cstheme="minorBidi"/>
            <w:kern w:val="2"/>
            <w14:ligatures w14:val="standardContextual"/>
          </w:rPr>
          <w:tab/>
        </w:r>
        <w:r w:rsidRPr="00A9478A">
          <w:rPr>
            <w:rStyle w:val="Hyperlink"/>
          </w:rPr>
          <w:t>Project Director</w:t>
        </w:r>
        <w:r>
          <w:rPr>
            <w:webHidden/>
          </w:rPr>
          <w:tab/>
        </w:r>
        <w:r>
          <w:rPr>
            <w:webHidden/>
          </w:rPr>
          <w:fldChar w:fldCharType="begin"/>
        </w:r>
        <w:r>
          <w:rPr>
            <w:webHidden/>
          </w:rPr>
          <w:instrText xml:space="preserve"> PAGEREF _Toc228252930 \h </w:instrText>
        </w:r>
        <w:r>
          <w:rPr>
            <w:webHidden/>
          </w:rPr>
        </w:r>
        <w:r>
          <w:rPr>
            <w:webHidden/>
          </w:rPr>
          <w:fldChar w:fldCharType="separate"/>
        </w:r>
        <w:r>
          <w:rPr>
            <w:webHidden/>
          </w:rPr>
          <w:t>2</w:t>
        </w:r>
        <w:r>
          <w:rPr>
            <w:webHidden/>
          </w:rPr>
          <w:fldChar w:fldCharType="end"/>
        </w:r>
      </w:hyperlink>
    </w:p>
    <w:p w14:paraId="65E9CB26" w14:textId="5613315F" w:rsidR="00EC1036" w:rsidRDefault="00EC1036">
      <w:pPr>
        <w:pStyle w:val="TOC2"/>
        <w:tabs>
          <w:tab w:val="left" w:pos="1094"/>
        </w:tabs>
        <w:rPr>
          <w:rFonts w:asciiTheme="minorHAnsi" w:eastAsiaTheme="minorEastAsia" w:hAnsiTheme="minorHAnsi" w:cstheme="minorBidi"/>
          <w:kern w:val="2"/>
          <w14:ligatures w14:val="standardContextual"/>
        </w:rPr>
      </w:pPr>
      <w:hyperlink w:anchor="_Toc228252931" w:history="1">
        <w:r w:rsidRPr="00A9478A">
          <w:rPr>
            <w:rStyle w:val="Hyperlink"/>
          </w:rPr>
          <w:t>A.2</w:t>
        </w:r>
        <w:r>
          <w:rPr>
            <w:rFonts w:asciiTheme="minorHAnsi" w:eastAsiaTheme="minorEastAsia" w:hAnsiTheme="minorHAnsi" w:cstheme="minorBidi"/>
            <w:kern w:val="2"/>
            <w14:ligatures w14:val="standardContextual"/>
          </w:rPr>
          <w:tab/>
        </w:r>
        <w:r w:rsidRPr="00A9478A">
          <w:rPr>
            <w:rStyle w:val="Hyperlink"/>
          </w:rPr>
          <w:t>Project Manager (ER&amp;R)</w:t>
        </w:r>
        <w:r>
          <w:rPr>
            <w:webHidden/>
          </w:rPr>
          <w:tab/>
        </w:r>
        <w:r>
          <w:rPr>
            <w:webHidden/>
          </w:rPr>
          <w:fldChar w:fldCharType="begin"/>
        </w:r>
        <w:r>
          <w:rPr>
            <w:webHidden/>
          </w:rPr>
          <w:instrText xml:space="preserve"> PAGEREF _Toc228252931 \h </w:instrText>
        </w:r>
        <w:r>
          <w:rPr>
            <w:webHidden/>
          </w:rPr>
        </w:r>
        <w:r>
          <w:rPr>
            <w:webHidden/>
          </w:rPr>
          <w:fldChar w:fldCharType="separate"/>
        </w:r>
        <w:r>
          <w:rPr>
            <w:webHidden/>
          </w:rPr>
          <w:t>4</w:t>
        </w:r>
        <w:r>
          <w:rPr>
            <w:webHidden/>
          </w:rPr>
          <w:fldChar w:fldCharType="end"/>
        </w:r>
      </w:hyperlink>
    </w:p>
    <w:p w14:paraId="552359A1" w14:textId="496AFA3F" w:rsidR="00EC1036" w:rsidRDefault="00EC1036">
      <w:pPr>
        <w:pStyle w:val="TOC2"/>
        <w:tabs>
          <w:tab w:val="left" w:pos="1094"/>
        </w:tabs>
        <w:rPr>
          <w:rFonts w:asciiTheme="minorHAnsi" w:eastAsiaTheme="minorEastAsia" w:hAnsiTheme="minorHAnsi" w:cstheme="minorBidi"/>
          <w:kern w:val="2"/>
          <w14:ligatures w14:val="standardContextual"/>
        </w:rPr>
      </w:pPr>
      <w:hyperlink w:anchor="_Toc228252932" w:history="1">
        <w:r w:rsidRPr="00A9478A">
          <w:rPr>
            <w:rStyle w:val="Hyperlink"/>
          </w:rPr>
          <w:t>A.3</w:t>
        </w:r>
        <w:r>
          <w:rPr>
            <w:rFonts w:asciiTheme="minorHAnsi" w:eastAsiaTheme="minorEastAsia" w:hAnsiTheme="minorHAnsi" w:cstheme="minorBidi"/>
            <w:kern w:val="2"/>
            <w14:ligatures w14:val="standardContextual"/>
          </w:rPr>
          <w:tab/>
        </w:r>
        <w:r w:rsidRPr="00A9478A">
          <w:rPr>
            <w:rStyle w:val="Hyperlink"/>
          </w:rPr>
          <w:t>Project Manager (Form 1095-A &amp; CCHC)</w:t>
        </w:r>
        <w:r>
          <w:rPr>
            <w:webHidden/>
          </w:rPr>
          <w:tab/>
        </w:r>
        <w:r>
          <w:rPr>
            <w:webHidden/>
          </w:rPr>
          <w:fldChar w:fldCharType="begin"/>
        </w:r>
        <w:r>
          <w:rPr>
            <w:webHidden/>
          </w:rPr>
          <w:instrText xml:space="preserve"> PAGEREF _Toc228252932 \h </w:instrText>
        </w:r>
        <w:r>
          <w:rPr>
            <w:webHidden/>
          </w:rPr>
        </w:r>
        <w:r>
          <w:rPr>
            <w:webHidden/>
          </w:rPr>
          <w:fldChar w:fldCharType="separate"/>
        </w:r>
        <w:r>
          <w:rPr>
            <w:webHidden/>
          </w:rPr>
          <w:t>5</w:t>
        </w:r>
        <w:r>
          <w:rPr>
            <w:webHidden/>
          </w:rPr>
          <w:fldChar w:fldCharType="end"/>
        </w:r>
      </w:hyperlink>
    </w:p>
    <w:p w14:paraId="483253BF" w14:textId="655DEDCB" w:rsidR="00EC1036" w:rsidRDefault="00EC1036">
      <w:pPr>
        <w:pStyle w:val="TOC2"/>
        <w:tabs>
          <w:tab w:val="left" w:pos="1094"/>
        </w:tabs>
        <w:rPr>
          <w:rFonts w:asciiTheme="minorHAnsi" w:eastAsiaTheme="minorEastAsia" w:hAnsiTheme="minorHAnsi" w:cstheme="minorBidi"/>
          <w:kern w:val="2"/>
          <w14:ligatures w14:val="standardContextual"/>
        </w:rPr>
      </w:pPr>
      <w:hyperlink w:anchor="_Toc228252933" w:history="1">
        <w:r w:rsidRPr="00A9478A">
          <w:rPr>
            <w:rStyle w:val="Hyperlink"/>
          </w:rPr>
          <w:t>A.4</w:t>
        </w:r>
        <w:r>
          <w:rPr>
            <w:rFonts w:asciiTheme="minorHAnsi" w:eastAsiaTheme="minorEastAsia" w:hAnsiTheme="minorHAnsi" w:cstheme="minorBidi"/>
            <w:kern w:val="2"/>
            <w14:ligatures w14:val="standardContextual"/>
          </w:rPr>
          <w:tab/>
        </w:r>
        <w:r w:rsidRPr="00A9478A">
          <w:rPr>
            <w:rStyle w:val="Hyperlink"/>
          </w:rPr>
          <w:t>Project Manager (IT Data and Technical Support)</w:t>
        </w:r>
        <w:r>
          <w:rPr>
            <w:webHidden/>
          </w:rPr>
          <w:tab/>
        </w:r>
        <w:r>
          <w:rPr>
            <w:webHidden/>
          </w:rPr>
          <w:fldChar w:fldCharType="begin"/>
        </w:r>
        <w:r>
          <w:rPr>
            <w:webHidden/>
          </w:rPr>
          <w:instrText xml:space="preserve"> PAGEREF _Toc228252933 \h </w:instrText>
        </w:r>
        <w:r>
          <w:rPr>
            <w:webHidden/>
          </w:rPr>
        </w:r>
        <w:r>
          <w:rPr>
            <w:webHidden/>
          </w:rPr>
          <w:fldChar w:fldCharType="separate"/>
        </w:r>
        <w:r>
          <w:rPr>
            <w:webHidden/>
          </w:rPr>
          <w:t>6</w:t>
        </w:r>
        <w:r>
          <w:rPr>
            <w:webHidden/>
          </w:rPr>
          <w:fldChar w:fldCharType="end"/>
        </w:r>
      </w:hyperlink>
    </w:p>
    <w:p w14:paraId="4DC3B38F" w14:textId="2C100148" w:rsidR="00EC1036" w:rsidRDefault="00EC1036">
      <w:pPr>
        <w:pStyle w:val="TOC2"/>
        <w:tabs>
          <w:tab w:val="left" w:pos="1094"/>
        </w:tabs>
        <w:rPr>
          <w:rFonts w:asciiTheme="minorHAnsi" w:eastAsiaTheme="minorEastAsia" w:hAnsiTheme="minorHAnsi" w:cstheme="minorBidi"/>
          <w:kern w:val="2"/>
          <w14:ligatures w14:val="standardContextual"/>
        </w:rPr>
      </w:pPr>
      <w:hyperlink w:anchor="_Toc228252934" w:history="1">
        <w:r w:rsidRPr="00A9478A">
          <w:rPr>
            <w:rStyle w:val="Hyperlink"/>
          </w:rPr>
          <w:t>A.5</w:t>
        </w:r>
        <w:r>
          <w:rPr>
            <w:rFonts w:asciiTheme="minorHAnsi" w:eastAsiaTheme="minorEastAsia" w:hAnsiTheme="minorHAnsi" w:cstheme="minorBidi"/>
            <w:kern w:val="2"/>
            <w14:ligatures w14:val="standardContextual"/>
          </w:rPr>
          <w:tab/>
        </w:r>
        <w:r w:rsidRPr="00A9478A">
          <w:rPr>
            <w:rStyle w:val="Hyperlink"/>
          </w:rPr>
          <w:t>Technical Director</w:t>
        </w:r>
        <w:r>
          <w:rPr>
            <w:webHidden/>
          </w:rPr>
          <w:tab/>
        </w:r>
        <w:r>
          <w:rPr>
            <w:webHidden/>
          </w:rPr>
          <w:fldChar w:fldCharType="begin"/>
        </w:r>
        <w:r>
          <w:rPr>
            <w:webHidden/>
          </w:rPr>
          <w:instrText xml:space="preserve"> PAGEREF _Toc228252934 \h </w:instrText>
        </w:r>
        <w:r>
          <w:rPr>
            <w:webHidden/>
          </w:rPr>
        </w:r>
        <w:r>
          <w:rPr>
            <w:webHidden/>
          </w:rPr>
          <w:fldChar w:fldCharType="separate"/>
        </w:r>
        <w:r>
          <w:rPr>
            <w:webHidden/>
          </w:rPr>
          <w:t>7</w:t>
        </w:r>
        <w:r>
          <w:rPr>
            <w:webHidden/>
          </w:rPr>
          <w:fldChar w:fldCharType="end"/>
        </w:r>
      </w:hyperlink>
    </w:p>
    <w:p w14:paraId="67CC4160" w14:textId="19BCB12E" w:rsidR="00EC1036" w:rsidRDefault="00EC1036">
      <w:pPr>
        <w:pStyle w:val="TOC2"/>
        <w:tabs>
          <w:tab w:val="left" w:pos="1094"/>
        </w:tabs>
        <w:rPr>
          <w:rFonts w:asciiTheme="minorHAnsi" w:eastAsiaTheme="minorEastAsia" w:hAnsiTheme="minorHAnsi" w:cstheme="minorBidi"/>
          <w:kern w:val="2"/>
          <w14:ligatures w14:val="standardContextual"/>
        </w:rPr>
      </w:pPr>
      <w:hyperlink w:anchor="_Toc228252935" w:history="1">
        <w:r w:rsidRPr="00A9478A">
          <w:rPr>
            <w:rStyle w:val="Hyperlink"/>
          </w:rPr>
          <w:t>A.6</w:t>
        </w:r>
        <w:r>
          <w:rPr>
            <w:rFonts w:asciiTheme="minorHAnsi" w:eastAsiaTheme="minorEastAsia" w:hAnsiTheme="minorHAnsi" w:cstheme="minorBidi"/>
            <w:kern w:val="2"/>
            <w14:ligatures w14:val="standardContextual"/>
          </w:rPr>
          <w:tab/>
        </w:r>
        <w:r w:rsidRPr="00A9478A">
          <w:rPr>
            <w:rStyle w:val="Hyperlink"/>
          </w:rPr>
          <w:t>Security and Privacy Officer</w:t>
        </w:r>
        <w:r>
          <w:rPr>
            <w:webHidden/>
          </w:rPr>
          <w:tab/>
        </w:r>
        <w:r>
          <w:rPr>
            <w:webHidden/>
          </w:rPr>
          <w:fldChar w:fldCharType="begin"/>
        </w:r>
        <w:r>
          <w:rPr>
            <w:webHidden/>
          </w:rPr>
          <w:instrText xml:space="preserve"> PAGEREF _Toc228252935 \h </w:instrText>
        </w:r>
        <w:r>
          <w:rPr>
            <w:webHidden/>
          </w:rPr>
        </w:r>
        <w:r>
          <w:rPr>
            <w:webHidden/>
          </w:rPr>
          <w:fldChar w:fldCharType="separate"/>
        </w:r>
        <w:r>
          <w:rPr>
            <w:webHidden/>
          </w:rPr>
          <w:t>8</w:t>
        </w:r>
        <w:r>
          <w:rPr>
            <w:webHidden/>
          </w:rPr>
          <w:fldChar w:fldCharType="end"/>
        </w:r>
      </w:hyperlink>
    </w:p>
    <w:p w14:paraId="21F4E435" w14:textId="6C3A383F" w:rsidR="00EC1036" w:rsidRDefault="00EC1036">
      <w:pPr>
        <w:pStyle w:val="TOC1"/>
        <w:rPr>
          <w:rFonts w:asciiTheme="minorHAnsi" w:eastAsiaTheme="minorEastAsia" w:hAnsiTheme="minorHAnsi" w:cstheme="minorBidi"/>
          <w:kern w:val="2"/>
          <w14:ligatures w14:val="standardContextual"/>
        </w:rPr>
      </w:pPr>
      <w:hyperlink w:anchor="_Toc228252936" w:history="1">
        <w:r w:rsidRPr="00A9478A">
          <w:rPr>
            <w:rStyle w:val="Hyperlink"/>
          </w:rPr>
          <w:t>List of Acronyms and Abbreviations</w:t>
        </w:r>
        <w:r>
          <w:rPr>
            <w:webHidden/>
          </w:rPr>
          <w:tab/>
        </w:r>
        <w:r>
          <w:rPr>
            <w:webHidden/>
          </w:rPr>
          <w:fldChar w:fldCharType="begin"/>
        </w:r>
        <w:r>
          <w:rPr>
            <w:webHidden/>
          </w:rPr>
          <w:instrText xml:space="preserve"> PAGEREF _Toc228252936 \h </w:instrText>
        </w:r>
        <w:r>
          <w:rPr>
            <w:webHidden/>
          </w:rPr>
        </w:r>
        <w:r>
          <w:rPr>
            <w:webHidden/>
          </w:rPr>
          <w:fldChar w:fldCharType="separate"/>
        </w:r>
        <w:r>
          <w:rPr>
            <w:webHidden/>
          </w:rPr>
          <w:t>7</w:t>
        </w:r>
        <w:r>
          <w:rPr>
            <w:webHidden/>
          </w:rPr>
          <w:fldChar w:fldCharType="end"/>
        </w:r>
      </w:hyperlink>
    </w:p>
    <w:p w14:paraId="4AE3810C" w14:textId="00C3EEDF" w:rsidR="00EC1036" w:rsidRDefault="00EC1036">
      <w:pPr>
        <w:pStyle w:val="TOC1"/>
        <w:rPr>
          <w:rFonts w:asciiTheme="minorHAnsi" w:eastAsiaTheme="minorEastAsia" w:hAnsiTheme="minorHAnsi" w:cstheme="minorBidi"/>
          <w:kern w:val="2"/>
          <w14:ligatures w14:val="standardContextual"/>
        </w:rPr>
      </w:pPr>
      <w:hyperlink w:anchor="_Toc228252937" w:history="1">
        <w:r w:rsidRPr="00A9478A">
          <w:rPr>
            <w:rStyle w:val="Hyperlink"/>
          </w:rPr>
          <w:t>Compliance Matrix</w:t>
        </w:r>
        <w:r>
          <w:rPr>
            <w:webHidden/>
          </w:rPr>
          <w:tab/>
        </w:r>
        <w:r>
          <w:rPr>
            <w:webHidden/>
          </w:rPr>
          <w:fldChar w:fldCharType="begin"/>
        </w:r>
        <w:r>
          <w:rPr>
            <w:webHidden/>
          </w:rPr>
          <w:instrText xml:space="preserve"> PAGEREF _Toc228252937 \h </w:instrText>
        </w:r>
        <w:r>
          <w:rPr>
            <w:webHidden/>
          </w:rPr>
        </w:r>
        <w:r>
          <w:rPr>
            <w:webHidden/>
          </w:rPr>
          <w:fldChar w:fldCharType="separate"/>
        </w:r>
        <w:r>
          <w:rPr>
            <w:webHidden/>
          </w:rPr>
          <w:t>9</w:t>
        </w:r>
        <w:r>
          <w:rPr>
            <w:webHidden/>
          </w:rPr>
          <w:fldChar w:fldCharType="end"/>
        </w:r>
      </w:hyperlink>
    </w:p>
    <w:p w14:paraId="588928F1" w14:textId="14DA8141" w:rsidR="002105BC" w:rsidRDefault="00381F1F" w:rsidP="00312BB4">
      <w:pPr>
        <w:pStyle w:val="Lettertext"/>
      </w:pPr>
      <w:r>
        <w:fldChar w:fldCharType="end"/>
      </w:r>
      <w:r w:rsidR="002105BC">
        <w:t xml:space="preserve">List of </w:t>
      </w:r>
      <w:r w:rsidR="002105BC" w:rsidRPr="00B010E3">
        <w:t>Figures</w:t>
      </w:r>
    </w:p>
    <w:p w14:paraId="20F481CA" w14:textId="77777777" w:rsidR="00960CE9" w:rsidRDefault="00960CE9" w:rsidP="00BF70AA">
      <w:pPr>
        <w:pStyle w:val="BodyText"/>
        <w:rPr>
          <w:noProof/>
        </w:rPr>
        <w:sectPr w:rsidR="00960CE9" w:rsidSect="000B1BCE">
          <w:headerReference w:type="default" r:id="rId21"/>
          <w:footerReference w:type="default" r:id="rId22"/>
          <w:pgSz w:w="12240" w:h="15840" w:code="1"/>
          <w:pgMar w:top="1440" w:right="1440" w:bottom="1440" w:left="1440" w:header="720" w:footer="576" w:gutter="0"/>
          <w:pgNumType w:fmt="lowerRoman" w:start="1"/>
          <w:cols w:space="720"/>
          <w:docGrid w:linePitch="360"/>
        </w:sectPr>
      </w:pPr>
    </w:p>
    <w:sdt>
      <w:sdtPr>
        <w:rPr>
          <w:rFonts w:eastAsiaTheme="minorHAnsi" w:cstheme="minorBidi"/>
          <w:b w:val="0"/>
          <w:color w:val="FF0000"/>
          <w:sz w:val="24"/>
          <w:szCs w:val="22"/>
        </w:rPr>
        <w:id w:val="84682678"/>
        <w:docPartObj>
          <w:docPartGallery w:val="Table of Contents"/>
          <w:docPartUnique/>
        </w:docPartObj>
      </w:sdtPr>
      <w:sdtContent>
        <w:p w14:paraId="5F23ECDC" w14:textId="77777777" w:rsidR="00344246" w:rsidRDefault="00344246" w:rsidP="00634944">
          <w:pPr>
            <w:pStyle w:val="HeadingNoTOC"/>
          </w:pPr>
          <w:r>
            <w:t>List of Tables</w:t>
          </w:r>
        </w:p>
        <w:p w14:paraId="0042A2E5" w14:textId="77777777" w:rsidR="0019731D" w:rsidRDefault="00381F1F">
          <w:pPr>
            <w:pStyle w:val="TableofFigures"/>
            <w:tabs>
              <w:tab w:val="right" w:leader="dot" w:pos="9350"/>
            </w:tabs>
          </w:pPr>
          <w:r>
            <w:rPr>
              <w:noProof w:val="0"/>
            </w:rPr>
            <w:fldChar w:fldCharType="begin"/>
          </w:r>
          <w:r w:rsidR="00344246">
            <w:instrText xml:space="preserve"> TOC \h \z \t "Table Title" \c </w:instrText>
          </w:r>
          <w:r>
            <w:rPr>
              <w:noProof w:val="0"/>
            </w:rPr>
            <w:fldChar w:fldCharType="separate"/>
          </w:r>
          <w:hyperlink w:anchor="_Toc534622388" w:history="1">
            <w:r w:rsidR="0019731D" w:rsidRPr="00937D67">
              <w:rPr>
                <w:rStyle w:val="Hyperlink"/>
              </w:rPr>
              <w:t>Table X.X-X. Provide Title.</w:t>
            </w:r>
            <w:r w:rsidR="0019731D">
              <w:rPr>
                <w:webHidden/>
              </w:rPr>
              <w:tab/>
            </w:r>
            <w:r w:rsidR="0019731D">
              <w:rPr>
                <w:webHidden/>
              </w:rPr>
              <w:fldChar w:fldCharType="begin"/>
            </w:r>
            <w:r w:rsidR="0019731D">
              <w:rPr>
                <w:webHidden/>
              </w:rPr>
              <w:instrText xml:space="preserve"> PAGEREF _Toc534622388 \h </w:instrText>
            </w:r>
            <w:r w:rsidR="0019731D">
              <w:rPr>
                <w:webHidden/>
              </w:rPr>
            </w:r>
            <w:r w:rsidR="0019731D">
              <w:rPr>
                <w:webHidden/>
              </w:rPr>
              <w:fldChar w:fldCharType="separate"/>
            </w:r>
            <w:r w:rsidR="0019731D">
              <w:rPr>
                <w:webHidden/>
              </w:rPr>
              <w:t>1</w:t>
            </w:r>
            <w:r w:rsidR="0019731D">
              <w:rPr>
                <w:webHidden/>
              </w:rPr>
              <w:fldChar w:fldCharType="end"/>
            </w:r>
          </w:hyperlink>
        </w:p>
        <w:p w14:paraId="176FDF0B" w14:textId="77777777" w:rsidR="00344246" w:rsidRDefault="00381F1F" w:rsidP="00634944">
          <w:pPr>
            <w:pStyle w:val="XCoverLetterBodyText"/>
          </w:pPr>
          <w:r>
            <w:rPr>
              <w:noProof/>
            </w:rPr>
            <w:fldChar w:fldCharType="end"/>
          </w:r>
        </w:p>
        <w:p w14:paraId="39CC7726" w14:textId="77777777" w:rsidR="00DB7546" w:rsidRDefault="00000000" w:rsidP="000218B2">
          <w:pPr>
            <w:pStyle w:val="ParagraphSpacer"/>
          </w:pPr>
        </w:p>
      </w:sdtContent>
    </w:sdt>
    <w:p w14:paraId="7403BFF4" w14:textId="77777777" w:rsidR="009E3656" w:rsidRDefault="009E3656" w:rsidP="009E3656">
      <w:pPr>
        <w:pStyle w:val="Heading1"/>
      </w:pPr>
      <w:bookmarkStart w:id="0" w:name="_Toc228252905"/>
      <w:r>
        <w:lastRenderedPageBreak/>
        <w:t>1.0</w:t>
      </w:r>
      <w:r>
        <w:tab/>
      </w:r>
      <w:r w:rsidRPr="001F29D8">
        <w:t>Section 1</w:t>
      </w:r>
      <w:r w:rsidR="0001573B">
        <w:t xml:space="preserve">: </w:t>
      </w:r>
      <w:r w:rsidRPr="001F29D8">
        <w:t>Technical Understanding and Approach</w:t>
      </w:r>
      <w:r w:rsidR="00562A40">
        <w:t xml:space="preserve"> </w:t>
      </w:r>
      <w:r w:rsidR="00562A40" w:rsidRPr="00562A40">
        <w:t>(Total 40 Pages)</w:t>
      </w:r>
      <w:bookmarkEnd w:id="0"/>
    </w:p>
    <w:p w14:paraId="4EE7ED2C" w14:textId="77777777" w:rsidR="009E3656" w:rsidRDefault="009E3656" w:rsidP="009E3656">
      <w:pPr>
        <w:pStyle w:val="Heading2"/>
      </w:pPr>
      <w:bookmarkStart w:id="1" w:name="_Toc228252906"/>
      <w:r>
        <w:t>1.1</w:t>
      </w:r>
      <w:r>
        <w:tab/>
      </w:r>
      <w:r w:rsidRPr="0069296D">
        <w:t>Sub-Section 1A: Understanding of CMS’ Program and Acquisition Objectives</w:t>
      </w:r>
      <w:r w:rsidR="00C36647">
        <w:t xml:space="preserve"> </w:t>
      </w:r>
      <w:r w:rsidR="00C36647" w:rsidRPr="002548B6">
        <w:t>(</w:t>
      </w:r>
      <w:r w:rsidR="002548B6" w:rsidRPr="002548B6">
        <w:t>1 Page)</w:t>
      </w:r>
      <w:bookmarkEnd w:id="1"/>
    </w:p>
    <w:p w14:paraId="3282A2CD" w14:textId="77777777" w:rsidR="00A757CF" w:rsidRPr="00A757CF" w:rsidRDefault="2A470EA5" w:rsidP="04281253">
      <w:pPr>
        <w:pStyle w:val="BodyText"/>
        <w:rPr>
          <w:b/>
          <w:bCs/>
        </w:rPr>
      </w:pPr>
      <w:r>
        <w:t xml:space="preserve">Our approach to this requirement aligns directly with the core mission of the Centers for Medicare &amp; Medicaid Services (CMS) and the Center for Consumer Information and Insurance Oversight (CCIIO): to implement the Affordable Care Act's private insurance provisions and ensure Americans have reliable access to high-quality, affordable healthcare. We recognize that robust enrollment resolution and reconciliation (ER&amp;R) is the operational linchpin of this mandate. Resolving data discrepancies across the CMS Data Services Hub (DSH), State-Based Marketplaces, and the issuer community is far more than an administrative IT task. It is the vital mechanism that keeps over 24 million Marketplace enrollees connected to their doctors, ensures Advance </w:t>
      </w:r>
      <w:proofErr w:type="gramStart"/>
      <w:r>
        <w:t>Premium Tax</w:t>
      </w:r>
      <w:proofErr w:type="gramEnd"/>
      <w:r>
        <w:t xml:space="preserve"> Credits (APTC) are perfectly calibrated, and prevents devastating tax liabilities. Deloitte is committed to bringing a refreshed methodology to sustain and modernize these mission-critical workstreams — treating program integrity not as a compliance obligation layered on top of operations, but as a design principle embedded in every platform control, business rule, workflow, and quality checkpoint — proactively identifying and neutralizing fraud, waste, and abuse before it propagates into casework, payments, or tax reporting, safeguarding federal taxpayer dollars and the health and financial security of consumers.</w:t>
      </w:r>
    </w:p>
    <w:p w14:paraId="58AC68F0" w14:textId="77777777" w:rsidR="00A757CF" w:rsidRDefault="00A757CF" w:rsidP="0025604C">
      <w:pPr>
        <w:pStyle w:val="BodyText"/>
        <w:rPr>
          <w:b/>
        </w:rPr>
      </w:pPr>
      <w:r w:rsidRPr="00A757CF">
        <w:t>We bring a 360-degree perspective to this challenge, built upon our successful delivery of resolution and reconciliation solutions for five State-Based Marketplaces (SBMs) and leading national issuers such as Anthem and Kaiser Permanente. To address the full scope of CCIIO’s Statement of Work, we scale this state and commercial agility to the federal level by deploying a frontline workforce of highly experienced caseworkers equipped with modernized telephony and omnichannel support systems. By combining this human-centric operational expertise with comprehensive systems integration, advanced data analytics to detect and prevent improper payments, and Agile delivery, we ensure complex consumer disputes and Form 1095-A inquiries are resolved swiftly and accurately. Today, CMS, HHS, and the IRS trust Deloitte to secure, stabilize, and innovate their most complex, large-scale operations.</w:t>
      </w:r>
    </w:p>
    <w:p w14:paraId="6942B08D" w14:textId="003D5C78" w:rsidR="00ED0F54" w:rsidRPr="00BC7429" w:rsidRDefault="00374692" w:rsidP="0025604C">
      <w:pPr>
        <w:pStyle w:val="BodyText"/>
        <w:rPr>
          <w:b/>
        </w:rPr>
      </w:pPr>
      <w:r w:rsidRPr="00374692">
        <w:t>Deloitte understands CMS' primary objective for this acquisition is to partner with a System Integrator capable of maintaining the operational stability of the ER&amp;R program while actively driving innovation, efficiency, and continuous improvement to achieve the following:</w:t>
      </w:r>
    </w:p>
    <w:tbl>
      <w:tblPr>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5"/>
        <w:gridCol w:w="6930"/>
      </w:tblGrid>
      <w:tr w:rsidR="00167D15" w14:paraId="6C671067" w14:textId="77777777" w:rsidTr="04281253">
        <w:trPr>
          <w:trHeight w:val="186"/>
        </w:trPr>
        <w:tc>
          <w:tcPr>
            <w:tcW w:w="2335" w:type="dxa"/>
            <w:tcBorders>
              <w:top w:val="single" w:sz="8" w:space="0" w:color="1F4E79"/>
              <w:left w:val="single" w:sz="4" w:space="0" w:color="CCCCCC"/>
              <w:bottom w:val="single" w:sz="8" w:space="0" w:color="1F4E79"/>
              <w:right w:val="single" w:sz="4" w:space="0" w:color="CCCCCC"/>
            </w:tcBorders>
            <w:shd w:val="clear" w:color="auto" w:fill="1F4E79"/>
            <w:tcMar>
              <w:top w:w="100" w:type="dxa"/>
              <w:left w:w="140" w:type="dxa"/>
              <w:bottom w:w="100" w:type="dxa"/>
              <w:right w:w="140" w:type="dxa"/>
            </w:tcMar>
          </w:tcPr>
          <w:p w14:paraId="3E7C0A9B" w14:textId="77777777" w:rsidR="00020701" w:rsidRDefault="314693CC" w:rsidP="04281253">
            <w:pPr>
              <w:pStyle w:val="TableHeading"/>
            </w:pPr>
            <w:r>
              <w:t xml:space="preserve">Strategic </w:t>
            </w:r>
            <w:r w:rsidR="262E9214" w:rsidRPr="04281253">
              <w:t>Objective</w:t>
            </w:r>
          </w:p>
        </w:tc>
        <w:tc>
          <w:tcPr>
            <w:tcW w:w="6930" w:type="dxa"/>
            <w:tcBorders>
              <w:top w:val="single" w:sz="8" w:space="0" w:color="1F4E79"/>
              <w:left w:val="single" w:sz="4" w:space="0" w:color="CCCCCC"/>
              <w:bottom w:val="single" w:sz="8" w:space="0" w:color="1F4E79"/>
              <w:right w:val="single" w:sz="4" w:space="0" w:color="CCCCCC"/>
            </w:tcBorders>
            <w:shd w:val="clear" w:color="auto" w:fill="1F4E79"/>
          </w:tcPr>
          <w:p w14:paraId="37AFC00A" w14:textId="77777777" w:rsidR="00E214CC" w:rsidRDefault="00E214CC" w:rsidP="000C0AA7">
            <w:pPr>
              <w:pStyle w:val="TableHeading"/>
              <w:rPr>
                <w:b w:val="0"/>
                <w:bCs/>
              </w:rPr>
            </w:pPr>
            <w:r>
              <w:t>Strategic Outcome</w:t>
            </w:r>
          </w:p>
        </w:tc>
      </w:tr>
      <w:tr w:rsidR="00167D15" w14:paraId="1BC33A4D" w14:textId="77777777" w:rsidTr="04281253">
        <w:trPr>
          <w:trHeight w:val="808"/>
        </w:trPr>
        <w:tc>
          <w:tcPr>
            <w:tcW w:w="2335"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40" w:type="dxa"/>
              <w:bottom w:w="100" w:type="dxa"/>
              <w:right w:w="140" w:type="dxa"/>
            </w:tcMar>
          </w:tcPr>
          <w:p w14:paraId="48ED3847" w14:textId="77777777" w:rsidR="00020701" w:rsidRPr="006818B5" w:rsidRDefault="005C2E45" w:rsidP="009C2636">
            <w:pPr>
              <w:pStyle w:val="TableRowHeading"/>
            </w:pPr>
            <w:r w:rsidRPr="005C2E45">
              <w:t>Uncompromising Enrollment Data Integrity</w:t>
            </w:r>
          </w:p>
        </w:tc>
        <w:tc>
          <w:tcPr>
            <w:tcW w:w="6930" w:type="dxa"/>
            <w:tcBorders>
              <w:top w:val="single" w:sz="4" w:space="0" w:color="CCCCCC"/>
              <w:left w:val="single" w:sz="4" w:space="0" w:color="CCCCCC"/>
              <w:bottom w:val="single" w:sz="4" w:space="0" w:color="CCCCCC"/>
              <w:right w:val="single" w:sz="4" w:space="0" w:color="CCCCCC"/>
            </w:tcBorders>
            <w:shd w:val="clear" w:color="auto" w:fill="FFFFFF" w:themeFill="background1"/>
          </w:tcPr>
          <w:p w14:paraId="4F94D52F" w14:textId="77777777" w:rsidR="007634B5" w:rsidRPr="006818B5" w:rsidRDefault="003855FB" w:rsidP="009C2636">
            <w:pPr>
              <w:pStyle w:val="TableBody"/>
            </w:pPr>
            <w:r w:rsidRPr="006818B5">
              <w:t>Deloitte will serve as the central steward of enrollment and financial data accuracy across the Federally</w:t>
            </w:r>
            <w:r w:rsidR="00B8101E" w:rsidRPr="00717ACD">
              <w:t xml:space="preserve"> </w:t>
            </w:r>
            <w:r w:rsidRPr="006818B5">
              <w:t xml:space="preserve">facilitated Exchange </w:t>
            </w:r>
            <w:r w:rsidR="00B75C22" w:rsidRPr="00B75C22">
              <w:t xml:space="preserve">(FFE) </w:t>
            </w:r>
            <w:r w:rsidRPr="006818B5">
              <w:t>and all State-Based Exchanges</w:t>
            </w:r>
            <w:r w:rsidR="00B75C22" w:rsidRPr="00B75C22">
              <w:t xml:space="preserve"> (SBEs).</w:t>
            </w:r>
            <w:r w:rsidRPr="006818B5">
              <w:t xml:space="preserve"> We will </w:t>
            </w:r>
            <w:r w:rsidR="00B75C22" w:rsidRPr="00B75C22">
              <w:t xml:space="preserve">systematically reconcile issuer </w:t>
            </w:r>
            <w:r w:rsidRPr="006818B5">
              <w:t>data</w:t>
            </w:r>
            <w:r w:rsidR="00B75C22" w:rsidRPr="00B75C22">
              <w:t>, accelerate</w:t>
            </w:r>
            <w:r w:rsidRPr="006818B5">
              <w:t xml:space="preserve"> discrepancy </w:t>
            </w:r>
            <w:r w:rsidR="00B75C22" w:rsidRPr="00B75C22">
              <w:t>resolution, and ensure all corrections are seamlessly synchronized with</w:t>
            </w:r>
            <w:r w:rsidRPr="006818B5">
              <w:t xml:space="preserve"> the FFE</w:t>
            </w:r>
            <w:r w:rsidR="00B75C22" w:rsidRPr="00B75C22">
              <w:t xml:space="preserve">. </w:t>
            </w:r>
            <w:r w:rsidR="00717ACD" w:rsidRPr="00717ACD">
              <w:t>By empowering issuers to resolve disputes efficiently, we facilitate timely, accurate payments and enable the rapid cancellation of erroneous enrollments.</w:t>
            </w:r>
            <w:r w:rsidR="00717ACD">
              <w:t xml:space="preserve"> </w:t>
            </w:r>
            <w:r w:rsidR="00B75C22" w:rsidRPr="00B75C22">
              <w:t>Our ultimate outcome:</w:t>
            </w:r>
            <w:r w:rsidRPr="006818B5">
              <w:t xml:space="preserve"> the right enrollee is in the </w:t>
            </w:r>
            <w:r w:rsidR="00B75C22" w:rsidRPr="00B75C22">
              <w:t>correct</w:t>
            </w:r>
            <w:r w:rsidRPr="006818B5">
              <w:t xml:space="preserve"> plan, receiving the </w:t>
            </w:r>
            <w:r w:rsidR="00B75C22" w:rsidRPr="00B75C22">
              <w:t>precise</w:t>
            </w:r>
            <w:r w:rsidRPr="006818B5">
              <w:t xml:space="preserve"> amount of financial assistance, </w:t>
            </w:r>
            <w:r w:rsidR="00B75C22" w:rsidRPr="00B75C22">
              <w:t>month after</w:t>
            </w:r>
            <w:r w:rsidRPr="006818B5">
              <w:t xml:space="preserve"> month.</w:t>
            </w:r>
          </w:p>
        </w:tc>
      </w:tr>
      <w:tr w:rsidR="00E214CC" w14:paraId="0845D9BF" w14:textId="77777777" w:rsidTr="04281253">
        <w:trPr>
          <w:trHeight w:val="808"/>
        </w:trPr>
        <w:tc>
          <w:tcPr>
            <w:tcW w:w="2335"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40" w:type="dxa"/>
              <w:bottom w:w="100" w:type="dxa"/>
              <w:right w:w="140" w:type="dxa"/>
            </w:tcMar>
          </w:tcPr>
          <w:p w14:paraId="2BA067BA" w14:textId="77777777" w:rsidR="00E214CC" w:rsidRPr="006818B5" w:rsidRDefault="0070783E" w:rsidP="009C2636">
            <w:pPr>
              <w:pStyle w:val="TableRowHeading"/>
            </w:pPr>
            <w:r>
              <w:t>Seamless</w:t>
            </w:r>
            <w:r w:rsidR="00CC5BC7" w:rsidRPr="00CC5BC7">
              <w:t xml:space="preserve"> Consumer Experience &amp; Tax Accuracy</w:t>
            </w:r>
          </w:p>
        </w:tc>
        <w:tc>
          <w:tcPr>
            <w:tcW w:w="6930" w:type="dxa"/>
            <w:tcBorders>
              <w:top w:val="single" w:sz="4" w:space="0" w:color="CCCCCC"/>
              <w:left w:val="single" w:sz="4" w:space="0" w:color="CCCCCC"/>
              <w:bottom w:val="single" w:sz="4" w:space="0" w:color="CCCCCC"/>
              <w:right w:val="single" w:sz="4" w:space="0" w:color="CCCCCC"/>
            </w:tcBorders>
            <w:shd w:val="clear" w:color="auto" w:fill="FFFFFF" w:themeFill="background1"/>
          </w:tcPr>
          <w:p w14:paraId="43B8168C" w14:textId="77777777" w:rsidR="00E214CC" w:rsidRPr="006818B5" w:rsidRDefault="00F30E0F" w:rsidP="009C2636">
            <w:pPr>
              <w:pStyle w:val="TableBody"/>
            </w:pPr>
            <w:r w:rsidRPr="006818B5">
              <w:t xml:space="preserve">Deloitte will </w:t>
            </w:r>
            <w:r w:rsidR="00245A0F" w:rsidRPr="00245A0F">
              <w:t>safeguard</w:t>
            </w:r>
            <w:r w:rsidRPr="006818B5">
              <w:t xml:space="preserve"> Marketplace </w:t>
            </w:r>
            <w:r w:rsidR="00245A0F" w:rsidRPr="00245A0F">
              <w:t>enrollees'</w:t>
            </w:r>
            <w:r w:rsidRPr="006818B5">
              <w:t xml:space="preserve"> ability to file their </w:t>
            </w:r>
            <w:r w:rsidR="00245A0F" w:rsidRPr="00245A0F">
              <w:t xml:space="preserve">federal </w:t>
            </w:r>
            <w:r w:rsidRPr="006818B5">
              <w:t>taxes accurately and maintain their health coverage without disruption. We will resolve Form 1095-A disputes with urgency and precision</w:t>
            </w:r>
            <w:r w:rsidR="00245A0F" w:rsidRPr="00245A0F">
              <w:t>—dynamically</w:t>
            </w:r>
            <w:r w:rsidRPr="006818B5">
              <w:t xml:space="preserve"> scaling our workforce to meet peak tax</w:t>
            </w:r>
            <w:r w:rsidR="00245A0F" w:rsidRPr="00245A0F">
              <w:t>-</w:t>
            </w:r>
            <w:r w:rsidRPr="006818B5">
              <w:t xml:space="preserve">season </w:t>
            </w:r>
            <w:r w:rsidR="00245A0F" w:rsidRPr="00245A0F">
              <w:t>demands. Furthermore, we</w:t>
            </w:r>
            <w:r w:rsidRPr="006818B5">
              <w:t xml:space="preserve"> will ensure that consumers facing the most complex enrollment barriers </w:t>
            </w:r>
            <w:r w:rsidRPr="006818B5">
              <w:lastRenderedPageBreak/>
              <w:t xml:space="preserve">receive dedicated, expert assistance </w:t>
            </w:r>
            <w:r w:rsidR="00245A0F" w:rsidRPr="00245A0F">
              <w:t>through the Complex Case Help Center (CCHC), delivering</w:t>
            </w:r>
            <w:r w:rsidRPr="006818B5">
              <w:t xml:space="preserve"> lasting </w:t>
            </w:r>
            <w:r w:rsidR="00245A0F" w:rsidRPr="00245A0F">
              <w:t>root-cause resolutions rather than mere</w:t>
            </w:r>
            <w:r w:rsidRPr="006818B5">
              <w:t xml:space="preserve"> case </w:t>
            </w:r>
            <w:r w:rsidR="00245A0F" w:rsidRPr="00245A0F">
              <w:t>closures.</w:t>
            </w:r>
          </w:p>
        </w:tc>
      </w:tr>
      <w:tr w:rsidR="00E214CC" w14:paraId="4FB4A43B" w14:textId="77777777" w:rsidTr="04281253">
        <w:trPr>
          <w:trHeight w:val="808"/>
        </w:trPr>
        <w:tc>
          <w:tcPr>
            <w:tcW w:w="2335"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40" w:type="dxa"/>
              <w:bottom w:w="100" w:type="dxa"/>
              <w:right w:w="140" w:type="dxa"/>
            </w:tcMar>
          </w:tcPr>
          <w:p w14:paraId="7ABF228A" w14:textId="77777777" w:rsidR="00E214CC" w:rsidRPr="006818B5" w:rsidRDefault="007A362C" w:rsidP="009C2636">
            <w:pPr>
              <w:pStyle w:val="TableRowHeading"/>
            </w:pPr>
            <w:r w:rsidRPr="006818B5">
              <w:lastRenderedPageBreak/>
              <w:t>Technology modernization &amp; AI innovation</w:t>
            </w:r>
          </w:p>
        </w:tc>
        <w:tc>
          <w:tcPr>
            <w:tcW w:w="6930" w:type="dxa"/>
            <w:tcBorders>
              <w:top w:val="single" w:sz="4" w:space="0" w:color="CCCCCC"/>
              <w:left w:val="single" w:sz="4" w:space="0" w:color="CCCCCC"/>
              <w:bottom w:val="single" w:sz="4" w:space="0" w:color="CCCCCC"/>
              <w:right w:val="single" w:sz="4" w:space="0" w:color="CCCCCC"/>
            </w:tcBorders>
            <w:shd w:val="clear" w:color="auto" w:fill="FFFFFF" w:themeFill="background1"/>
          </w:tcPr>
          <w:p w14:paraId="119D0424" w14:textId="77777777" w:rsidR="00E214CC" w:rsidRPr="006818B5" w:rsidRDefault="006818B5" w:rsidP="009C2636">
            <w:pPr>
              <w:pStyle w:val="TableBody"/>
            </w:pPr>
            <w:r w:rsidRPr="006818B5">
              <w:t xml:space="preserve">Deloitte </w:t>
            </w:r>
            <w:r w:rsidR="001927AA" w:rsidRPr="001927AA">
              <w:t>will</w:t>
            </w:r>
            <w:r w:rsidRPr="006818B5">
              <w:t xml:space="preserve"> continuously advance the technical capabilities that power the ER&amp;R mission</w:t>
            </w:r>
            <w:r w:rsidR="001927AA" w:rsidRPr="001927AA">
              <w:t>. We will modernize core systems—including</w:t>
            </w:r>
            <w:r w:rsidRPr="006818B5">
              <w:t xml:space="preserve"> CERRS, HICS, SEED, and EDA CORE</w:t>
            </w:r>
            <w:r w:rsidR="001927AA" w:rsidRPr="001927AA">
              <w:t>—on a secure,</w:t>
            </w:r>
            <w:r w:rsidRPr="006818B5">
              <w:t xml:space="preserve"> Azure cloud-native architecture</w:t>
            </w:r>
            <w:r w:rsidR="001927AA" w:rsidRPr="001927AA">
              <w:t>. To accelerate discrepancy resolution and system maintenance, we will integrate</w:t>
            </w:r>
            <w:r w:rsidRPr="006818B5">
              <w:t xml:space="preserve"> AI-</w:t>
            </w:r>
            <w:r w:rsidR="001927AA" w:rsidRPr="001927AA">
              <w:t xml:space="preserve">driven innovations to streamline complex operational activities, ensuring </w:t>
            </w:r>
            <w:r w:rsidRPr="006818B5">
              <w:t xml:space="preserve">full </w:t>
            </w:r>
            <w:r w:rsidR="001927AA" w:rsidRPr="001927AA">
              <w:t xml:space="preserve">algorithmic </w:t>
            </w:r>
            <w:r w:rsidRPr="006818B5">
              <w:t xml:space="preserve">transparency </w:t>
            </w:r>
            <w:r w:rsidR="001927AA" w:rsidRPr="001927AA">
              <w:t xml:space="preserve">is </w:t>
            </w:r>
            <w:r w:rsidRPr="006818B5">
              <w:t>documented in the PIOP</w:t>
            </w:r>
            <w:r w:rsidR="001927AA" w:rsidRPr="001927AA">
              <w:t>. Concurrently, we will build an advanced</w:t>
            </w:r>
            <w:r w:rsidRPr="006818B5">
              <w:t xml:space="preserve"> data analytics infrastructure that </w:t>
            </w:r>
            <w:r w:rsidR="001927AA" w:rsidRPr="001927AA">
              <w:t>empowers</w:t>
            </w:r>
            <w:r w:rsidRPr="006818B5">
              <w:t xml:space="preserve"> CMS and issuers </w:t>
            </w:r>
            <w:r w:rsidR="001927AA" w:rsidRPr="001927AA">
              <w:t xml:space="preserve">with </w:t>
            </w:r>
            <w:r w:rsidRPr="006818B5">
              <w:t xml:space="preserve">real-time visibility into enrollment alignment. We will treat every </w:t>
            </w:r>
            <w:r w:rsidR="001927AA" w:rsidRPr="001927AA">
              <w:t xml:space="preserve">Agile </w:t>
            </w:r>
            <w:r w:rsidRPr="006818B5">
              <w:t xml:space="preserve">release cycle as </w:t>
            </w:r>
            <w:r w:rsidR="001927AA" w:rsidRPr="001927AA">
              <w:t>a strategic</w:t>
            </w:r>
            <w:r w:rsidRPr="006818B5">
              <w:t xml:space="preserve"> opportunity to reduce manual burden, improve system reliability, and deliver measurable</w:t>
            </w:r>
            <w:r w:rsidR="001927AA" w:rsidRPr="001927AA">
              <w:t>, rapid-turnaround</w:t>
            </w:r>
            <w:r w:rsidRPr="006818B5">
              <w:t xml:space="preserve"> efficiency gains to the program.</w:t>
            </w:r>
          </w:p>
        </w:tc>
      </w:tr>
      <w:tr w:rsidR="00E214CC" w14:paraId="05BFEA74" w14:textId="77777777" w:rsidTr="04281253">
        <w:trPr>
          <w:trHeight w:val="808"/>
        </w:trPr>
        <w:tc>
          <w:tcPr>
            <w:tcW w:w="2335"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40" w:type="dxa"/>
              <w:bottom w:w="100" w:type="dxa"/>
              <w:right w:w="140" w:type="dxa"/>
            </w:tcMar>
          </w:tcPr>
          <w:p w14:paraId="600D4C64" w14:textId="77777777" w:rsidR="00E214CC" w:rsidRPr="006818B5" w:rsidRDefault="00D85C3C" w:rsidP="009C2636">
            <w:pPr>
              <w:pStyle w:val="TableRowHeading"/>
            </w:pPr>
            <w:r w:rsidRPr="00D85C3C">
              <w:rPr>
                <w:bCs/>
              </w:rPr>
              <w:t>Uncompromising Security, Privacy &amp; Regulatory Compliance</w:t>
            </w:r>
          </w:p>
        </w:tc>
        <w:tc>
          <w:tcPr>
            <w:tcW w:w="6930" w:type="dxa"/>
            <w:tcBorders>
              <w:top w:val="single" w:sz="4" w:space="0" w:color="CCCCCC"/>
              <w:left w:val="single" w:sz="4" w:space="0" w:color="CCCCCC"/>
              <w:bottom w:val="single" w:sz="4" w:space="0" w:color="CCCCCC"/>
              <w:right w:val="single" w:sz="4" w:space="0" w:color="CCCCCC"/>
            </w:tcBorders>
            <w:shd w:val="clear" w:color="auto" w:fill="FFFFFF" w:themeFill="background1"/>
          </w:tcPr>
          <w:p w14:paraId="793873D0" w14:textId="77777777" w:rsidR="00E214CC" w:rsidRPr="006818B5" w:rsidRDefault="004B72E9" w:rsidP="009C2636">
            <w:pPr>
              <w:pStyle w:val="TableBody"/>
            </w:pPr>
            <w:r w:rsidRPr="004B72E9">
              <w:t xml:space="preserve">Deloitte will partner with CCIIO to rigorously safeguard the sensitive personal, health, and tax information (PII, PHI, and FTI) entrusted to the ER&amp;R program. To protect the system infrastructure from malicious users and evolving cyber threats, we will implement proactive, robust defenses while achieving strict security compliance. We will maintain continuous Authorizations to Operate (ATOs) without disruption and ensure our entire workforce is fully vetted and credentialed prior to accessing any CMS system. We commit to executing rapid incident response protocols within stipulated SLAs, treating the defense of enrollee data not merely as a compliance obligation, but as a fundamental commitment to the security and trust of the </w:t>
            </w:r>
            <w:r w:rsidR="009305CA">
              <w:t>CMS and CCIIO</w:t>
            </w:r>
            <w:r w:rsidRPr="004B72E9">
              <w:t>.</w:t>
            </w:r>
          </w:p>
        </w:tc>
      </w:tr>
      <w:tr w:rsidR="00CB62AF" w14:paraId="420B52EC" w14:textId="77777777" w:rsidTr="04281253">
        <w:trPr>
          <w:trHeight w:val="808"/>
        </w:trPr>
        <w:tc>
          <w:tcPr>
            <w:tcW w:w="2335"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40" w:type="dxa"/>
              <w:bottom w:w="100" w:type="dxa"/>
              <w:right w:w="140" w:type="dxa"/>
            </w:tcMar>
          </w:tcPr>
          <w:p w14:paraId="2E92093B" w14:textId="77777777" w:rsidR="00CB62AF" w:rsidRPr="006818B5" w:rsidRDefault="00D735E5" w:rsidP="009C2636">
            <w:pPr>
              <w:pStyle w:val="TableRowHeading"/>
            </w:pPr>
            <w:r w:rsidRPr="00D735E5">
              <w:rPr>
                <w:bCs/>
              </w:rPr>
              <w:t>Excellence in</w:t>
            </w:r>
            <w:r>
              <w:rPr>
                <w:bCs/>
              </w:rPr>
              <w:t xml:space="preserve"> </w:t>
            </w:r>
            <w:r w:rsidR="00AB50CC" w:rsidRPr="006818B5">
              <w:t>Program management &amp; stakeholder partnership</w:t>
            </w:r>
          </w:p>
        </w:tc>
        <w:tc>
          <w:tcPr>
            <w:tcW w:w="6930" w:type="dxa"/>
            <w:tcBorders>
              <w:top w:val="single" w:sz="4" w:space="0" w:color="CCCCCC"/>
              <w:left w:val="single" w:sz="4" w:space="0" w:color="CCCCCC"/>
              <w:bottom w:val="single" w:sz="4" w:space="0" w:color="CCCCCC"/>
              <w:right w:val="single" w:sz="4" w:space="0" w:color="CCCCCC"/>
            </w:tcBorders>
            <w:shd w:val="clear" w:color="auto" w:fill="FFFFFF" w:themeFill="background1"/>
          </w:tcPr>
          <w:p w14:paraId="3378F2E7" w14:textId="77777777" w:rsidR="00CB62AF" w:rsidRPr="006818B5" w:rsidRDefault="000C3D93" w:rsidP="009C2636">
            <w:pPr>
              <w:pStyle w:val="TableBody"/>
            </w:pPr>
            <w:r>
              <w:t xml:space="preserve">Deloitte </w:t>
            </w:r>
            <w:r w:rsidRPr="000C3D93">
              <w:t xml:space="preserve">will </w:t>
            </w:r>
            <w:r w:rsidR="00AB6A93" w:rsidRPr="00AB6A93">
              <w:t xml:space="preserve">operate as a true partner to </w:t>
            </w:r>
            <w:r w:rsidRPr="000C3D93">
              <w:t>CMS</w:t>
            </w:r>
            <w:r w:rsidR="00AB6A93" w:rsidRPr="00AB6A93">
              <w:t xml:space="preserve">, ensuring </w:t>
            </w:r>
            <w:r w:rsidRPr="000C3D93">
              <w:t xml:space="preserve">complete, real-time </w:t>
            </w:r>
            <w:r w:rsidR="00AB6A93" w:rsidRPr="00AB6A93">
              <w:t>visibility into the health of the ER&amp;R</w:t>
            </w:r>
            <w:r w:rsidRPr="000C3D93">
              <w:t xml:space="preserve"> program</w:t>
            </w:r>
            <w:r w:rsidR="00AB6A93" w:rsidRPr="00AB6A93">
              <w:t>. Through</w:t>
            </w:r>
            <w:r w:rsidRPr="000C3D93">
              <w:t xml:space="preserve"> disciplined governance</w:t>
            </w:r>
            <w:r w:rsidR="00AB6A93" w:rsidRPr="00AB6A93">
              <w:t xml:space="preserve"> and </w:t>
            </w:r>
            <w:r w:rsidRPr="000C3D93">
              <w:t xml:space="preserve">proactive communication, </w:t>
            </w:r>
            <w:r w:rsidR="00AB6A93" w:rsidRPr="00AB6A93">
              <w:t>we will execute deliverables flawlessly, anticipating and mitigating risks before they materialize into issues. We are acutely aware of the stakes of contractor transitions; we will manage every phase of the handover with rigorous precision, guaranteeing that operational changes never translate into disruptions for the 24 million people relying on the Marketplace.</w:t>
            </w:r>
          </w:p>
        </w:tc>
      </w:tr>
      <w:tr w:rsidR="00BC00D8" w14:paraId="22A5AC3E" w14:textId="77777777" w:rsidTr="04281253">
        <w:trPr>
          <w:trHeight w:val="808"/>
        </w:trPr>
        <w:tc>
          <w:tcPr>
            <w:tcW w:w="2335"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40" w:type="dxa"/>
              <w:bottom w:w="100" w:type="dxa"/>
              <w:right w:w="140" w:type="dxa"/>
            </w:tcMar>
          </w:tcPr>
          <w:p w14:paraId="4778FAC1" w14:textId="77777777" w:rsidR="00BC00D8" w:rsidRPr="00D735E5" w:rsidRDefault="00BC00D8" w:rsidP="009C2636">
            <w:pPr>
              <w:pStyle w:val="TableRowHeading"/>
              <w:rPr>
                <w:bCs/>
              </w:rPr>
            </w:pPr>
            <w:r>
              <w:rPr>
                <w:bCs/>
              </w:rPr>
              <w:t xml:space="preserve">Protect against fraud, waste, and abuse</w:t>
            </w:r>
          </w:p>
        </w:tc>
        <w:tc>
          <w:tcPr>
            <w:tcW w:w="6930" w:type="dxa"/>
            <w:tcBorders>
              <w:top w:val="single" w:sz="4" w:space="0" w:color="CCCCCC"/>
              <w:left w:val="single" w:sz="4" w:space="0" w:color="CCCCCC"/>
              <w:bottom w:val="single" w:sz="4" w:space="0" w:color="CCCCCC"/>
              <w:right w:val="single" w:sz="4" w:space="0" w:color="CCCCCC"/>
            </w:tcBorders>
            <w:shd w:val="clear" w:color="auto" w:fill="FFFFFF" w:themeFill="background1"/>
          </w:tcPr>
          <w:p w14:paraId="0738A1D9" w14:textId="77777777" w:rsidR="00BC00D8" w:rsidRDefault="00BC00D8" w:rsidP="009C2636">
            <w:pPr>
              <w:pStyle w:val="TableBody"/>
            </w:pPr>
          </w:p>
        </w:tc>
      </w:tr>
    </w:tbl>
    <w:p w14:paraId="2CEA518C" w14:textId="77777777" w:rsidR="008A2E01" w:rsidRDefault="008A2E01" w:rsidP="008A2E01">
      <w:pPr>
        <w:pStyle w:val="Heading2"/>
      </w:pPr>
      <w:bookmarkStart w:id="2" w:name="_Toc228252907"/>
      <w:r>
        <w:t>1.2</w:t>
      </w:r>
      <w:r>
        <w:tab/>
      </w:r>
      <w:r w:rsidRPr="00122D2C">
        <w:t>Sub-Section 1B: Approach to Performing the Requirements in the SOW</w:t>
      </w:r>
      <w:r>
        <w:t xml:space="preserve"> </w:t>
      </w:r>
      <w:r w:rsidRPr="00806273">
        <w:t>(Total 18 Pages)</w:t>
      </w:r>
      <w:bookmarkEnd w:id="2"/>
    </w:p>
    <w:p w14:paraId="34473377" w14:textId="77777777" w:rsidR="008A2E01" w:rsidRDefault="008A2E01" w:rsidP="008A2E01">
      <w:pPr>
        <w:pStyle w:val="Heading3"/>
      </w:pPr>
      <w:bookmarkStart w:id="3" w:name="_Toc228252908"/>
      <w:r>
        <w:t>1.2.1</w:t>
      </w:r>
      <w:r>
        <w:tab/>
      </w:r>
      <w:r w:rsidRPr="00CC65CE">
        <w:t>Task 2: ER&amp;R Issuer Disputes</w:t>
      </w:r>
      <w:r>
        <w:t xml:space="preserve"> </w:t>
      </w:r>
      <w:r w:rsidRPr="002A0D27">
        <w:rPr>
          <w:vertAlign w:val="superscript"/>
        </w:rPr>
        <w:t>(SOW 3.2)</w:t>
      </w:r>
      <w:r>
        <w:t xml:space="preserve"> </w:t>
      </w:r>
      <w:r w:rsidRPr="00806273">
        <w:t>(2 Pages)</w:t>
      </w:r>
      <w:bookmarkEnd w:id="3"/>
    </w:p>
    <w:p w14:paraId="2A8E1A46" w14:textId="77777777" w:rsidR="00DE030B" w:rsidRPr="00DE030B" w:rsidRDefault="00DE030B" w:rsidP="00DE030B">
      <w:pPr>
        <w:pStyle w:val="BodyText"/>
      </w:pPr>
      <w:r>
        <w:t xml:space="preserve">Deloitte’s operating philosophy follows a deliberate </w:t>
      </w:r>
      <w:r w:rsidR="0060333E">
        <w:t xml:space="preserve">phased </w:t>
      </w:r>
      <w:r w:rsidR="00E34221">
        <w:t xml:space="preserve">approach to inheriting the ongoing </w:t>
      </w:r>
      <w:r w:rsidR="0060333E">
        <w:t xml:space="preserve">ER&amp;R </w:t>
      </w:r>
      <w:r w:rsidR="00E34221">
        <w:t>operations</w:t>
      </w:r>
      <w:r>
        <w:t xml:space="preserve">. In the first horizon, Deloitte </w:t>
      </w:r>
      <w:r w:rsidR="00EA1977">
        <w:t>team is ready to deliver</w:t>
      </w:r>
      <w:r>
        <w:t xml:space="preserve"> operational stability from Day 1</w:t>
      </w:r>
      <w:r w:rsidR="00EA1977">
        <w:t>;</w:t>
      </w:r>
      <w:r>
        <w:t xml:space="preserve"> </w:t>
      </w:r>
      <w:r w:rsidR="00D56A7E">
        <w:t xml:space="preserve">smooth transition, </w:t>
      </w:r>
      <w:r>
        <w:t xml:space="preserve">no disruption to in-flight cases, </w:t>
      </w:r>
      <w:r w:rsidR="0034430A">
        <w:t xml:space="preserve">and </w:t>
      </w:r>
      <w:r w:rsidR="000A2EB0">
        <w:t xml:space="preserve">serving </w:t>
      </w:r>
      <w:r w:rsidR="0034430A">
        <w:t>consumers</w:t>
      </w:r>
      <w:r w:rsidR="00661CC8">
        <w:t xml:space="preserve"> is </w:t>
      </w:r>
      <w:r w:rsidR="00381325">
        <w:t xml:space="preserve">a responsibility we do not take lightly. We achieve this through </w:t>
      </w:r>
      <w:r w:rsidR="00722868">
        <w:t xml:space="preserve">collaboratively working with </w:t>
      </w:r>
      <w:r w:rsidR="009E09B1">
        <w:t>CMS</w:t>
      </w:r>
      <w:r w:rsidR="00381325">
        <w:t xml:space="preserve"> and its contractors, issuers, executing a smooth knowledge transfer </w:t>
      </w:r>
      <w:r w:rsidR="00717054">
        <w:t xml:space="preserve">and the use of </w:t>
      </w:r>
      <w:r w:rsidR="008814EF">
        <w:t>technolog</w:t>
      </w:r>
      <w:r w:rsidR="007F51F0">
        <w:t xml:space="preserve">y </w:t>
      </w:r>
      <w:r w:rsidR="00886395">
        <w:t xml:space="preserve">provide additional system </w:t>
      </w:r>
      <w:proofErr w:type="gramStart"/>
      <w:r w:rsidR="00886395">
        <w:t>insight</w:t>
      </w:r>
      <w:proofErr w:type="gramEnd"/>
      <w:r w:rsidR="00886395">
        <w:t xml:space="preserve"> above and beyond</w:t>
      </w:r>
      <w:r>
        <w:t xml:space="preserve"> what </w:t>
      </w:r>
      <w:r w:rsidR="00886395">
        <w:t xml:space="preserve">is already </w:t>
      </w:r>
      <w:r w:rsidR="00EC0459">
        <w:t>documented in</w:t>
      </w:r>
      <w:r>
        <w:t xml:space="preserve"> </w:t>
      </w:r>
      <w:proofErr w:type="gramStart"/>
      <w:r>
        <w:t xml:space="preserve">the </w:t>
      </w:r>
      <w:r w:rsidR="00EC0459">
        <w:t>SOPS</w:t>
      </w:r>
      <w:proofErr w:type="gramEnd"/>
      <w:r>
        <w:t xml:space="preserve">. Deloitte applies structured assessment and optimization—improving rule performance, refining staffing models, and strengthening program intelligence—with CMS visibility and approval at each step.</w:t>
      </w:r>
    </w:p>
    <w:p w14:paraId="66701EB9" w14:textId="482FE05F" w:rsidR="00DE030B" w:rsidRPr="00EC1036" w:rsidRDefault="00DE030B" w:rsidP="00DE030B">
      <w:pPr>
        <w:pStyle w:val="BodyText"/>
        <w:rPr>
          <w:rStyle w:val="CharacterBold"/>
          <w:b w:val="0"/>
        </w:rPr>
      </w:pPr>
      <w:r w:rsidRPr="00B12833">
        <w:rPr>
          <w:i/>
        </w:rPr>
        <w:lastRenderedPageBreak/>
        <w:t xml:space="preserve">Program integrity is not a compliance layer in this operating model. It is a design principle embedded in every task from Day 1. </w:t>
      </w:r>
      <w:r w:rsidRPr="00B12833">
        <w:t>Audit-ready case documentation, documented approval before any override or batch correction, elevated QA sampling for high-risk case types, and a cross-task integrity risk register established during transition-in are operational standards, not periodic reviews. Deloitte will surface integrity findings to CMS with root cause analysis and recommended corrective action—not after an audit, but as a routine output of the operating model.</w:t>
      </w:r>
    </w:p>
    <w:p w14:paraId="7657937E" w14:textId="77777777" w:rsidR="00497CA6" w:rsidRPr="009B3945" w:rsidRDefault="00497CA6" w:rsidP="00497CA6">
      <w:pPr>
        <w:pStyle w:val="BodyText"/>
        <w:rPr>
          <w:rStyle w:val="CharacterBold"/>
        </w:rPr>
      </w:pPr>
      <w:r w:rsidRPr="009B3945">
        <w:rPr>
          <w:rStyle w:val="CharacterBold"/>
        </w:rPr>
        <w:t>Shared Transition-In Approach: Tasks 2, 3, and 4</w:t>
      </w:r>
    </w:p>
    <w:p w14:paraId="18C24562" w14:textId="77777777" w:rsidR="002D0B8E" w:rsidRPr="002D0B8E" w:rsidRDefault="002D0B8E" w:rsidP="00E82016">
      <w:pPr>
        <w:pStyle w:val="BodyText"/>
      </w:pPr>
      <w:r w:rsidRPr="002D0B8E">
        <w:t xml:space="preserve">Deloitte operates </w:t>
      </w:r>
      <w:r w:rsidR="00082E93">
        <w:t>ER&amp;R, 1095-A and Complex Cases a</w:t>
      </w:r>
      <w:r w:rsidRPr="002D0B8E">
        <w:t>s a</w:t>
      </w:r>
      <w:r w:rsidR="00082E93">
        <w:t>n</w:t>
      </w:r>
      <w:r w:rsidRPr="002D0B8E">
        <w:t xml:space="preserve"> integrated ER&amp;R program. An issuer data error becomes a payment dispute in Task 2 and a consumer tax problem in Task 3. An </w:t>
      </w:r>
      <w:r w:rsidR="00082E93">
        <w:t>upstream</w:t>
      </w:r>
      <w:r w:rsidRPr="002D0B8E">
        <w:t xml:space="preserve"> system condition appears in Task 4 before it surfaces in aggregate dispute data. Deloitte's </w:t>
      </w:r>
      <w:r w:rsidR="00082E93">
        <w:t xml:space="preserve">operational approach </w:t>
      </w:r>
      <w:r w:rsidRPr="002D0B8E">
        <w:t>makes those connections visible in real time—one coordinated response, one CMS briefing.</w:t>
      </w:r>
    </w:p>
    <w:p w14:paraId="6FEC76C6" w14:textId="77777777" w:rsidR="002D0B8E" w:rsidRPr="002D0B8E" w:rsidRDefault="002D0B8E" w:rsidP="00E82016">
      <w:pPr>
        <w:pStyle w:val="BodyText"/>
      </w:pPr>
      <w:r>
        <w:t xml:space="preserve">Deloitte will be operationally ready before the first case transfers. The transition-in approach—detailed under Task 12—validates every system, workflow, and intake pipeline against live production behavior. Deloitte deploys </w:t>
      </w:r>
      <w:proofErr w:type="spellStart"/>
      <w:r>
        <w:t>TruNorth</w:t>
      </w:r>
      <w:proofErr w:type="spellEnd"/>
      <w:r>
        <w:t xml:space="preserve">, our proprietary GenAI platform, to independently capture rule logic, routing rules, and classification behavior directly from source code across all tasks simultaneously—producing a system understanding that </w:t>
      </w:r>
      <w:r w:rsidR="00F54278">
        <w:t>supplements what is shared through SOPs and KT</w:t>
      </w:r>
      <w:r w:rsidR="00645276">
        <w:t xml:space="preserve">. This will </w:t>
      </w:r>
      <w:r w:rsidR="00F54278">
        <w:t>giv</w:t>
      </w:r>
      <w:r w:rsidR="00645276">
        <w:t>e</w:t>
      </w:r>
      <w:r w:rsidR="00F54278">
        <w:t xml:space="preserve"> CMS </w:t>
      </w:r>
      <w:proofErr w:type="gramStart"/>
      <w:r w:rsidR="00F54278">
        <w:t>the confidence</w:t>
      </w:r>
      <w:proofErr w:type="gramEnd"/>
      <w:r w:rsidR="00F54278">
        <w:t xml:space="preserve"> </w:t>
      </w:r>
      <w:r w:rsidR="00613698">
        <w:t xml:space="preserve">in the </w:t>
      </w:r>
      <w:r w:rsidR="00645276">
        <w:t>transition being built</w:t>
      </w:r>
      <w:r>
        <w:t xml:space="preserve"> on the </w:t>
      </w:r>
      <w:r w:rsidR="00645276">
        <w:t>solid foundation</w:t>
      </w:r>
      <w:r>
        <w:t>. Every function is validated through a structured readiness gate before going live, with progress confirmed through a daily cross-task dashboard that makes readiness visible and measurable to CMS throughout the transition period.</w:t>
      </w:r>
    </w:p>
    <w:p w14:paraId="5D957048" w14:textId="77777777" w:rsidR="002D0B8E" w:rsidRPr="002D0B8E" w:rsidRDefault="002D0B8E" w:rsidP="00E82016">
      <w:pPr>
        <w:pStyle w:val="BodyText"/>
      </w:pPr>
      <w:r w:rsidRPr="002D0B8E">
        <w:t xml:space="preserve">Deloitte brings pre-existing knowledge of the enrollment reconciliation </w:t>
      </w:r>
      <w:r w:rsidR="00645276">
        <w:t>and 1095-A</w:t>
      </w:r>
      <w:r w:rsidRPr="002D0B8E">
        <w:t xml:space="preserve"> through </w:t>
      </w:r>
      <w:r w:rsidR="00645276">
        <w:t>our work with the States and</w:t>
      </w:r>
      <w:r w:rsidR="00A547C9">
        <w:t xml:space="preserve"> issuers</w:t>
      </w:r>
      <w:r w:rsidRPr="002D0B8E">
        <w:t xml:space="preserve"> and </w:t>
      </w:r>
      <w:proofErr w:type="gramStart"/>
      <w:r w:rsidRPr="002D0B8E">
        <w:t>staffs</w:t>
      </w:r>
      <w:proofErr w:type="gramEnd"/>
      <w:r w:rsidRPr="002D0B8E">
        <w:t xml:space="preserve"> each task with personnel who arrive scenario-trained on the actual case types, system configurations, and issuer patterns they will encounter. Each task's Key Personnel leads the knowledge transfer process for their workstream</w:t>
      </w:r>
      <w:r w:rsidR="00F054CC">
        <w:t>.</w:t>
      </w:r>
      <w:r w:rsidRPr="002D0B8E">
        <w:t xml:space="preserve"> The knowledge transfer model moves through four structured stages before any </w:t>
      </w:r>
      <w:proofErr w:type="gramStart"/>
      <w:r w:rsidRPr="002D0B8E">
        <w:t>caseworker</w:t>
      </w:r>
      <w:proofErr w:type="gramEnd"/>
      <w:r w:rsidRPr="002D0B8E">
        <w:t xml:space="preserve"> handles a live case. From Day 1, a weekly cross-task data share connects all three teams so patterns that originate in one workstream and surface in another are coordinated as a single corrective action—not discovered independently weeks apart.</w:t>
      </w:r>
    </w:p>
    <w:p w14:paraId="490158CA" w14:textId="77777777" w:rsidR="00497CA6" w:rsidRPr="00497CA6" w:rsidRDefault="0091289D" w:rsidP="00497CA6">
      <w:pPr>
        <w:pStyle w:val="BodyText"/>
      </w:pPr>
      <w:r w:rsidRPr="0091289D">
        <w:rPr>
          <w:noProof/>
        </w:rPr>
        <w:lastRenderedPageBreak/>
        <w:drawing>
          <wp:inline distT="0" distB="0" distL="0" distR="0" wp14:anchorId="5BB31617" wp14:editId="0E8A0B94">
            <wp:extent cx="5943600" cy="3414395"/>
            <wp:effectExtent l="0" t="0" r="0" b="1905"/>
            <wp:docPr id="446821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821022" name=""/>
                    <pic:cNvPicPr/>
                  </pic:nvPicPr>
                  <pic:blipFill>
                    <a:blip r:embed="rId23"/>
                    <a:stretch>
                      <a:fillRect/>
                    </a:stretch>
                  </pic:blipFill>
                  <pic:spPr>
                    <a:xfrm>
                      <a:off x="0" y="0"/>
                      <a:ext cx="5943600" cy="3414395"/>
                    </a:xfrm>
                    <a:prstGeom prst="rect">
                      <a:avLst/>
                    </a:prstGeom>
                  </pic:spPr>
                </pic:pic>
              </a:graphicData>
            </a:graphic>
          </wp:inline>
        </w:drawing>
      </w:r>
    </w:p>
    <w:p w14:paraId="53B82708" w14:textId="77777777" w:rsidR="004A63E3" w:rsidRPr="00497CA6" w:rsidRDefault="004A63E3" w:rsidP="00394A4B">
      <w:pPr>
        <w:pStyle w:val="BodyText"/>
        <w:spacing w:after="120"/>
      </w:pPr>
      <w:r w:rsidRPr="00497CA6">
        <w:rPr>
          <w:i/>
          <w:iCs/>
        </w:rPr>
        <w:t>An integrity risk register covering all three tasks is established during transition-in, with control points and escalation playbooks for high-risk workflows documented before Day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7CA6" w:rsidRPr="00497CA6" w14:paraId="4F14248F" w14:textId="77777777">
        <w:tc>
          <w:tcPr>
            <w:tcW w:w="9360" w:type="dxa"/>
            <w:tcBorders>
              <w:top w:val="single" w:sz="1" w:space="0" w:color="B5D4F4"/>
              <w:left w:val="single" w:sz="1" w:space="0" w:color="B5D4F4"/>
              <w:bottom w:val="single" w:sz="1" w:space="0" w:color="B5D4F4"/>
              <w:right w:val="single" w:sz="1" w:space="0" w:color="B5D4F4"/>
            </w:tcBorders>
            <w:shd w:val="clear" w:color="auto" w:fill="E6F1FB"/>
            <w:tcMar>
              <w:top w:w="100" w:type="dxa"/>
              <w:left w:w="160" w:type="dxa"/>
              <w:bottom w:w="100" w:type="dxa"/>
              <w:right w:w="160" w:type="dxa"/>
            </w:tcMar>
          </w:tcPr>
          <w:p w14:paraId="5ABE3C17" w14:textId="77777777" w:rsidR="00497CA6" w:rsidRPr="00497CA6" w:rsidRDefault="00497CA6" w:rsidP="00497CA6">
            <w:pPr>
              <w:pStyle w:val="BodyText"/>
            </w:pPr>
            <w:r w:rsidRPr="0077252F">
              <w:rPr>
                <w:rStyle w:val="CharacterBold"/>
              </w:rPr>
              <w:t>What the incumbent cannot offer at transition:</w:t>
            </w:r>
            <w:r w:rsidRPr="00497CA6">
              <w:rPr>
                <w:b/>
                <w:bCs/>
              </w:rPr>
              <w:t xml:space="preserve"> </w:t>
            </w:r>
            <w:r w:rsidRPr="00497CA6">
              <w:t xml:space="preserve">The incumbent's knowledge of how these systems </w:t>
            </w:r>
            <w:proofErr w:type="gramStart"/>
            <w:r w:rsidRPr="00497CA6">
              <w:t>actually operate</w:t>
            </w:r>
            <w:proofErr w:type="gramEnd"/>
            <w:r w:rsidRPr="00497CA6">
              <w:t xml:space="preserve"> is experiential and partially captured in SOPs. </w:t>
            </w:r>
            <w:proofErr w:type="spellStart"/>
            <w:r w:rsidRPr="00497CA6">
              <w:t>TruNorth</w:t>
            </w:r>
            <w:proofErr w:type="spellEnd"/>
            <w:r w:rsidRPr="00497CA6">
              <w:t xml:space="preserve"> captures the same knowledge from the source code in weeks, independently, across all three tasks simultaneously. Deloitte arrives at contract start with a system understanding that the incumbent took years to accumulate—and a daily transition cadence that makes readiness visible and measurable rather than assumed.</w:t>
            </w:r>
          </w:p>
        </w:tc>
      </w:tr>
    </w:tbl>
    <w:p w14:paraId="52CB527F" w14:textId="77777777" w:rsidR="00402ECE" w:rsidRPr="00402ECE" w:rsidRDefault="00402ECE" w:rsidP="00402ECE">
      <w:pPr>
        <w:pStyle w:val="BodyText"/>
      </w:pPr>
    </w:p>
    <w:p w14:paraId="5D28B617" w14:textId="77777777" w:rsidR="008A2E01" w:rsidRDefault="008A2E01" w:rsidP="008A2E01">
      <w:pPr>
        <w:pStyle w:val="Subheading1"/>
      </w:pPr>
      <w:r>
        <w:t>Our Understanding</w:t>
      </w:r>
    </w:p>
    <w:p w14:paraId="7DDE7608" w14:textId="77777777" w:rsidR="00F45A15" w:rsidRPr="00F45A15" w:rsidRDefault="00F45A15" w:rsidP="00F45A15">
      <w:pPr>
        <w:pStyle w:val="BodyText"/>
      </w:pPr>
      <w:r w:rsidRPr="00F45A15">
        <w:t>Issuers depend on the ER&amp;R dispute process to keep their enrollment and payment records aligned with the FFE. When the process runs well, issuers can reconcile efficiently, payment data stays accurate, and the downstream effects on consumer 1095-A forms and APTC payments remain clean. When it does not, the consequences compound: unresolved payment disputes create issuer financial exposure, enrollment mismatches produce incorrect tax statements, and the volume of downstream consumer disputes grows. The operational standard for this workstream is accuracy, consistency, and a feedback loop that tells CMS where the upstream reconciliation process is breaking down before the downstream consequences appear.</w:t>
      </w:r>
    </w:p>
    <w:p w14:paraId="22A032DC" w14:textId="357D9698" w:rsidR="00F45A15" w:rsidRPr="00EC1036" w:rsidRDefault="00F45A15" w:rsidP="008A2E01">
      <w:pPr>
        <w:pStyle w:val="BodyText"/>
        <w:rPr>
          <w:iCs/>
        </w:rPr>
      </w:pPr>
      <w:r w:rsidRPr="00F45A15">
        <w:t xml:space="preserve">What makes this workstream hard to run well is the simultaneous demand for automation at scale and judgment in complexity. The approximately four million low-complexity disputes processed annually require a rule library that is accurate, well-maintained, and monitored at the dispute-type level—not in aggregate. The high-complexity workload, including UIRs, PDI disputes, and cases requiring manual enrollment reconstruction, demands caseworker judgment that is consistent, documented, and auditable. </w:t>
      </w:r>
      <w:r w:rsidRPr="00EC1036">
        <w:rPr>
          <w:iCs/>
        </w:rPr>
        <w:t xml:space="preserve">Deloitte has operated high-consequence, rule-governed enrollment and payment environments at scale in federal health </w:t>
      </w:r>
      <w:r w:rsidRPr="00EC1036">
        <w:rPr>
          <w:iCs/>
        </w:rPr>
        <w:lastRenderedPageBreak/>
        <w:t>programs—[insert relevant proof point program names here]. Our California SBE Maintenance and Operations takeover in 2019 is a direct precedent: Deloitte inherited a live operational system, validated production behavior independently of prior contractor documentation, and improved performance without disrupting the ongoing operation.</w:t>
      </w:r>
    </w:p>
    <w:p w14:paraId="76CBDE9C" w14:textId="77777777" w:rsidR="008A2E01" w:rsidRDefault="008A2E01" w:rsidP="008A2E01">
      <w:pPr>
        <w:pStyle w:val="Subheading1"/>
      </w:pPr>
      <w:r>
        <w:t>Our Approach</w:t>
      </w:r>
    </w:p>
    <w:p w14:paraId="06280BD3" w14:textId="77777777" w:rsidR="0027658B" w:rsidRPr="0027658B" w:rsidRDefault="00D53084" w:rsidP="0027658B">
      <w:pPr>
        <w:pStyle w:val="BodyText"/>
      </w:pPr>
      <w:r>
        <w:t>Deloitte operates Tasks 2.1 and 2.2 as a single integrated function — automated rule-based resolution at scale on the left, structured manual casework on the right, with exceptions flowing between them and dispute intelligence continuously feeding upstream improvements. The model below shows how both lanes operate and how what Deloitte learns from running them makes the program measurably better over time.</w:t>
      </w:r>
    </w:p>
    <w:p w14:paraId="279F7F68" w14:textId="40797F9A" w:rsidR="0027658B" w:rsidRPr="0027658B" w:rsidRDefault="00052CF2" w:rsidP="0027658B">
      <w:pPr>
        <w:pStyle w:val="BodyText"/>
      </w:pPr>
      <w:r w:rsidRPr="00052CF2">
        <w:rPr>
          <w:noProof/>
        </w:rPr>
        <w:drawing>
          <wp:inline distT="0" distB="0" distL="0" distR="0" wp14:anchorId="09029E0C" wp14:editId="4475E8D5">
            <wp:extent cx="4775200" cy="4978400"/>
            <wp:effectExtent l="0" t="0" r="0" b="0"/>
            <wp:docPr id="973421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421213" name=""/>
                    <pic:cNvPicPr/>
                  </pic:nvPicPr>
                  <pic:blipFill>
                    <a:blip r:embed="rId24"/>
                    <a:stretch>
                      <a:fillRect/>
                    </a:stretch>
                  </pic:blipFill>
                  <pic:spPr>
                    <a:xfrm>
                      <a:off x="0" y="0"/>
                      <a:ext cx="4775200" cy="4978400"/>
                    </a:xfrm>
                    <a:prstGeom prst="rect">
                      <a:avLst/>
                    </a:prstGeom>
                  </pic:spPr>
                </pic:pic>
              </a:graphicData>
            </a:graphic>
          </wp:inline>
        </w:drawing>
      </w:r>
    </w:p>
    <w:p w14:paraId="2CE77540" w14:textId="77777777" w:rsidR="005A568A" w:rsidRPr="003C4247" w:rsidRDefault="005A568A" w:rsidP="007468B4">
      <w:pPr>
        <w:pStyle w:val="BodyText"/>
      </w:pPr>
      <w:r w:rsidRPr="007468B4">
        <w:rPr>
          <w:rStyle w:val="CharacterBold"/>
        </w:rPr>
        <w:t>Low complexity (Task 2.1)</w:t>
      </w:r>
    </w:p>
    <w:p w14:paraId="4689E221" w14:textId="77777777" w:rsidR="005A568A" w:rsidRPr="009D3190" w:rsidRDefault="005A568A" w:rsidP="007468B4">
      <w:pPr>
        <w:pStyle w:val="BodyText"/>
      </w:pPr>
      <w:r w:rsidRPr="00802C4A">
        <w:t xml:space="preserve">Deloitte will operate the </w:t>
      </w:r>
      <w:r w:rsidRPr="003C4247">
        <w:rPr>
          <w:b/>
        </w:rPr>
        <w:t>automated rule library</w:t>
      </w:r>
      <w:r w:rsidRPr="003C4247">
        <w:t xml:space="preserve"> from Day 1 at the </w:t>
      </w:r>
      <w:r w:rsidRPr="003C4247">
        <w:rPr>
          <w:b/>
        </w:rPr>
        <w:t>performance baseline</w:t>
      </w:r>
      <w:r w:rsidRPr="003C4247">
        <w:t xml:space="preserve"> established during transition-in. When a resolution rate deviates, Deloitte will diagnose whether the cause is a rule performance failure, an upstream data quality issue, or a volume pattern the rule was not designed to </w:t>
      </w:r>
      <w:r w:rsidRPr="003C4247">
        <w:lastRenderedPageBreak/>
        <w:t>handle — each drives a different corrective action. The dispute analytics deliverable serves as both a CMS reporting output and Deloitte’s internal rule development agenda, made visible to CMS.</w:t>
      </w:r>
    </w:p>
    <w:p w14:paraId="1E664D3A" w14:textId="0FC04B67" w:rsidR="005A568A" w:rsidRDefault="005A568A" w:rsidP="00EC1036">
      <w:r>
        <w:rPr>
          <w:noProof/>
        </w:rPr>
        <w:drawing>
          <wp:inline distT="0" distB="0" distL="0" distR="0" wp14:anchorId="506222AA" wp14:editId="5FD8C160">
            <wp:extent cx="4095750" cy="1838325"/>
            <wp:effectExtent l="0" t="0" r="0" b="0"/>
            <wp:docPr id="2100641949" name="Picture 2100641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095750" cy="1838325"/>
                    </a:xfrm>
                    <a:prstGeom prst="rect">
                      <a:avLst/>
                    </a:prstGeom>
                  </pic:spPr>
                </pic:pic>
              </a:graphicData>
            </a:graphic>
          </wp:inline>
        </w:drawing>
      </w:r>
    </w:p>
    <w:p w14:paraId="7B6B41AB" w14:textId="77777777" w:rsidR="005A568A" w:rsidRPr="009D3190" w:rsidRDefault="005A568A" w:rsidP="00BB652E">
      <w:pPr>
        <w:pStyle w:val="BodyText"/>
      </w:pPr>
      <w:r w:rsidRPr="00BB652E">
        <w:rPr>
          <w:rStyle w:val="CharacterBold"/>
        </w:rPr>
        <w:t>High complexity (Task 2.2): closed-loop case management</w:t>
      </w:r>
    </w:p>
    <w:p w14:paraId="489310CB" w14:textId="77777777" w:rsidR="005A568A" w:rsidRDefault="005A568A" w:rsidP="005A568A">
      <w:pPr>
        <w:spacing w:after="120"/>
      </w:pPr>
    </w:p>
    <w:p w14:paraId="4CF81CB4" w14:textId="77777777" w:rsidR="005A568A" w:rsidRDefault="005A568A" w:rsidP="005A568A">
      <w:pPr>
        <w:spacing w:after="120"/>
      </w:pPr>
      <w:r>
        <w:rPr>
          <w:noProof/>
        </w:rPr>
        <w:lastRenderedPageBreak/>
        <w:drawing>
          <wp:inline distT="0" distB="0" distL="0" distR="0" wp14:anchorId="197F761D" wp14:editId="49E30223">
            <wp:extent cx="5168348" cy="4344386"/>
            <wp:effectExtent l="0" t="0" r="635" b="0"/>
            <wp:docPr id="1587596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596514" name=""/>
                    <pic:cNvPicPr/>
                  </pic:nvPicPr>
                  <pic:blipFill>
                    <a:blip r:embed="rId26"/>
                    <a:stretch>
                      <a:fillRect/>
                    </a:stretch>
                  </pic:blipFill>
                  <pic:spPr>
                    <a:xfrm>
                      <a:off x="0" y="0"/>
                      <a:ext cx="5191491" cy="4363840"/>
                    </a:xfrm>
                    <a:prstGeom prst="rect">
                      <a:avLst/>
                    </a:prstGeom>
                  </pic:spPr>
                </pic:pic>
              </a:graphicData>
            </a:graphic>
          </wp:inline>
        </w:drawing>
      </w:r>
    </w:p>
    <w:p w14:paraId="3AA18612" w14:textId="77777777" w:rsidR="005A568A" w:rsidRDefault="005A568A" w:rsidP="00310554">
      <w:pPr>
        <w:spacing w:after="120"/>
      </w:pPr>
    </w:p>
    <w:p w14:paraId="22C75A8A" w14:textId="77777777" w:rsidR="008A2E01" w:rsidRPr="00D22E0F" w:rsidRDefault="008A2E01" w:rsidP="008A2E01">
      <w:pPr>
        <w:pStyle w:val="Heading4"/>
      </w:pPr>
      <w:r w:rsidRPr="004F467E">
        <w:lastRenderedPageBreak/>
        <w:t>Subtask 2.1: Low Complexity Issuer Disputes</w:t>
      </w:r>
      <w:r>
        <w:t xml:space="preserve"> </w:t>
      </w:r>
      <w:r w:rsidRPr="00705F80">
        <w:rPr>
          <w:vertAlign w:val="superscript"/>
        </w:rPr>
        <w:t>(SOW 3.2.1)</w:t>
      </w:r>
    </w:p>
    <w:p>
      <w:pPr>
        <w:pStyle w:val="BodyText"/>
      </w:pPr>
      <w:r>
        <w:t>Low complexity issuer disputes are resolved through Deloitte's automated rule library, which processes enrollment, reinstatement, auto-renewal, and HICS Direct cases without caseworker intervention. Deloitte operates this library from Day 1 at the performance baseline established during transition-in, maintaining automated resolution rates within contractually defined thresholds.</w:t>
      </w:r>
    </w:p>
    <w:p>
      <w:pPr>
        <w:pStyle w:val="BodyText"/>
      </w:pPr>
      <w:r>
        <w:t>Rule governance is a continuous function. Every proposed rule change is documented, tested against historical case data, approved through CMS's designated rule change process, and deployed with rollback capability. Resolution rates are monitored at the dispute-type level weekly; deviations from baseline trigger structured root-cause analysis within two business days.</w:t>
      </w:r>
    </w:p>
    <w:p w14:paraId="54E91867" w14:textId="77777777" w:rsidR="008A2E01" w:rsidRPr="003414BC" w:rsidRDefault="008A2E01" w:rsidP="008A2E01">
      <w:pPr>
        <w:pStyle w:val="Heading4"/>
      </w:pPr>
      <w:r w:rsidRPr="00D22E0F">
        <w:t>Subtask 2.2: High Complexity Issuer Disputes</w:t>
      </w:r>
      <w:r>
        <w:t xml:space="preserve"> </w:t>
      </w:r>
      <w:r w:rsidRPr="00705F80">
        <w:rPr>
          <w:vertAlign w:val="superscript"/>
        </w:rPr>
        <w:t>(SOW 3.2.2)</w:t>
      </w:r>
    </w:p>
    <w:p>
      <w:pPr>
        <w:pStyle w:val="BodyText"/>
      </w:pPr>
      <w:r>
        <w:t>High complexity disputes — enrollment blockers, PDI cases, UIR categorization, and CMS-directed actions — are managed through a closed-loop workflow with defined governance gates at intake, research, determination, and remediation. Each case is assigned a named caseworker at intake; supervisor review is required before any CMS-directed action is submitted.</w:t>
      </w:r>
    </w:p>
    <w:p>
      <w:pPr>
        <w:pStyle w:val="BodyText"/>
      </w:pPr>
      <w:r>
        <w:t>PDI disputes are operated as a standalone workstream with a dedicated biannual batch schedule, audit comparison, and attestation forms. Deloitte tracks CMS-dependency holds as SLA-excluded, visible in monthly reporting, and resolved within five business days of receiving the required CMS input. UPS and UE anomaly screening is applied to all high-complexity intakes as a program integrity gate before determination.</w:t>
      </w:r>
    </w:p>
    <w:p w14:paraId="0D5A1112" w14:textId="77777777" w:rsidR="008A2E01" w:rsidRDefault="008A2E01" w:rsidP="008A2E01">
      <w:pPr>
        <w:pStyle w:val="Heading3"/>
      </w:pPr>
      <w:bookmarkStart w:id="5" w:name="_Toc228252909"/>
      <w:r>
        <w:t>1.2.2</w:t>
      </w:r>
      <w:r>
        <w:tab/>
      </w:r>
      <w:r w:rsidRPr="00A54BF5">
        <w:t>Task 3: Form 1095-A Consumer Disputes</w:t>
      </w:r>
      <w:r>
        <w:t xml:space="preserve"> </w:t>
      </w:r>
      <w:r w:rsidRPr="00170533">
        <w:rPr>
          <w:vertAlign w:val="superscript"/>
        </w:rPr>
        <w:t>(SOW 3.3)</w:t>
      </w:r>
      <w:r>
        <w:t xml:space="preserve"> </w:t>
      </w:r>
      <w:r w:rsidRPr="00806273">
        <w:t>(2 Pages)</w:t>
      </w:r>
      <w:bookmarkEnd w:id="5"/>
    </w:p>
    <w:p w14:paraId="534D975C" w14:textId="77777777" w:rsidR="008A2E01" w:rsidRDefault="008A2E01" w:rsidP="008A2E01">
      <w:pPr>
        <w:pStyle w:val="Subheading1"/>
      </w:pPr>
      <w:r>
        <w:t>Our Understanding</w:t>
      </w:r>
    </w:p>
    <w:p w14:paraId="62B48A9F" w14:textId="77777777" w:rsidR="00D435B1" w:rsidRPr="00D435B1" w:rsidRDefault="00CB6F2F" w:rsidP="00D435B1">
      <w:pPr>
        <w:pStyle w:val="BodyText"/>
      </w:pPr>
      <w:r w:rsidRPr="00CB6F2F">
        <w:t>For consumers, an incorrect Form 1095-A is not a data issue; it can mean a wrong tax return, an unexpected coverage gap, or a problem they do not discover until the IRS contacts them.</w:t>
      </w:r>
      <w:r w:rsidR="00D35EA6">
        <w:t xml:space="preserve"> </w:t>
      </w:r>
      <w:proofErr w:type="gramStart"/>
      <w:r w:rsidR="00D435B1" w:rsidRPr="00D435B1">
        <w:t>Form</w:t>
      </w:r>
      <w:proofErr w:type="gramEnd"/>
      <w:r w:rsidR="00D435B1" w:rsidRPr="00D435B1">
        <w:t xml:space="preserve"> 1095-A consumer disputes affect enrollment operations, tax compliance, and consumer trust in the Marketplace. This work requires accurate, timely resolution and a feedback loop that helps CMS identify and prevent repeat issues.</w:t>
      </w:r>
    </w:p>
    <w:p w14:paraId="2D226671" w14:textId="7F9DF2D5" w:rsidR="00800088" w:rsidRDefault="002158AA" w:rsidP="008A2E01">
      <w:pPr>
        <w:pStyle w:val="BodyText"/>
      </w:pPr>
      <w:r>
        <w:t>Dispute volume increases more than tenfold from December to January and peaks in February. A contractor who restarts the learning curve each January introduces quality risk at the worst possible moment. Deloitte will carry institutional knowledge forward season over season through a returner-first model, so the caseworker handling a consumer's February dispute is more capable than the one who handled the same case type the year before.</w:t>
      </w:r>
    </w:p>
    <w:p w14:paraId="1BC0BC5E" w14:textId="77777777" w:rsidR="008A2E01" w:rsidRDefault="008A2E01" w:rsidP="008A2E01">
      <w:pPr>
        <w:pStyle w:val="Subheading1"/>
      </w:pPr>
      <w:r>
        <w:t>Our Approach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57A5" w:rsidRPr="00C957A5" w:rsidDel="00543ED2" w14:paraId="634FAA36" w14:textId="77777777">
        <w:tc>
          <w:tcPr>
            <w:tcW w:w="9360" w:type="dxa"/>
            <w:tcBorders>
              <w:top w:val="dashed" w:sz="4" w:space="0" w:color="888780"/>
              <w:left w:val="dashed" w:sz="4" w:space="0" w:color="888780"/>
              <w:bottom w:val="dashed" w:sz="4" w:space="0" w:color="888780"/>
              <w:right w:val="dashed" w:sz="4" w:space="0" w:color="888780"/>
            </w:tcBorders>
            <w:shd w:val="clear" w:color="auto" w:fill="F1EFE8"/>
            <w:tcMar>
              <w:top w:w="100" w:type="dxa"/>
              <w:left w:w="160" w:type="dxa"/>
              <w:bottom w:w="100" w:type="dxa"/>
              <w:right w:w="160" w:type="dxa"/>
            </w:tcMar>
          </w:tcPr>
          <w:p w14:paraId="49A12C98" w14:textId="77777777" w:rsidR="00C957A5" w:rsidRPr="00C957A5" w:rsidDel="00543ED2" w:rsidRDefault="00C957A5" w:rsidP="00C957A5">
            <w:pPr>
              <w:pStyle w:val="BodyText"/>
            </w:pPr>
            <w:r w:rsidRPr="00C957A5" w:rsidDel="00543ED2">
              <w:rPr>
                <w:b/>
                <w:bCs/>
              </w:rPr>
              <w:t>[IMAGE: Task 3 anchor: three-lane operating model with tax season calendar, surge staffing overlay, and monthly improvement loop]</w:t>
            </w:r>
          </w:p>
          <w:p w14:paraId="4738A646" w14:textId="77777777" w:rsidR="00C957A5" w:rsidRPr="00C957A5" w:rsidDel="00543ED2" w:rsidRDefault="00C957A5" w:rsidP="00C957A5">
            <w:pPr>
              <w:pStyle w:val="BodyText"/>
            </w:pPr>
            <w:r w:rsidRPr="00C957A5" w:rsidDel="00543ED2">
              <w:rPr>
                <w:i/>
                <w:iCs/>
              </w:rPr>
              <w:t>The anchor image shows the three-lane routing model alongside the monthly volume curve by complexity tier and the feedback loop that drives upstream dispute prevention.</w:t>
            </w:r>
          </w:p>
        </w:tc>
      </w:tr>
    </w:tbl>
    <w:p w14:paraId="32038DD6" w14:textId="77777777" w:rsidR="00C957A5" w:rsidRPr="00C957A5" w:rsidRDefault="001A2BBE" w:rsidP="00C957A5">
      <w:pPr>
        <w:pStyle w:val="BodyText"/>
      </w:pPr>
      <w:r>
        <w:rPr>
          <w:b/>
          <w:bCs/>
        </w:rPr>
        <w:t>Steady State Case Resolution</w:t>
      </w:r>
    </w:p>
    <w:p w14:paraId="4D650B55" w14:textId="77777777" w:rsidR="00C957A5" w:rsidRPr="00C957A5" w:rsidRDefault="00EE30C9" w:rsidP="00C957A5">
      <w:pPr>
        <w:pStyle w:val="BodyText"/>
      </w:pPr>
      <w:r w:rsidRPr="00EE30C9">
        <w:t xml:space="preserve">Deloitte </w:t>
      </w:r>
      <w:r w:rsidR="00EC5C96">
        <w:t>will route</w:t>
      </w:r>
      <w:r w:rsidRPr="00EE30C9">
        <w:t xml:space="preserve"> each incoming dispute to one of three complexity-based lanes, start the SLA at intake, and trigger </w:t>
      </w:r>
      <w:r w:rsidR="00EC08E3" w:rsidRPr="00EC08E3">
        <w:t>early intervention on cases trending toward SLA</w:t>
      </w:r>
      <w:r w:rsidRPr="00EE30C9">
        <w:t xml:space="preserve"> risk.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957A5" w:rsidRPr="00C957A5" w14:paraId="1187CA3E" w14:textId="77777777" w:rsidTr="001D1363">
        <w:tc>
          <w:tcPr>
            <w:tcW w:w="3120" w:type="dxa"/>
            <w:tcBorders>
              <w:top w:val="single" w:sz="1" w:space="0" w:color="97C459"/>
              <w:left w:val="single" w:sz="1" w:space="0" w:color="97C459"/>
              <w:bottom w:val="single" w:sz="1" w:space="0" w:color="97C459"/>
              <w:right w:val="single" w:sz="1" w:space="0" w:color="97C459"/>
            </w:tcBorders>
            <w:shd w:val="clear" w:color="auto" w:fill="005587"/>
            <w:tcMar>
              <w:top w:w="80" w:type="dxa"/>
              <w:left w:w="100" w:type="dxa"/>
              <w:bottom w:w="80" w:type="dxa"/>
              <w:right w:w="100" w:type="dxa"/>
            </w:tcMar>
          </w:tcPr>
          <w:p w14:paraId="38709C63" w14:textId="77777777" w:rsidR="00C957A5" w:rsidRPr="00EC1036" w:rsidRDefault="00C957A5" w:rsidP="001D1363">
            <w:pPr>
              <w:pStyle w:val="TableHeading"/>
              <w:rPr>
                <w:szCs w:val="20"/>
              </w:rPr>
            </w:pPr>
            <w:r w:rsidRPr="00EC1036">
              <w:rPr>
                <w:szCs w:val="20"/>
              </w:rPr>
              <w:lastRenderedPageBreak/>
              <w:t xml:space="preserve">Low </w:t>
            </w:r>
            <w:proofErr w:type="gramStart"/>
            <w:r w:rsidRPr="00EC1036">
              <w:rPr>
                <w:szCs w:val="20"/>
              </w:rPr>
              <w:t>complexity |</w:t>
            </w:r>
            <w:proofErr w:type="gramEnd"/>
            <w:r w:rsidRPr="00EC1036">
              <w:rPr>
                <w:szCs w:val="20"/>
              </w:rPr>
              <w:t xml:space="preserve"> 2-day SLA</w:t>
            </w:r>
          </w:p>
        </w:tc>
        <w:tc>
          <w:tcPr>
            <w:tcW w:w="3120" w:type="dxa"/>
            <w:tcBorders>
              <w:top w:val="single" w:sz="1" w:space="0" w:color="B5D4F4"/>
              <w:left w:val="single" w:sz="1" w:space="0" w:color="B5D4F4"/>
              <w:bottom w:val="single" w:sz="1" w:space="0" w:color="B5D4F4"/>
              <w:right w:val="single" w:sz="1" w:space="0" w:color="B5D4F4"/>
            </w:tcBorders>
            <w:shd w:val="clear" w:color="auto" w:fill="005587"/>
            <w:tcMar>
              <w:top w:w="80" w:type="dxa"/>
              <w:left w:w="100" w:type="dxa"/>
              <w:bottom w:w="80" w:type="dxa"/>
              <w:right w:w="100" w:type="dxa"/>
            </w:tcMar>
          </w:tcPr>
          <w:p w14:paraId="532C5A01" w14:textId="77777777" w:rsidR="00C957A5" w:rsidRPr="00EC1036" w:rsidRDefault="00C957A5" w:rsidP="001D1363">
            <w:pPr>
              <w:pStyle w:val="TableHeading"/>
              <w:rPr>
                <w:szCs w:val="20"/>
              </w:rPr>
            </w:pPr>
            <w:r w:rsidRPr="00EC1036">
              <w:rPr>
                <w:szCs w:val="20"/>
              </w:rPr>
              <w:t xml:space="preserve">Medium </w:t>
            </w:r>
            <w:proofErr w:type="gramStart"/>
            <w:r w:rsidRPr="00EC1036">
              <w:rPr>
                <w:szCs w:val="20"/>
              </w:rPr>
              <w:t>complexity |</w:t>
            </w:r>
            <w:proofErr w:type="gramEnd"/>
            <w:r w:rsidRPr="00EC1036">
              <w:rPr>
                <w:szCs w:val="20"/>
              </w:rPr>
              <w:t xml:space="preserve"> 5-day SLA</w:t>
            </w:r>
          </w:p>
        </w:tc>
        <w:tc>
          <w:tcPr>
            <w:tcW w:w="3120" w:type="dxa"/>
            <w:tcBorders>
              <w:top w:val="single" w:sz="1" w:space="0" w:color="F0997B"/>
              <w:left w:val="single" w:sz="1" w:space="0" w:color="F0997B"/>
              <w:bottom w:val="single" w:sz="1" w:space="0" w:color="F0997B"/>
              <w:right w:val="single" w:sz="1" w:space="0" w:color="F0997B"/>
            </w:tcBorders>
            <w:shd w:val="clear" w:color="auto" w:fill="005587"/>
            <w:tcMar>
              <w:top w:w="80" w:type="dxa"/>
              <w:left w:w="100" w:type="dxa"/>
              <w:bottom w:w="80" w:type="dxa"/>
              <w:right w:w="100" w:type="dxa"/>
            </w:tcMar>
          </w:tcPr>
          <w:p w14:paraId="6785C29C" w14:textId="77777777" w:rsidR="00C957A5" w:rsidRPr="00EC1036" w:rsidRDefault="00C957A5" w:rsidP="001D1363">
            <w:pPr>
              <w:pStyle w:val="TableHeading"/>
              <w:rPr>
                <w:szCs w:val="20"/>
              </w:rPr>
            </w:pPr>
            <w:r w:rsidRPr="00EC1036">
              <w:rPr>
                <w:szCs w:val="20"/>
              </w:rPr>
              <w:t xml:space="preserve">High </w:t>
            </w:r>
            <w:proofErr w:type="gramStart"/>
            <w:r w:rsidRPr="00EC1036">
              <w:rPr>
                <w:szCs w:val="20"/>
              </w:rPr>
              <w:t>complexity |</w:t>
            </w:r>
            <w:proofErr w:type="gramEnd"/>
            <w:r w:rsidRPr="00EC1036">
              <w:rPr>
                <w:szCs w:val="20"/>
              </w:rPr>
              <w:t xml:space="preserve"> 10-day SLA</w:t>
            </w:r>
          </w:p>
        </w:tc>
      </w:tr>
      <w:tr w:rsidR="00C957A5" w:rsidRPr="00C957A5" w14:paraId="3DEA69F9" w14:textId="77777777" w:rsidTr="001D1363">
        <w:trPr>
          <w:trHeight w:val="5021"/>
        </w:trPr>
        <w:tc>
          <w:tcPr>
            <w:tcW w:w="3120" w:type="dxa"/>
            <w:tcBorders>
              <w:top w:val="single" w:sz="1" w:space="0" w:color="D3D1C7"/>
              <w:left w:val="single" w:sz="1" w:space="0" w:color="D3D1C7"/>
              <w:bottom w:val="single" w:sz="1" w:space="0" w:color="D3D1C7"/>
              <w:right w:val="single" w:sz="1" w:space="0" w:color="D3D1C7"/>
            </w:tcBorders>
            <w:shd w:val="clear" w:color="auto" w:fill="FFFFFF" w:themeFill="background1"/>
            <w:tcMar>
              <w:top w:w="80" w:type="dxa"/>
              <w:left w:w="120" w:type="dxa"/>
              <w:bottom w:w="80" w:type="dxa"/>
              <w:right w:w="120" w:type="dxa"/>
            </w:tcMar>
          </w:tcPr>
          <w:p w14:paraId="216671C2" w14:textId="77777777" w:rsidR="00230747" w:rsidRPr="00EC1036" w:rsidRDefault="00DA23CC" w:rsidP="00C957A5">
            <w:pPr>
              <w:pStyle w:val="BodyText"/>
              <w:rPr>
                <w:sz w:val="20"/>
                <w:szCs w:val="20"/>
              </w:rPr>
            </w:pPr>
            <w:r w:rsidRPr="00EC1036">
              <w:rPr>
                <w:sz w:val="20"/>
                <w:szCs w:val="20"/>
              </w:rPr>
              <w:t>Mailing Address Update (</w:t>
            </w:r>
            <w:r w:rsidR="00230747" w:rsidRPr="00EC1036">
              <w:rPr>
                <w:sz w:val="20"/>
                <w:szCs w:val="20"/>
              </w:rPr>
              <w:t>MAU</w:t>
            </w:r>
            <w:r w:rsidRPr="00EC1036">
              <w:rPr>
                <w:sz w:val="20"/>
                <w:szCs w:val="20"/>
              </w:rPr>
              <w:t>)</w:t>
            </w:r>
            <w:r w:rsidR="00230747" w:rsidRPr="00EC1036">
              <w:rPr>
                <w:sz w:val="20"/>
                <w:szCs w:val="20"/>
              </w:rPr>
              <w:t xml:space="preserve"> cases run through automation with pre-submit checks</w:t>
            </w:r>
          </w:p>
          <w:p w14:paraId="7226F305" w14:textId="77777777" w:rsidR="00230747" w:rsidRPr="00EC1036" w:rsidRDefault="00230747" w:rsidP="00C957A5">
            <w:pPr>
              <w:pStyle w:val="BodyText"/>
              <w:rPr>
                <w:sz w:val="20"/>
                <w:szCs w:val="20"/>
              </w:rPr>
            </w:pPr>
            <w:r w:rsidRPr="00EC1036">
              <w:rPr>
                <w:sz w:val="20"/>
                <w:szCs w:val="20"/>
              </w:rPr>
              <w:t>Failed automations move to same-day fallout triage</w:t>
            </w:r>
          </w:p>
          <w:p w14:paraId="5B45F4F6" w14:textId="77777777" w:rsidR="00C8174E" w:rsidRPr="00EC1036" w:rsidRDefault="00C8174E" w:rsidP="00C8174E">
            <w:pPr>
              <w:pStyle w:val="BodyText"/>
              <w:rPr>
                <w:sz w:val="20"/>
                <w:szCs w:val="20"/>
              </w:rPr>
            </w:pPr>
            <w:r w:rsidRPr="00EC1036">
              <w:rPr>
                <w:sz w:val="20"/>
                <w:szCs w:val="20"/>
              </w:rPr>
              <w:t>Fallout reviewed weekly to refine rules and reduce manual touch</w:t>
            </w:r>
          </w:p>
          <w:p w14:paraId="25D35BCF" w14:textId="77777777" w:rsidR="005E38D9" w:rsidRPr="00EC1036" w:rsidRDefault="005E38D9" w:rsidP="005E38D9">
            <w:pPr>
              <w:pStyle w:val="BodyText"/>
              <w:rPr>
                <w:sz w:val="20"/>
                <w:szCs w:val="20"/>
              </w:rPr>
            </w:pPr>
            <w:r w:rsidRPr="00EC1036">
              <w:rPr>
                <w:sz w:val="20"/>
                <w:szCs w:val="20"/>
              </w:rPr>
              <w:t>Resolved when change is submitted to processing queue</w:t>
            </w:r>
          </w:p>
          <w:p w14:paraId="3875D0E4" w14:textId="77777777" w:rsidR="00C8174E" w:rsidRPr="00EC1036" w:rsidRDefault="00C8174E" w:rsidP="00C957A5">
            <w:pPr>
              <w:pStyle w:val="BodyText"/>
              <w:rPr>
                <w:sz w:val="20"/>
                <w:szCs w:val="20"/>
              </w:rPr>
            </w:pPr>
          </w:p>
          <w:p w14:paraId="1ADB999D" w14:textId="77777777" w:rsidR="00C957A5" w:rsidRPr="00EC1036" w:rsidRDefault="00C957A5" w:rsidP="00C957A5">
            <w:pPr>
              <w:pStyle w:val="BodyText"/>
              <w:rPr>
                <w:sz w:val="20"/>
                <w:szCs w:val="20"/>
              </w:rPr>
            </w:pPr>
          </w:p>
        </w:tc>
        <w:tc>
          <w:tcPr>
            <w:tcW w:w="3120" w:type="dxa"/>
            <w:tcBorders>
              <w:top w:val="single" w:sz="1" w:space="0" w:color="D3D1C7"/>
              <w:left w:val="single" w:sz="1" w:space="0" w:color="D3D1C7"/>
              <w:bottom w:val="single" w:sz="1" w:space="0" w:color="D3D1C7"/>
              <w:right w:val="single" w:sz="1" w:space="0" w:color="D3D1C7"/>
            </w:tcBorders>
            <w:shd w:val="clear" w:color="auto" w:fill="FFFFFF" w:themeFill="background1"/>
            <w:tcMar>
              <w:top w:w="80" w:type="dxa"/>
              <w:left w:w="120" w:type="dxa"/>
              <w:bottom w:w="80" w:type="dxa"/>
              <w:right w:w="120" w:type="dxa"/>
            </w:tcMar>
          </w:tcPr>
          <w:p w14:paraId="75A0ED41" w14:textId="77777777" w:rsidR="00B214AF" w:rsidRPr="00EC1036" w:rsidRDefault="00B214AF" w:rsidP="00B214AF">
            <w:pPr>
              <w:pStyle w:val="BodyText"/>
              <w:rPr>
                <w:sz w:val="20"/>
                <w:szCs w:val="20"/>
              </w:rPr>
            </w:pPr>
            <w:r w:rsidRPr="00EC1036">
              <w:rPr>
                <w:sz w:val="20"/>
                <w:szCs w:val="20"/>
              </w:rPr>
              <w:t>Standard research sequence across MCR, MIDAS, TM, MCU, and issuer records</w:t>
            </w:r>
          </w:p>
          <w:p w14:paraId="39BAD2EC" w14:textId="77777777" w:rsidR="00B214AF" w:rsidRPr="00EC1036" w:rsidRDefault="00B214AF" w:rsidP="00B214AF">
            <w:pPr>
              <w:pStyle w:val="BodyText"/>
              <w:rPr>
                <w:sz w:val="20"/>
                <w:szCs w:val="20"/>
              </w:rPr>
            </w:pPr>
            <w:r w:rsidRPr="00EC1036">
              <w:rPr>
                <w:sz w:val="20"/>
                <w:szCs w:val="20"/>
              </w:rPr>
              <w:t>SEP MAU cases handled in a separate tracked workflow</w:t>
            </w:r>
          </w:p>
          <w:p w14:paraId="4F3A6866" w14:textId="77777777" w:rsidR="00B214AF" w:rsidRPr="00EC1036" w:rsidRDefault="00B214AF" w:rsidP="00B214AF">
            <w:pPr>
              <w:pStyle w:val="BodyText"/>
              <w:rPr>
                <w:sz w:val="20"/>
                <w:szCs w:val="20"/>
              </w:rPr>
            </w:pPr>
            <w:r w:rsidRPr="00EC1036">
              <w:rPr>
                <w:sz w:val="20"/>
                <w:szCs w:val="20"/>
              </w:rPr>
              <w:t>Live outbound call first; written correspondence as needed</w:t>
            </w:r>
          </w:p>
          <w:p w14:paraId="0EC3E188" w14:textId="77777777" w:rsidR="00B214AF" w:rsidRPr="00EC1036" w:rsidRDefault="00B214AF" w:rsidP="00B214AF">
            <w:pPr>
              <w:pStyle w:val="BodyText"/>
              <w:rPr>
                <w:sz w:val="20"/>
                <w:szCs w:val="20"/>
              </w:rPr>
            </w:pPr>
            <w:r w:rsidRPr="00EC1036">
              <w:rPr>
                <w:sz w:val="20"/>
                <w:szCs w:val="20"/>
              </w:rPr>
              <w:t>Aging alerts flag at-risk cases for supervisor action</w:t>
            </w:r>
          </w:p>
          <w:p w14:paraId="0BAFD508" w14:textId="77777777" w:rsidR="00C957A5" w:rsidRPr="00EC1036" w:rsidRDefault="00B214AF" w:rsidP="00C957A5">
            <w:pPr>
              <w:pStyle w:val="BodyText"/>
              <w:rPr>
                <w:sz w:val="20"/>
                <w:szCs w:val="20"/>
              </w:rPr>
            </w:pPr>
            <w:r w:rsidRPr="00EC1036">
              <w:rPr>
                <w:sz w:val="20"/>
                <w:szCs w:val="20"/>
              </w:rPr>
              <w:t xml:space="preserve">Resolved after consumer notification and change </w:t>
            </w:r>
            <w:r w:rsidR="00C957A5" w:rsidRPr="00EC1036">
              <w:rPr>
                <w:sz w:val="20"/>
                <w:szCs w:val="20"/>
              </w:rPr>
              <w:t>queued</w:t>
            </w:r>
          </w:p>
        </w:tc>
        <w:tc>
          <w:tcPr>
            <w:tcW w:w="3120" w:type="dxa"/>
            <w:tcBorders>
              <w:top w:val="single" w:sz="1" w:space="0" w:color="D3D1C7"/>
              <w:left w:val="single" w:sz="1" w:space="0" w:color="D3D1C7"/>
              <w:bottom w:val="single" w:sz="1" w:space="0" w:color="D3D1C7"/>
              <w:right w:val="single" w:sz="1" w:space="0" w:color="D3D1C7"/>
            </w:tcBorders>
            <w:shd w:val="clear" w:color="auto" w:fill="FFFFFF" w:themeFill="background1"/>
            <w:tcMar>
              <w:top w:w="80" w:type="dxa"/>
              <w:left w:w="120" w:type="dxa"/>
              <w:bottom w:w="80" w:type="dxa"/>
              <w:right w:w="120" w:type="dxa"/>
            </w:tcMar>
          </w:tcPr>
          <w:p w14:paraId="738C5757" w14:textId="77777777" w:rsidR="008338B3" w:rsidRPr="00EC1036" w:rsidRDefault="008338B3" w:rsidP="008338B3">
            <w:pPr>
              <w:pStyle w:val="BodyText"/>
              <w:rPr>
                <w:sz w:val="20"/>
                <w:szCs w:val="20"/>
              </w:rPr>
            </w:pPr>
            <w:r w:rsidRPr="00EC1036">
              <w:rPr>
                <w:sz w:val="20"/>
                <w:szCs w:val="20"/>
              </w:rPr>
              <w:t>Named owner assigned at intake; VIP flags routed same business day to senior staff</w:t>
            </w:r>
          </w:p>
          <w:p w14:paraId="69FF90BA" w14:textId="77777777" w:rsidR="008338B3" w:rsidRPr="00EC1036" w:rsidRDefault="008338B3" w:rsidP="008338B3">
            <w:pPr>
              <w:pStyle w:val="BodyText"/>
              <w:rPr>
                <w:sz w:val="20"/>
                <w:szCs w:val="20"/>
              </w:rPr>
            </w:pPr>
            <w:r w:rsidRPr="00EC1036">
              <w:rPr>
                <w:sz w:val="20"/>
                <w:szCs w:val="20"/>
              </w:rPr>
              <w:t>CMS-directed cases worked from recommended action and supporting documentation</w:t>
            </w:r>
          </w:p>
          <w:p w14:paraId="0C600D9C" w14:textId="77777777" w:rsidR="008338B3" w:rsidRPr="00EC1036" w:rsidRDefault="008338B3" w:rsidP="008338B3">
            <w:pPr>
              <w:pStyle w:val="BodyText"/>
              <w:rPr>
                <w:sz w:val="20"/>
                <w:szCs w:val="20"/>
              </w:rPr>
            </w:pPr>
            <w:r w:rsidRPr="00EC1036">
              <w:rPr>
                <w:sz w:val="20"/>
                <w:szCs w:val="20"/>
              </w:rPr>
              <w:t>Structured research and compliance check completed before determination</w:t>
            </w:r>
          </w:p>
          <w:p w14:paraId="5BF6CB93" w14:textId="77777777" w:rsidR="008338B3" w:rsidRPr="00EC1036" w:rsidRDefault="008338B3" w:rsidP="008338B3">
            <w:pPr>
              <w:pStyle w:val="BodyText"/>
              <w:rPr>
                <w:sz w:val="20"/>
                <w:szCs w:val="20"/>
              </w:rPr>
            </w:pPr>
            <w:r w:rsidRPr="00EC1036">
              <w:rPr>
                <w:sz w:val="20"/>
                <w:szCs w:val="20"/>
              </w:rPr>
              <w:t>Retroactive/APTC changes require documented basis and pre-validation</w:t>
            </w:r>
          </w:p>
          <w:p w14:paraId="25EC9F32" w14:textId="77777777" w:rsidR="008338B3" w:rsidRPr="00EC1036" w:rsidRDefault="008338B3" w:rsidP="008338B3">
            <w:pPr>
              <w:pStyle w:val="BodyText"/>
              <w:rPr>
                <w:sz w:val="20"/>
                <w:szCs w:val="20"/>
              </w:rPr>
            </w:pPr>
            <w:r w:rsidRPr="00EC1036">
              <w:rPr>
                <w:sz w:val="20"/>
                <w:szCs w:val="20"/>
              </w:rPr>
              <w:t>CMS/issuer dependencies tracked separately as SLA-excluded and visible in reporting</w:t>
            </w:r>
          </w:p>
          <w:p w14:paraId="01A3FE03" w14:textId="77777777" w:rsidR="008338B3" w:rsidRPr="00EC1036" w:rsidRDefault="008338B3" w:rsidP="008338B3">
            <w:pPr>
              <w:pStyle w:val="BodyText"/>
              <w:rPr>
                <w:sz w:val="20"/>
                <w:szCs w:val="20"/>
              </w:rPr>
            </w:pPr>
            <w:r w:rsidRPr="00EC1036">
              <w:rPr>
                <w:sz w:val="20"/>
                <w:szCs w:val="20"/>
              </w:rPr>
              <w:t>Resolved after consumer notification and change queued</w:t>
            </w:r>
          </w:p>
          <w:p w14:paraId="0B545916" w14:textId="77777777" w:rsidR="00C957A5" w:rsidRPr="00EC1036" w:rsidRDefault="00C957A5" w:rsidP="00C957A5">
            <w:pPr>
              <w:pStyle w:val="BodyText"/>
              <w:rPr>
                <w:sz w:val="20"/>
                <w:szCs w:val="20"/>
              </w:rPr>
            </w:pPr>
          </w:p>
        </w:tc>
      </w:tr>
    </w:tbl>
    <w:p w14:paraId="735F69E5" w14:textId="77777777" w:rsidR="00C957A5" w:rsidRPr="00C957A5" w:rsidRDefault="00C957A5" w:rsidP="00C957A5">
      <w:pPr>
        <w:pStyle w:val="BodyText"/>
      </w:pPr>
      <w:r w:rsidRPr="00C957A5">
        <w:t xml:space="preserve">For high-complexity disputes, the process below describes how Deloitte </w:t>
      </w:r>
      <w:r w:rsidR="007D0D92">
        <w:t>will move</w:t>
      </w:r>
      <w:r w:rsidR="007D0D92" w:rsidRPr="00C957A5">
        <w:t xml:space="preserve"> </w:t>
      </w:r>
      <w:r w:rsidRPr="00C957A5">
        <w:t>a case from intake to confirmed closure. The brief description that follows sets up each control in the process.</w:t>
      </w:r>
    </w:p>
    <w:p w14:paraId="2E6E7A4B" w14:textId="77777777" w:rsidR="00C4104E" w:rsidRPr="00C957A5" w:rsidRDefault="00C4104E" w:rsidP="00C957A5">
      <w:pPr>
        <w:pStyle w:val="BodyText"/>
      </w:pPr>
      <w:r>
        <w:rPr>
          <w:noProof/>
        </w:rPr>
        <w:lastRenderedPageBreak/>
        <w:drawing>
          <wp:inline distT="0" distB="0" distL="0" distR="0" wp14:anchorId="497544E0" wp14:editId="494CE53D">
            <wp:extent cx="5943600" cy="4652645"/>
            <wp:effectExtent l="0" t="0" r="0" b="0"/>
            <wp:docPr id="12945027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4652645"/>
                    </a:xfrm>
                    <a:prstGeom prst="rect">
                      <a:avLst/>
                    </a:prstGeom>
                    <a:noFill/>
                    <a:ln>
                      <a:noFill/>
                    </a:ln>
                  </pic:spPr>
                </pic:pic>
              </a:graphicData>
            </a:graphic>
          </wp:inline>
        </w:drawing>
      </w:r>
    </w:p>
    <w:p w14:paraId="75DA2801" w14:textId="1EF429BB" w:rsidR="00C957A5" w:rsidRPr="00C957A5" w:rsidRDefault="00FF65D5" w:rsidP="00C957A5">
      <w:pPr>
        <w:pStyle w:val="BodyText"/>
      </w:pPr>
      <w:r>
        <w:t xml:space="preserve">For cases where resolution requires a change to the FFE, the determination does not end at closure — it triggers a controlled submission sequence that protects both the consumer's tax record and the integrity of the correction cycle. </w:t>
      </w:r>
      <w:r w:rsidR="001A2BBE">
        <w:t>Before any retroactive action reaches the FFE, Deloitte will map the full downstream consequence: which correction cycle it falls into, whether a corrected or voided 1095-A will be generated, and the correct submission order for related enrollment segments. Sequencing errors generate new disputes; catching them before submission is less costly than resolving them after. For SBEs, Deloitte will document findings with enough specificity for direct SBE action. Batch corrections and manual overrides will carry supervisory sign-off with a complete time-stamped audit trail before submission.</w:t>
      </w:r>
    </w:p>
    <w:p w14:paraId="4D3DA98B" w14:textId="77777777" w:rsidR="00C957A5" w:rsidRPr="00C957A5" w:rsidRDefault="00C957A5" w:rsidP="00C957A5">
      <w:pPr>
        <w:pStyle w:val="BodyText"/>
      </w:pPr>
      <w:r w:rsidRPr="00C957A5">
        <w:rPr>
          <w:b/>
          <w:bCs/>
        </w:rPr>
        <w:t>Tax season surge readiness</w:t>
      </w:r>
    </w:p>
    <w:p w14:paraId="519E2B03" w14:textId="77777777" w:rsidR="00513BAC" w:rsidRPr="00C957A5" w:rsidRDefault="00513BAC" w:rsidP="00513BAC">
      <w:pPr>
        <w:pStyle w:val="BodyText"/>
      </w:pPr>
      <w:r>
        <w:t>Recruitment begins in November and clearance begins at offer acceptance, enabling the first deployment wave to be cleared and trained before January 1. Additional caseworkers are deployed just in time for February and March peak volumes, then released in phases as volumes decline through June. Returner caseworkers skip baseline training and complete only a policy update refresher, reaching full productivity from their first day back. New hires train on the prior year's actual root-cause case types under peer certification by returners before touching live cases. The result is a surge workforce that improves in quality each year rather than repeating the same ramp.</w:t>
      </w:r>
    </w:p>
    <w:p w14:paraId="2D82BBC4" w14:textId="77777777" w:rsidR="005028F2" w:rsidRDefault="005028F2" w:rsidP="005028F2">
      <w:pPr>
        <w:pStyle w:val="TableTitle"/>
      </w:pPr>
      <w:r w:rsidRPr="006E03C0">
        <w:t>Table 1.2.2-1. Three-Lane 1095-A Resolution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6A0" w:firstRow="1" w:lastRow="0" w:firstColumn="1" w:lastColumn="0" w:noHBand="1" w:noVBand="1"/>
      </w:tblPr>
      <w:tblGrid>
        <w:gridCol w:w="3600"/>
        <w:gridCol w:w="5760"/>
      </w:tblGrid>
      <w:tr w:rsidR="0009164D" w:rsidRPr="0009164D" w14:paraId="5ADDD33D" w14:textId="77777777" w:rsidTr="005028F2">
        <w:trPr>
          <w:tblHeader/>
        </w:trPr>
        <w:tc>
          <w:tcPr>
            <w:tcW w:w="3600" w:type="dxa"/>
            <w:tcBorders>
              <w:top w:val="single" w:sz="1" w:space="0" w:color="B5D4F4"/>
              <w:left w:val="single" w:sz="1" w:space="0" w:color="B5D4F4"/>
              <w:bottom w:val="single" w:sz="1" w:space="0" w:color="B5D4F4"/>
              <w:right w:val="single" w:sz="1" w:space="0" w:color="B5D4F4"/>
            </w:tcBorders>
            <w:shd w:val="clear" w:color="auto" w:fill="005587"/>
            <w:tcMar>
              <w:top w:w="80" w:type="dxa"/>
              <w:left w:w="100" w:type="dxa"/>
              <w:bottom w:w="80" w:type="dxa"/>
              <w:right w:w="100" w:type="dxa"/>
            </w:tcMar>
          </w:tcPr>
          <w:p w14:paraId="0B6A1C95" w14:textId="77777777" w:rsidR="0009164D" w:rsidRPr="009D3190" w:rsidRDefault="0009164D" w:rsidP="001766CF">
            <w:pPr>
              <w:pStyle w:val="TableHeading"/>
            </w:pPr>
            <w:r w:rsidRPr="00802C4A">
              <w:t>Challenge</w:t>
            </w:r>
          </w:p>
        </w:tc>
        <w:tc>
          <w:tcPr>
            <w:tcW w:w="5760" w:type="dxa"/>
            <w:tcBorders>
              <w:top w:val="single" w:sz="1" w:space="0" w:color="B5D4F4"/>
              <w:left w:val="single" w:sz="1" w:space="0" w:color="B5D4F4"/>
              <w:bottom w:val="single" w:sz="1" w:space="0" w:color="B5D4F4"/>
              <w:right w:val="single" w:sz="1" w:space="0" w:color="B5D4F4"/>
            </w:tcBorders>
            <w:shd w:val="clear" w:color="auto" w:fill="005587"/>
            <w:tcMar>
              <w:top w:w="80" w:type="dxa"/>
              <w:left w:w="100" w:type="dxa"/>
              <w:bottom w:w="80" w:type="dxa"/>
              <w:right w:w="100" w:type="dxa"/>
            </w:tcMar>
          </w:tcPr>
          <w:p w14:paraId="00D73375" w14:textId="77777777" w:rsidR="0009164D" w:rsidRPr="009D3190" w:rsidRDefault="0009164D" w:rsidP="001766CF">
            <w:pPr>
              <w:pStyle w:val="TableHeading"/>
            </w:pPr>
            <w:r w:rsidRPr="00802C4A">
              <w:t>Deloitte mitigation</w:t>
            </w:r>
          </w:p>
        </w:tc>
      </w:tr>
      <w:tr w:rsidR="0009164D" w:rsidRPr="0009164D" w14:paraId="231EEAB8" w14:textId="77777777" w:rsidTr="008070BF">
        <w:tc>
          <w:tcPr>
            <w:tcW w:w="3600" w:type="dxa"/>
            <w:tcBorders>
              <w:top w:val="single" w:sz="1" w:space="0" w:color="D3D1C7"/>
              <w:left w:val="single" w:sz="1" w:space="0" w:color="D3D1C7"/>
              <w:bottom w:val="single" w:sz="1" w:space="0" w:color="D3D1C7"/>
              <w:right w:val="single" w:sz="1" w:space="0" w:color="D3D1C7"/>
            </w:tcBorders>
            <w:shd w:val="clear" w:color="auto" w:fill="FFFFFF" w:themeFill="background1"/>
            <w:tcMar>
              <w:top w:w="60" w:type="dxa"/>
              <w:left w:w="100" w:type="dxa"/>
              <w:bottom w:w="60" w:type="dxa"/>
              <w:right w:w="100" w:type="dxa"/>
            </w:tcMar>
          </w:tcPr>
          <w:p w14:paraId="0AFDACCC" w14:textId="77777777" w:rsidR="0009164D" w:rsidRPr="009D3190" w:rsidRDefault="0009164D" w:rsidP="005028F2">
            <w:pPr>
              <w:pStyle w:val="TableBody"/>
              <w:spacing w:after="0"/>
            </w:pPr>
            <w:r w:rsidRPr="00802C4A">
              <w:t>Transition risk and Day 1 continuity: lost files, broken SLA clocks, and intake disruption if inherited workflows are not validated quickly</w:t>
            </w:r>
          </w:p>
        </w:tc>
        <w:tc>
          <w:tcPr>
            <w:tcW w:w="5760" w:type="dxa"/>
            <w:tcBorders>
              <w:top w:val="single" w:sz="1" w:space="0" w:color="D3D1C7"/>
              <w:left w:val="single" w:sz="1" w:space="0" w:color="D3D1C7"/>
              <w:bottom w:val="single" w:sz="1" w:space="0" w:color="D3D1C7"/>
              <w:right w:val="single" w:sz="1" w:space="0" w:color="D3D1C7"/>
            </w:tcBorders>
            <w:shd w:val="clear" w:color="auto" w:fill="FFFFFF" w:themeFill="background1"/>
            <w:tcMar>
              <w:top w:w="60" w:type="dxa"/>
              <w:left w:w="100" w:type="dxa"/>
              <w:bottom w:w="60" w:type="dxa"/>
              <w:right w:w="100" w:type="dxa"/>
            </w:tcMar>
          </w:tcPr>
          <w:p w14:paraId="40DAC0B0" w14:textId="77777777" w:rsidR="0009164D" w:rsidRPr="009D3190" w:rsidRDefault="0009164D" w:rsidP="005028F2">
            <w:pPr>
              <w:pStyle w:val="TableBody"/>
              <w:spacing w:after="0"/>
            </w:pPr>
            <w:r w:rsidRPr="00802C4A">
              <w:t>Deloitte validates inherited workflows, reconciles open inventory against CERRS during transition-in, and confirms HICS-to-CERRS intake, classification logic, and reporting before steady-state operations begin.</w:t>
            </w:r>
          </w:p>
        </w:tc>
      </w:tr>
      <w:tr w:rsidR="0009164D" w:rsidRPr="0009164D" w14:paraId="55059BBB" w14:textId="77777777" w:rsidTr="008070BF">
        <w:tc>
          <w:tcPr>
            <w:tcW w:w="3600" w:type="dxa"/>
            <w:tcBorders>
              <w:top w:val="single" w:sz="1" w:space="0" w:color="D3D1C7"/>
              <w:left w:val="single" w:sz="1" w:space="0" w:color="D3D1C7"/>
              <w:bottom w:val="single" w:sz="1" w:space="0" w:color="D3D1C7"/>
              <w:right w:val="single" w:sz="1" w:space="0" w:color="D3D1C7"/>
            </w:tcBorders>
            <w:shd w:val="clear" w:color="auto" w:fill="FFFFFF" w:themeFill="background1"/>
            <w:tcMar>
              <w:top w:w="60" w:type="dxa"/>
              <w:left w:w="100" w:type="dxa"/>
              <w:bottom w:w="60" w:type="dxa"/>
              <w:right w:w="100" w:type="dxa"/>
            </w:tcMar>
          </w:tcPr>
          <w:p w14:paraId="741F52F5" w14:textId="77777777" w:rsidR="0009164D" w:rsidRPr="009D3190" w:rsidRDefault="0009164D" w:rsidP="005028F2">
            <w:pPr>
              <w:pStyle w:val="TableBody"/>
              <w:spacing w:after="0"/>
            </w:pPr>
            <w:r w:rsidRPr="00802C4A">
              <w:t>Tax season volume spikes: volume may triple January through May, threatening service levels if surge planning is not built in ahead of time</w:t>
            </w:r>
          </w:p>
        </w:tc>
        <w:tc>
          <w:tcPr>
            <w:tcW w:w="5760" w:type="dxa"/>
            <w:tcBorders>
              <w:top w:val="single" w:sz="1" w:space="0" w:color="D3D1C7"/>
              <w:left w:val="single" w:sz="1" w:space="0" w:color="D3D1C7"/>
              <w:bottom w:val="single" w:sz="1" w:space="0" w:color="D3D1C7"/>
              <w:right w:val="single" w:sz="1" w:space="0" w:color="D3D1C7"/>
            </w:tcBorders>
            <w:shd w:val="clear" w:color="auto" w:fill="FFFFFF" w:themeFill="background1"/>
            <w:tcMar>
              <w:top w:w="60" w:type="dxa"/>
              <w:left w:w="100" w:type="dxa"/>
              <w:bottom w:w="60" w:type="dxa"/>
              <w:right w:w="100" w:type="dxa"/>
            </w:tcMar>
          </w:tcPr>
          <w:p w14:paraId="70BE7118" w14:textId="77777777" w:rsidR="0009164D" w:rsidRPr="009D3190" w:rsidRDefault="0009164D" w:rsidP="005028F2">
            <w:pPr>
              <w:pStyle w:val="TableBody"/>
              <w:spacing w:after="0"/>
            </w:pPr>
            <w:r w:rsidRPr="00802C4A">
              <w:t xml:space="preserve">Returner-first staffing strategy with recruitment beginning November. All temporary </w:t>
            </w:r>
            <w:proofErr w:type="gramStart"/>
            <w:r w:rsidRPr="00802C4A">
              <w:t>caseworkers</w:t>
            </w:r>
            <w:proofErr w:type="gramEnd"/>
            <w:r w:rsidRPr="00802C4A">
              <w:t xml:space="preserve"> cleared and trained before January. QA rigor, aging oversight, and SLA monitoring maintained at base period standards throughout surge.</w:t>
            </w:r>
          </w:p>
        </w:tc>
      </w:tr>
      <w:tr w:rsidR="0009164D" w:rsidRPr="0009164D" w14:paraId="6829A786" w14:textId="77777777" w:rsidTr="008070BF">
        <w:tc>
          <w:tcPr>
            <w:tcW w:w="3600" w:type="dxa"/>
            <w:tcBorders>
              <w:top w:val="single" w:sz="1" w:space="0" w:color="D3D1C7"/>
              <w:left w:val="single" w:sz="1" w:space="0" w:color="D3D1C7"/>
              <w:bottom w:val="single" w:sz="1" w:space="0" w:color="D3D1C7"/>
              <w:right w:val="single" w:sz="1" w:space="0" w:color="D3D1C7"/>
            </w:tcBorders>
            <w:shd w:val="clear" w:color="auto" w:fill="FFFFFF" w:themeFill="background1"/>
            <w:tcMar>
              <w:top w:w="60" w:type="dxa"/>
              <w:left w:w="100" w:type="dxa"/>
              <w:bottom w:w="60" w:type="dxa"/>
              <w:right w:w="100" w:type="dxa"/>
            </w:tcMar>
          </w:tcPr>
          <w:p w14:paraId="53343212" w14:textId="77777777" w:rsidR="0009164D" w:rsidRPr="009D3190" w:rsidRDefault="0009164D" w:rsidP="005028F2">
            <w:pPr>
              <w:pStyle w:val="TableBody"/>
              <w:spacing w:after="0"/>
            </w:pPr>
            <w:r w:rsidRPr="00802C4A">
              <w:t>Complexity-driven SLA risk: low, medium, and high complexity require different research paths and SLA definitions; mis-routing ages cases unnecessarily</w:t>
            </w:r>
          </w:p>
        </w:tc>
        <w:tc>
          <w:tcPr>
            <w:tcW w:w="5760" w:type="dxa"/>
            <w:tcBorders>
              <w:top w:val="single" w:sz="1" w:space="0" w:color="D3D1C7"/>
              <w:left w:val="single" w:sz="1" w:space="0" w:color="D3D1C7"/>
              <w:bottom w:val="single" w:sz="1" w:space="0" w:color="D3D1C7"/>
              <w:right w:val="single" w:sz="1" w:space="0" w:color="D3D1C7"/>
            </w:tcBorders>
            <w:shd w:val="clear" w:color="auto" w:fill="FFFFFF" w:themeFill="background1"/>
            <w:tcMar>
              <w:top w:w="60" w:type="dxa"/>
              <w:left w:w="100" w:type="dxa"/>
              <w:bottom w:w="60" w:type="dxa"/>
              <w:right w:w="100" w:type="dxa"/>
            </w:tcMar>
          </w:tcPr>
          <w:p w14:paraId="1471ADEA" w14:textId="77777777" w:rsidR="0009164D" w:rsidRPr="009D3190" w:rsidRDefault="0009164D" w:rsidP="005028F2">
            <w:pPr>
              <w:pStyle w:val="TableBody"/>
              <w:spacing w:after="0"/>
            </w:pPr>
            <w:r w:rsidRPr="00802C4A">
              <w:t>Automated case typing at intake with trained caseworker fallout queue for ambiguous cases. Experience-based assignment ensures senior capacity is reserved for complex cases. SLA-excluded exceptions tracked separately with documented reasons.</w:t>
            </w:r>
          </w:p>
        </w:tc>
      </w:tr>
      <w:tr w:rsidR="0009164D" w:rsidRPr="0009164D" w14:paraId="392C2A32" w14:textId="77777777" w:rsidTr="008070BF">
        <w:tc>
          <w:tcPr>
            <w:tcW w:w="3600" w:type="dxa"/>
            <w:tcBorders>
              <w:top w:val="single" w:sz="1" w:space="0" w:color="D3D1C7"/>
              <w:left w:val="single" w:sz="1" w:space="0" w:color="D3D1C7"/>
              <w:bottom w:val="single" w:sz="1" w:space="0" w:color="D3D1C7"/>
              <w:right w:val="single" w:sz="1" w:space="0" w:color="D3D1C7"/>
            </w:tcBorders>
            <w:shd w:val="clear" w:color="auto" w:fill="FFFFFF" w:themeFill="background1"/>
            <w:tcMar>
              <w:top w:w="60" w:type="dxa"/>
              <w:left w:w="100" w:type="dxa"/>
              <w:bottom w:w="60" w:type="dxa"/>
              <w:right w:w="100" w:type="dxa"/>
            </w:tcMar>
          </w:tcPr>
          <w:p w14:paraId="210C9E64" w14:textId="77777777" w:rsidR="0009164D" w:rsidRPr="009D3190" w:rsidRDefault="0009164D" w:rsidP="005028F2">
            <w:pPr>
              <w:pStyle w:val="TableBody"/>
              <w:spacing w:after="0"/>
            </w:pPr>
            <w:r w:rsidRPr="00802C4A">
              <w:t>Retroactive correction sequencing errors: out-of-sequence FFE submissions create new data conflicts that become new disputes</w:t>
            </w:r>
          </w:p>
        </w:tc>
        <w:tc>
          <w:tcPr>
            <w:tcW w:w="5760" w:type="dxa"/>
            <w:tcBorders>
              <w:top w:val="single" w:sz="1" w:space="0" w:color="D3D1C7"/>
              <w:left w:val="single" w:sz="1" w:space="0" w:color="D3D1C7"/>
              <w:bottom w:val="single" w:sz="1" w:space="0" w:color="D3D1C7"/>
              <w:right w:val="single" w:sz="1" w:space="0" w:color="D3D1C7"/>
            </w:tcBorders>
            <w:shd w:val="clear" w:color="auto" w:fill="FFFFFF" w:themeFill="background1"/>
            <w:tcMar>
              <w:top w:w="60" w:type="dxa"/>
              <w:left w:w="100" w:type="dxa"/>
              <w:bottom w:w="60" w:type="dxa"/>
              <w:right w:w="100" w:type="dxa"/>
            </w:tcMar>
          </w:tcPr>
          <w:p w14:paraId="7C252C94" w14:textId="77777777" w:rsidR="0009164D" w:rsidRPr="009D3190" w:rsidRDefault="0009164D" w:rsidP="005028F2">
            <w:pPr>
              <w:pStyle w:val="TableBody"/>
              <w:spacing w:after="0"/>
            </w:pPr>
            <w:r w:rsidRPr="00802C4A">
              <w:t>Deloitte maps the full downstream consequence before any retroactive action is submitted: correction cycle, 1095-A impact, and submission sequence confirmed before execution. Sequencing errors caught before submission rather than resolved after.</w:t>
            </w:r>
          </w:p>
        </w:tc>
      </w:tr>
      <w:tr w:rsidR="0009164D" w:rsidRPr="0009164D" w14:paraId="12AD91FD" w14:textId="77777777" w:rsidTr="008070BF">
        <w:tc>
          <w:tcPr>
            <w:tcW w:w="3600" w:type="dxa"/>
            <w:tcBorders>
              <w:top w:val="single" w:sz="1" w:space="0" w:color="D3D1C7"/>
              <w:left w:val="single" w:sz="1" w:space="0" w:color="D3D1C7"/>
              <w:bottom w:val="single" w:sz="1" w:space="0" w:color="D3D1C7"/>
              <w:right w:val="single" w:sz="1" w:space="0" w:color="D3D1C7"/>
            </w:tcBorders>
            <w:shd w:val="clear" w:color="auto" w:fill="FFFFFF" w:themeFill="background1"/>
            <w:tcMar>
              <w:top w:w="60" w:type="dxa"/>
              <w:left w:w="100" w:type="dxa"/>
              <w:bottom w:w="60" w:type="dxa"/>
              <w:right w:w="100" w:type="dxa"/>
            </w:tcMar>
          </w:tcPr>
          <w:p w14:paraId="6E5B8086" w14:textId="77777777" w:rsidR="0009164D" w:rsidRPr="009D3190" w:rsidRDefault="0009164D" w:rsidP="005028F2">
            <w:pPr>
              <w:pStyle w:val="TableBody"/>
              <w:spacing w:after="0"/>
            </w:pPr>
            <w:r w:rsidRPr="00802C4A">
              <w:lastRenderedPageBreak/>
              <w:t>Recurring disputes driven by upstream root causes: processing cases individually is inefficient when multiple cases share the same origin</w:t>
            </w:r>
          </w:p>
        </w:tc>
        <w:tc>
          <w:tcPr>
            <w:tcW w:w="5760" w:type="dxa"/>
            <w:tcBorders>
              <w:top w:val="single" w:sz="1" w:space="0" w:color="D3D1C7"/>
              <w:left w:val="single" w:sz="1" w:space="0" w:color="D3D1C7"/>
              <w:bottom w:val="single" w:sz="1" w:space="0" w:color="D3D1C7"/>
              <w:right w:val="single" w:sz="1" w:space="0" w:color="D3D1C7"/>
            </w:tcBorders>
            <w:shd w:val="clear" w:color="auto" w:fill="FFFFFF" w:themeFill="background1"/>
            <w:tcMar>
              <w:top w:w="60" w:type="dxa"/>
              <w:left w:w="100" w:type="dxa"/>
              <w:bottom w:w="60" w:type="dxa"/>
              <w:right w:w="100" w:type="dxa"/>
            </w:tcMar>
          </w:tcPr>
          <w:p w14:paraId="475E9601" w14:textId="77777777" w:rsidR="0009164D" w:rsidRPr="009D3190" w:rsidRDefault="0009164D" w:rsidP="005028F2">
            <w:pPr>
              <w:pStyle w:val="TableBody"/>
              <w:spacing w:after="0"/>
            </w:pPr>
            <w:r w:rsidRPr="00802C4A">
              <w:t xml:space="preserve">Daily monitoring of HICS narratives and CERRS attributes surfaces </w:t>
            </w:r>
            <w:proofErr w:type="gramStart"/>
            <w:r w:rsidRPr="00802C4A">
              <w:t>correlated</w:t>
            </w:r>
            <w:proofErr w:type="gramEnd"/>
            <w:r w:rsidRPr="00802C4A">
              <w:t xml:space="preserve"> clusters </w:t>
            </w:r>
            <w:proofErr w:type="gramStart"/>
            <w:r w:rsidRPr="00802C4A">
              <w:t>same-day</w:t>
            </w:r>
            <w:proofErr w:type="gramEnd"/>
            <w:r w:rsidRPr="00802C4A">
              <w:t>. Correlated cases escalated to CMS with bulk-processing recommendation and root cause summary rather than worked individually.</w:t>
            </w:r>
          </w:p>
        </w:tc>
      </w:tr>
    </w:tbl>
    <w:p w14:paraId="27C6406C" w14:textId="77777777" w:rsidR="0009164D" w:rsidRDefault="0009164D" w:rsidP="005028F2">
      <w:pPr>
        <w:pStyle w:val="ParagraphSpacer"/>
      </w:pPr>
    </w:p>
    <w:p w14:paraId="7BA23AD5" w14:textId="77777777" w:rsidR="008A2E01" w:rsidRDefault="008A2E01" w:rsidP="008A2E01">
      <w:pPr>
        <w:pStyle w:val="Heading4"/>
      </w:pPr>
      <w:r w:rsidRPr="00F72187">
        <w:t>Subtask 3.1: Low Complexity 1095-A Disputes</w:t>
      </w:r>
      <w:r>
        <w:t xml:space="preserve"> </w:t>
      </w:r>
      <w:r w:rsidRPr="00170533">
        <w:rPr>
          <w:vertAlign w:val="superscript"/>
        </w:rPr>
        <w:t>(SOW 3.3.1)</w:t>
      </w:r>
    </w:p>
    <w:p>
      <w:pPr>
        <w:pStyle w:val="BodyText"/>
      </w:pPr>
      <w:r>
        <w:t>Low complexity disputes — primarily Mailing Address Update (MAU) cases — are processed through Deloitte's automated pre-submit workflow against a 2-business-day SLA. Automation performs address validation, eligibility cross-checks, and queue submission without caseworker intervention. Failed automations route to a same-day fallout triage queue, where a trained caseworker completes the update manually. Fallout cases are reviewed weekly to refine rules and reduce manual touch rates over time.</w:t>
      </w:r>
    </w:p>
    <w:p w14:paraId="441D5C91" w14:textId="77777777" w:rsidR="008A2E01" w:rsidRDefault="008A2E01" w:rsidP="008A2E01">
      <w:pPr>
        <w:pStyle w:val="Heading4"/>
      </w:pPr>
      <w:r w:rsidRPr="00F429D6">
        <w:t>Subtask 3.2: Medium Complexity 1095-A Disputes</w:t>
      </w:r>
      <w:r>
        <w:t xml:space="preserve"> </w:t>
      </w:r>
      <w:r w:rsidRPr="00170533">
        <w:rPr>
          <w:vertAlign w:val="superscript"/>
        </w:rPr>
        <w:t>(SOW 3.3.2)</w:t>
      </w:r>
    </w:p>
    <w:p>
      <w:pPr>
        <w:pStyle w:val="BodyText"/>
      </w:pPr>
      <w:r>
        <w:t>Medium complexity disputes involve research across MCR, MIDAS, TM, MCU, and issuer records, resolved within a 5-business-day SLA. Caseworkers follow a standardized research sequence to ensure determination consistency. Live outbound contact is the first resolution step where consumer engagement is required; written correspondence follows if contact cannot be established. SEP MAU cases are handled in a separate tracked workflow with daily aging review to prevent SLA breach during high-volume periods.</w:t>
      </w:r>
    </w:p>
    <w:p w14:paraId="63B8C419" w14:textId="77777777" w:rsidR="008A2E01" w:rsidRPr="00F429D6" w:rsidRDefault="00A77B35" w:rsidP="005028F2">
      <w:pPr>
        <w:pStyle w:val="Heading4"/>
      </w:pPr>
      <w:r>
        <w:t>Subtask 3.3: High Complexity 1095-A Disputes</w:t>
      </w:r>
    </w:p>
    <w:p>
      <w:pPr>
        <w:pStyle w:val="BodyText"/>
      </w:pPr>
      <w:r>
        <w:t>High complexity disputes — CMS-directed actions, retroactive APTC adjustments, and cases requiring FFE changes — are assigned a named caseworker at intake against a 10-business-day SLA. Every retroactive correction requires a documented legal/policy basis, downstream consequence mapping, and pre-validation before FFE submission. CMS/issuer dependencies that block resolution are tracked separately as SLA-excluded holds, reported monthly with projected resolution dates. VIP-flagged cases and any case with potential APTC overpayment implication are escalated to senior staff on the same business day as intake.</w:t>
      </w:r>
    </w:p>
    <w:p w14:paraId="5B83FDC1" w14:textId="77777777" w:rsidR="00A54BF5" w:rsidRDefault="00A54BF5" w:rsidP="00A54BF5">
      <w:pPr>
        <w:pStyle w:val="Heading3"/>
      </w:pPr>
      <w:bookmarkStart w:id="6" w:name="_Toc228252910"/>
      <w:r>
        <w:t>1.2.3</w:t>
      </w:r>
      <w:r>
        <w:tab/>
      </w:r>
      <w:r w:rsidRPr="00A54BF5">
        <w:t>Task 4: Complex Case Help Center (CCHC)</w:t>
      </w:r>
      <w:r w:rsidR="00D8613B">
        <w:t xml:space="preserve"> </w:t>
      </w:r>
      <w:r w:rsidR="00D8613B" w:rsidRPr="00170533">
        <w:rPr>
          <w:vertAlign w:val="superscript"/>
        </w:rPr>
        <w:t>(SOW 3.</w:t>
      </w:r>
      <w:r w:rsidR="00D8613B">
        <w:rPr>
          <w:vertAlign w:val="superscript"/>
        </w:rPr>
        <w:t>4</w:t>
      </w:r>
      <w:r w:rsidR="00D8613B" w:rsidRPr="00170533">
        <w:rPr>
          <w:vertAlign w:val="superscript"/>
        </w:rPr>
        <w:t>)</w:t>
      </w:r>
      <w:r w:rsidR="00806273">
        <w:t xml:space="preserve"> </w:t>
      </w:r>
      <w:r w:rsidR="00806273" w:rsidRPr="00806273">
        <w:t>(2.5 Pages)</w:t>
      </w:r>
      <w:bookmarkEnd w:id="6"/>
    </w:p>
    <w:p w14:paraId="71AAB192" w14:textId="77777777" w:rsidR="00F429D6" w:rsidRPr="003414BC" w:rsidRDefault="6DFF3885" w:rsidP="003414BC">
      <w:pPr>
        <w:pStyle w:val="Subheading1"/>
      </w:pPr>
      <w:r>
        <w:t>Our Understanding</w:t>
      </w:r>
    </w:p>
    <w:p w14:paraId="3C6B33C9" w14:textId="77777777" w:rsidR="003647B7" w:rsidRPr="001766CF" w:rsidRDefault="00B05A2E" w:rsidP="00C853D6">
      <w:pPr>
        <w:pStyle w:val="BodyText"/>
      </w:pPr>
      <w:r w:rsidRPr="001766CF">
        <w:t>Consumers referred to the CCHC have already contacted the Call Center, engaged with an issuer or assister, and still could not resolve their coverage situation through standard channels. The cases that arrive here - DMIs, delayed enrollments, retroactive terminations, APTC discrepancies—sit at the intersection of policy complexity, multi-system data conflicts, and human circumstances that standard processes were not designed to handle. For these consumers, coverage uncertainty is not a data problem. It is a barrier to care and a source of financial stress.</w:t>
      </w:r>
    </w:p>
    <w:p w14:paraId="77AE88B2" w14:textId="77777777" w:rsidR="003647B7" w:rsidRPr="001766CF" w:rsidRDefault="003647B7" w:rsidP="00C853D6">
      <w:pPr>
        <w:pStyle w:val="BodyText"/>
      </w:pPr>
      <w:r w:rsidRPr="001766CF">
        <w:t xml:space="preserve">Getting this right requires more than process adherence. It requires caseworkers who arrive trained for the cases they will </w:t>
      </w:r>
      <w:proofErr w:type="gramStart"/>
      <w:r w:rsidRPr="001766CF">
        <w:t>actually encounter</w:t>
      </w:r>
      <w:proofErr w:type="gramEnd"/>
      <w:r w:rsidRPr="001766CF">
        <w:t xml:space="preserve"> and an escalation discipline that surfaces the right issues to CMS before they become visible problems. CCHC is the only workstream in this contract where the human cost of a process failure is visible in real time.</w:t>
      </w:r>
    </w:p>
    <w:p w14:paraId="7DBF1D54" w14:textId="77777777" w:rsidR="00B05A2E" w:rsidRPr="003414BC" w:rsidRDefault="003647B7" w:rsidP="003414BC">
      <w:pPr>
        <w:pStyle w:val="BodyText"/>
      </w:pPr>
      <w:r w:rsidRPr="001766CF">
        <w:t>Beyond case resolution, CCHC serves as a critical feedback mechanism for CMS. Analysis of recurring trends, root causes, and resolution patterns provides visibility into upstream breakdowns across the broader Exchange ecosystem. Monthly casework reveals where cases could have been resolved upstream, where HICS categorization is inconsistent, where policy clarification is needed, where issuer actions diverge from CMS requirements, and where FFE system defects are generating avoidable case volume. Weekly and monthly reporting are not administrative byproducts. They are how CMS prevents the next wave of escalations.</w:t>
      </w:r>
    </w:p>
    <w:p w14:paraId="27D52BB5" w14:textId="77777777" w:rsidR="00D35EF1" w:rsidRPr="009C2F17" w:rsidRDefault="6DFF3885" w:rsidP="009C2F17">
      <w:pPr>
        <w:pStyle w:val="Subheading1"/>
      </w:pPr>
      <w:r w:rsidRPr="009C2F17">
        <w:t>Our Approach</w:t>
      </w:r>
    </w:p>
    <w:p w14:paraId="37FA92E6" w14:textId="77777777" w:rsidR="001F61AC" w:rsidRPr="00A162D5" w:rsidRDefault="001F61AC" w:rsidP="001F61AC">
      <w:pPr>
        <w:pStyle w:val="BodyText"/>
      </w:pPr>
      <w:r w:rsidRPr="009C2F17">
        <w:t>Deloitte will operate CCHC as a live, consumer-facing resolution function from Day 1, staffed by caseworkers who will have completed scenario-based training before any live case is assigned. The approach builds directly on the shared transition-in and weekly cross-task data share described in Section 1B.</w:t>
      </w:r>
      <w:proofErr w:type="gramStart"/>
      <w:r w:rsidRPr="009C2F17">
        <w:t>1, and</w:t>
      </w:r>
      <w:proofErr w:type="gramEnd"/>
      <w:r w:rsidRPr="009C2F17">
        <w:t xml:space="preserve"> is organized across three dimensions: steady-state case operations, reporting and program intelligence and capacity management.</w:t>
      </w:r>
    </w:p>
    <w:p w14:paraId="22E25AB9" w14:textId="77777777" w:rsidR="001F61AC" w:rsidRPr="00DD2672" w:rsidRDefault="001F61AC" w:rsidP="00E50983">
      <w:pPr>
        <w:pStyle w:val="Subheading1"/>
        <w:rPr>
          <w:b w:val="0"/>
        </w:rPr>
      </w:pPr>
      <w:r w:rsidRPr="00E50983">
        <w:rPr>
          <w:rStyle w:val="CharacterBold"/>
          <w:b/>
        </w:rPr>
        <w:lastRenderedPageBreak/>
        <w:t>Steady-state case operations</w:t>
      </w:r>
    </w:p>
    <w:tbl>
      <w:tblPr>
        <w:tblStyle w:val="TableGrid"/>
        <w:tblpPr w:leftFromText="180" w:rightFromText="180" w:vertAnchor="text" w:tblpXSpec="right" w:tblpY="1"/>
        <w:tblOverlap w:val="never"/>
        <w:tblW w:w="2000" w:type="pct"/>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6"/>
      </w:tblGrid>
      <w:tr w:rsidR="00A162D5" w14:paraId="4E901ABF" w14:textId="77777777" w:rsidTr="00A162D5">
        <w:trPr>
          <w:jc w:val="right"/>
        </w:trPr>
        <w:tc>
          <w:tcPr>
            <w:tcW w:w="9350" w:type="dxa"/>
          </w:tcPr>
          <w:p w14:paraId="60BF2487" w14:textId="77777777" w:rsidR="00A162D5" w:rsidRDefault="00A162D5" w:rsidP="00A162D5">
            <w:pPr>
              <w:pStyle w:val="FigureTitle"/>
            </w:pPr>
            <w:r w:rsidRPr="00A162D5">
              <w:t>Figure X.X-X. Provide Title.</w:t>
            </w:r>
          </w:p>
          <w:p w14:paraId="1FE92729" w14:textId="77777777" w:rsidR="00A162D5" w:rsidRPr="00A162D5" w:rsidRDefault="00A162D5" w:rsidP="00A162D5">
            <w:pPr>
              <w:pStyle w:val="FigureGraphic"/>
            </w:pPr>
            <w:r>
              <w:rPr>
                <w:noProof/>
              </w:rPr>
              <w:drawing>
                <wp:inline distT="0" distB="0" distL="0" distR="0" wp14:anchorId="218F82B3" wp14:editId="50B4D77D">
                  <wp:extent cx="2676525" cy="2066925"/>
                  <wp:effectExtent l="0" t="0" r="9525" b="9525"/>
                  <wp:docPr id="1444848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676525" cy="2066925"/>
                          </a:xfrm>
                          <a:prstGeom prst="rect">
                            <a:avLst/>
                          </a:prstGeom>
                          <a:noFill/>
                        </pic:spPr>
                      </pic:pic>
                    </a:graphicData>
                  </a:graphic>
                </wp:inline>
              </w:drawing>
            </w:r>
          </w:p>
        </w:tc>
      </w:tr>
    </w:tbl>
    <w:p w14:paraId="095EFCD6" w14:textId="77777777" w:rsidR="001F61AC" w:rsidRPr="009C2F17" w:rsidRDefault="001F61AC" w:rsidP="009C2F17">
      <w:pPr>
        <w:pStyle w:val="BodyText"/>
      </w:pPr>
      <w:r w:rsidRPr="009C2F17">
        <w:t xml:space="preserve">Deloitte will apply a channel-agnostic triage protocol so that case classification is governed by the case type, not by which intake channel </w:t>
      </w:r>
      <w:proofErr w:type="gramStart"/>
      <w:r w:rsidRPr="009C2F17">
        <w:t>referred</w:t>
      </w:r>
      <w:proofErr w:type="gramEnd"/>
      <w:r w:rsidRPr="009C2F17">
        <w:t xml:space="preserve"> it. A retroactive termination case referred from the Exchange Call Center will receive the same classification logic, research path, and documentation standard as one referred from OPOLE or CMS leadership. This consistency is what makes QA sampling meaningful: when every caseworker follows the same protocol, deviations are detectable and correctable rather than buried in channel-specific variation.</w:t>
      </w:r>
    </w:p>
    <w:p w14:paraId="1C16635A" w14:textId="77777777" w:rsidR="001F61AC" w:rsidRPr="00DD2672" w:rsidRDefault="001F61AC" w:rsidP="009C2F17">
      <w:pPr>
        <w:pStyle w:val="BodyText"/>
      </w:pPr>
      <w:r w:rsidRPr="009C2F17">
        <w:t>Unlike Task 2 issuer dispute processing, which resolves data discrepancies reported by issuers, CCHC casework resolves coverage problems often originated by consumers. The five-stage workflow below governs how every CCHC case will move from intake to confirmed closure</w:t>
      </w:r>
      <w:r w:rsidRPr="00DD2672">
        <w:t>.</w:t>
      </w:r>
    </w:p>
    <w:p w14:paraId="21EE43B9" w14:textId="77777777" w:rsidR="00374DC9" w:rsidRPr="00DD2672" w:rsidRDefault="00374DC9" w:rsidP="00374DC9">
      <w:pPr>
        <w:pStyle w:val="TableTitle"/>
      </w:pPr>
      <w:r w:rsidRPr="006E03C0">
        <w:t>Table 1.2.3-1. Five-Stage CCHC Case Workflow.</w:t>
      </w:r>
    </w:p>
    <w:tbl>
      <w:tblPr>
        <w:tblStyle w:val="DeloitteTable2"/>
        <w:tblW w:w="5000" w:type="pct"/>
        <w:tblLook w:val="06A0" w:firstRow="1" w:lastRow="0" w:firstColumn="1" w:lastColumn="0" w:noHBand="1" w:noVBand="1"/>
      </w:tblPr>
      <w:tblGrid>
        <w:gridCol w:w="1525"/>
        <w:gridCol w:w="7825"/>
      </w:tblGrid>
      <w:tr w:rsidR="00374DC9" w14:paraId="5045BCB6" w14:textId="77777777" w:rsidTr="00374DC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25" w:type="dxa"/>
          </w:tcPr>
          <w:p w14:paraId="4CA8C362" w14:textId="77777777" w:rsidR="00374DC9" w:rsidRPr="00C6190E" w:rsidRDefault="00374DC9" w:rsidP="00374DC9">
            <w:pPr>
              <w:pStyle w:val="TableHeading"/>
            </w:pPr>
            <w:r w:rsidRPr="00BD374B">
              <w:t>Stage</w:t>
            </w:r>
          </w:p>
        </w:tc>
        <w:tc>
          <w:tcPr>
            <w:tcW w:w="7825" w:type="dxa"/>
          </w:tcPr>
          <w:p w14:paraId="015C62C4" w14:textId="77777777" w:rsidR="00374DC9" w:rsidRPr="00C6190E" w:rsidRDefault="00374DC9" w:rsidP="00374DC9">
            <w:pPr>
              <w:pStyle w:val="TableHeading"/>
              <w:cnfStyle w:val="100000000000" w:firstRow="1" w:lastRow="0" w:firstColumn="0" w:lastColumn="0" w:oddVBand="0" w:evenVBand="0" w:oddHBand="0" w:evenHBand="0" w:firstRowFirstColumn="0" w:firstRowLastColumn="0" w:lastRowFirstColumn="0" w:lastRowLastColumn="0"/>
            </w:pPr>
            <w:r w:rsidRPr="00BD374B">
              <w:t>What Deloitte will do and why it matters</w:t>
            </w:r>
          </w:p>
        </w:tc>
      </w:tr>
      <w:tr w:rsidR="00374DC9" w14:paraId="155E629B" w14:textId="77777777" w:rsidTr="00374DC9">
        <w:tc>
          <w:tcPr>
            <w:cnfStyle w:val="001000000000" w:firstRow="0" w:lastRow="0" w:firstColumn="1" w:lastColumn="0" w:oddVBand="0" w:evenVBand="0" w:oddHBand="0" w:evenHBand="0" w:firstRowFirstColumn="0" w:firstRowLastColumn="0" w:lastRowFirstColumn="0" w:lastRowLastColumn="0"/>
            <w:tcW w:w="1525" w:type="dxa"/>
          </w:tcPr>
          <w:p w14:paraId="1E658536" w14:textId="77777777" w:rsidR="00374DC9" w:rsidRPr="00C6190E" w:rsidRDefault="00374DC9" w:rsidP="00374DC9">
            <w:pPr>
              <w:pStyle w:val="TableRowHeading"/>
              <w:spacing w:after="0"/>
            </w:pPr>
            <w:r w:rsidRPr="009535AA">
              <w:t>Intake and triage</w:t>
            </w:r>
          </w:p>
        </w:tc>
        <w:tc>
          <w:tcPr>
            <w:tcW w:w="7825" w:type="dxa"/>
          </w:tcPr>
          <w:p w14:paraId="37B4278F" w14:textId="77777777" w:rsidR="00374DC9" w:rsidRPr="00C6190E" w:rsidRDefault="00374DC9" w:rsidP="00374DC9">
            <w:pPr>
              <w:pStyle w:val="TableBody"/>
              <w:spacing w:after="0"/>
              <w:cnfStyle w:val="000000000000" w:firstRow="0" w:lastRow="0" w:firstColumn="0" w:lastColumn="0" w:oddVBand="0" w:evenVBand="0" w:oddHBand="0" w:evenHBand="0" w:firstRowFirstColumn="0" w:firstRowLastColumn="0" w:lastRowFirstColumn="0" w:lastRowLastColumn="0"/>
            </w:pPr>
            <w:r w:rsidRPr="00041688">
              <w:t>Every case is triaged on four dimensions: issue type, complexity, referral source urgency, CMS prioritization. Channel-agnostic protocol eliminates categorization inconsistency, improving downstream reporting accuracy and enabling reliable root cause analysis.</w:t>
            </w:r>
          </w:p>
        </w:tc>
      </w:tr>
      <w:tr w:rsidR="00374DC9" w14:paraId="56CD9DBF" w14:textId="77777777" w:rsidTr="00374DC9">
        <w:tc>
          <w:tcPr>
            <w:cnfStyle w:val="001000000000" w:firstRow="0" w:lastRow="0" w:firstColumn="1" w:lastColumn="0" w:oddVBand="0" w:evenVBand="0" w:oddHBand="0" w:evenHBand="0" w:firstRowFirstColumn="0" w:firstRowLastColumn="0" w:lastRowFirstColumn="0" w:lastRowLastColumn="0"/>
            <w:tcW w:w="1525" w:type="dxa"/>
          </w:tcPr>
          <w:p w14:paraId="60F99CFD" w14:textId="77777777" w:rsidR="00374DC9" w:rsidRPr="00C6190E" w:rsidRDefault="00374DC9" w:rsidP="00374DC9">
            <w:pPr>
              <w:pStyle w:val="TableRowHeading"/>
              <w:spacing w:after="0"/>
            </w:pPr>
            <w:r w:rsidRPr="009535AA">
              <w:t>Assignment</w:t>
            </w:r>
          </w:p>
        </w:tc>
        <w:tc>
          <w:tcPr>
            <w:tcW w:w="7825" w:type="dxa"/>
          </w:tcPr>
          <w:p w14:paraId="63087717" w14:textId="77777777" w:rsidR="00374DC9" w:rsidRPr="00C6190E" w:rsidRDefault="00374DC9" w:rsidP="00374DC9">
            <w:pPr>
              <w:pStyle w:val="TableBody"/>
              <w:spacing w:after="0"/>
              <w:cnfStyle w:val="000000000000" w:firstRow="0" w:lastRow="0" w:firstColumn="0" w:lastColumn="0" w:oddVBand="0" w:evenVBand="0" w:oddHBand="0" w:evenHBand="0" w:firstRowFirstColumn="0" w:firstRowLastColumn="0" w:lastRowFirstColumn="0" w:lastRowLastColumn="0"/>
            </w:pPr>
            <w:r w:rsidRPr="00041688">
              <w:t xml:space="preserve">Cases </w:t>
            </w:r>
            <w:proofErr w:type="gramStart"/>
            <w:r w:rsidRPr="00041688">
              <w:t>routed</w:t>
            </w:r>
            <w:proofErr w:type="gramEnd"/>
            <w:r w:rsidRPr="00041688">
              <w:t xml:space="preserve"> based on agent expertise and specialization. Senior agents handle VIP cases (SWIFT, Congressional, Media Interest, Level 1 HICS flags). Specialized queues manage DMIs, delayed enrollment, retroactive terminations, APTC, and difficult-to-enroll populations. A named point of contact will be assigned to every VIP case at intake and will remain accountable through closure, ensuring the consumer has a single, consistent point of contact regardless of how the case was referred or how long resolution takes.</w:t>
            </w:r>
          </w:p>
        </w:tc>
      </w:tr>
      <w:tr w:rsidR="00374DC9" w14:paraId="40C03C9C" w14:textId="77777777" w:rsidTr="00374DC9">
        <w:tc>
          <w:tcPr>
            <w:cnfStyle w:val="001000000000" w:firstRow="0" w:lastRow="0" w:firstColumn="1" w:lastColumn="0" w:oddVBand="0" w:evenVBand="0" w:oddHBand="0" w:evenHBand="0" w:firstRowFirstColumn="0" w:firstRowLastColumn="0" w:lastRowFirstColumn="0" w:lastRowLastColumn="0"/>
            <w:tcW w:w="1525" w:type="dxa"/>
          </w:tcPr>
          <w:p w14:paraId="292993E9" w14:textId="77777777" w:rsidR="00374DC9" w:rsidRPr="00C6190E" w:rsidRDefault="00374DC9" w:rsidP="00374DC9">
            <w:pPr>
              <w:pStyle w:val="TableRowHeading"/>
              <w:spacing w:after="0"/>
            </w:pPr>
            <w:r w:rsidRPr="009535AA">
              <w:t>Investigation</w:t>
            </w:r>
          </w:p>
        </w:tc>
        <w:tc>
          <w:tcPr>
            <w:tcW w:w="7825" w:type="dxa"/>
          </w:tcPr>
          <w:p w14:paraId="3B1C1E39" w14:textId="77777777" w:rsidR="00374DC9" w:rsidRPr="00C6190E" w:rsidRDefault="00374DC9" w:rsidP="00374DC9">
            <w:pPr>
              <w:pStyle w:val="TableBody"/>
              <w:spacing w:after="0"/>
              <w:cnfStyle w:val="000000000000" w:firstRow="0" w:lastRow="0" w:firstColumn="0" w:lastColumn="0" w:oddVBand="0" w:evenVBand="0" w:oddHBand="0" w:evenHBand="0" w:firstRowFirstColumn="0" w:firstRowLastColumn="0" w:lastRowFirstColumn="0" w:lastRowLastColumn="0"/>
            </w:pPr>
            <w:r w:rsidRPr="00041688">
              <w:t xml:space="preserve">Issue-specific checklists and required-evidence prompts will guide </w:t>
            </w:r>
            <w:proofErr w:type="gramStart"/>
            <w:r w:rsidRPr="00041688">
              <w:t>caseworkers</w:t>
            </w:r>
            <w:proofErr w:type="gramEnd"/>
            <w:r w:rsidRPr="00041688">
              <w:t xml:space="preserve"> through a defined research sequence across MCR, TM, MCU, MIDAS, HICS, and SEED. Anomalies will be flagged in the workflow as they arise. Documentation will be captured in real time, not reconstructed at closure, and all communications with issuers and consumers—including content, channel, and outcome—will be recorded as they occur, ensuring a complete and auditable case record.</w:t>
            </w:r>
          </w:p>
        </w:tc>
      </w:tr>
      <w:tr w:rsidR="00374DC9" w14:paraId="701DCA9E" w14:textId="77777777" w:rsidTr="00374DC9">
        <w:tc>
          <w:tcPr>
            <w:cnfStyle w:val="001000000000" w:firstRow="0" w:lastRow="0" w:firstColumn="1" w:lastColumn="0" w:oddVBand="0" w:evenVBand="0" w:oddHBand="0" w:evenHBand="0" w:firstRowFirstColumn="0" w:firstRowLastColumn="0" w:lastRowFirstColumn="0" w:lastRowLastColumn="0"/>
            <w:tcW w:w="1525" w:type="dxa"/>
          </w:tcPr>
          <w:p w14:paraId="29E20696" w14:textId="77777777" w:rsidR="00374DC9" w:rsidRPr="00C6190E" w:rsidRDefault="00374DC9" w:rsidP="00374DC9">
            <w:pPr>
              <w:pStyle w:val="TableRowHeading"/>
              <w:spacing w:after="0"/>
            </w:pPr>
            <w:r w:rsidRPr="009535AA">
              <w:t>Resolution</w:t>
            </w:r>
          </w:p>
        </w:tc>
        <w:tc>
          <w:tcPr>
            <w:tcW w:w="7825" w:type="dxa"/>
          </w:tcPr>
          <w:p w14:paraId="5F238121" w14:textId="77777777" w:rsidR="00374DC9" w:rsidRPr="00C6190E" w:rsidRDefault="00374DC9" w:rsidP="00374DC9">
            <w:pPr>
              <w:pStyle w:val="TableBody"/>
              <w:spacing w:after="0"/>
              <w:cnfStyle w:val="000000000000" w:firstRow="0" w:lastRow="0" w:firstColumn="0" w:lastColumn="0" w:oddVBand="0" w:evenVBand="0" w:oddHBand="0" w:evenHBand="0" w:firstRowFirstColumn="0" w:firstRowLastColumn="0" w:lastRowFirstColumn="0" w:lastRowLastColumn="0"/>
            </w:pPr>
            <w:r w:rsidRPr="00041688">
              <w:t xml:space="preserve">CMS-aligned playbooks define resolution steps and policy basis. Resolution outcomes include clear, actionable instructions for each stakeholder (consumer, issuer, assister, agent/broker, FFE update) with accountability established prior to closure. Issuer actions documented and tracked to completion. Escalations include a recommended resolution with supporting documentation - not just issue flagging. Submitted documentation is </w:t>
            </w:r>
            <w:proofErr w:type="gramStart"/>
            <w:r w:rsidRPr="00041688">
              <w:t>reviewed for</w:t>
            </w:r>
            <w:proofErr w:type="gramEnd"/>
            <w:r w:rsidRPr="00041688">
              <w:t xml:space="preserve"> consistency and completeness before any determination proceeds.</w:t>
            </w:r>
          </w:p>
        </w:tc>
      </w:tr>
      <w:tr w:rsidR="00374DC9" w14:paraId="18D75310" w14:textId="77777777" w:rsidTr="00374DC9">
        <w:tc>
          <w:tcPr>
            <w:cnfStyle w:val="001000000000" w:firstRow="0" w:lastRow="0" w:firstColumn="1" w:lastColumn="0" w:oddVBand="0" w:evenVBand="0" w:oddHBand="0" w:evenHBand="0" w:firstRowFirstColumn="0" w:firstRowLastColumn="0" w:lastRowFirstColumn="0" w:lastRowLastColumn="0"/>
            <w:tcW w:w="1525" w:type="dxa"/>
          </w:tcPr>
          <w:p w14:paraId="41F3045D" w14:textId="77777777" w:rsidR="00374DC9" w:rsidRPr="00C6190E" w:rsidRDefault="00374DC9" w:rsidP="00374DC9">
            <w:pPr>
              <w:pStyle w:val="TableRowHeading"/>
              <w:spacing w:after="0"/>
            </w:pPr>
            <w:r w:rsidRPr="009535AA">
              <w:t>Closure</w:t>
            </w:r>
          </w:p>
        </w:tc>
        <w:tc>
          <w:tcPr>
            <w:tcW w:w="7825" w:type="dxa"/>
          </w:tcPr>
          <w:p w14:paraId="22FB2C18" w14:textId="77777777" w:rsidR="00374DC9" w:rsidRPr="00C6190E" w:rsidRDefault="00374DC9" w:rsidP="00374DC9">
            <w:pPr>
              <w:pStyle w:val="TableBody"/>
              <w:spacing w:after="0"/>
              <w:cnfStyle w:val="000000000000" w:firstRow="0" w:lastRow="0" w:firstColumn="0" w:lastColumn="0" w:oddVBand="0" w:evenVBand="0" w:oddHBand="0" w:evenHBand="0" w:firstRowFirstColumn="0" w:firstRowLastColumn="0" w:lastRowFirstColumn="0" w:lastRowLastColumn="0"/>
            </w:pPr>
            <w:r w:rsidRPr="00041688">
              <w:t>Cases close only when three conditions are met: action completed and confirmed, consumer notified verbally or in writing, and complete metadata captured. Required-field validation is enforced at workflow level.</w:t>
            </w:r>
          </w:p>
        </w:tc>
      </w:tr>
    </w:tbl>
    <w:p w14:paraId="179A4516" w14:textId="77777777" w:rsidR="001F61AC" w:rsidRPr="00CB0E94" w:rsidRDefault="001F61AC" w:rsidP="00374DC9">
      <w:pPr>
        <w:pStyle w:val="ParagraphSpacer"/>
      </w:pPr>
    </w:p>
    <w:p w14:paraId="172EE511" w14:textId="77777777" w:rsidR="001F61AC" w:rsidRPr="00DD2672" w:rsidRDefault="001F61AC" w:rsidP="00D14B6C">
      <w:pPr>
        <w:pStyle w:val="Subheading1"/>
      </w:pPr>
      <w:r w:rsidRPr="00D14B6C">
        <w:lastRenderedPageBreak/>
        <w:t xml:space="preserve">Capacity management</w:t>
      </w:r>
    </w:p>
    <w:p w14:paraId="7D1676A4" w14:textId="77777777" w:rsidR="00D35EF1" w:rsidRPr="00352B37" w:rsidRDefault="001F61AC" w:rsidP="00352B37">
      <w:pPr>
        <w:pStyle w:val="BodyText"/>
      </w:pPr>
      <w:r w:rsidRPr="00352B37">
        <w:t xml:space="preserve">Deloitte will build the CCHC staffing model around the actual volume curve, not an annual average, applying the same surge readiness principles as Task 3: </w:t>
      </w:r>
      <w:proofErr w:type="gramStart"/>
      <w:r w:rsidRPr="00352B37">
        <w:t>caseworkers</w:t>
      </w:r>
      <w:proofErr w:type="gramEnd"/>
      <w:r w:rsidRPr="00352B37">
        <w:t xml:space="preserve"> scenario-trained before volume arrives, supervisory ratios maintained at peak, and a defined reserve pool that activates on a threshold rather than requiring a new recruitment cycle. Supervisory ratios, QA coverage, call monitoring standards, and reporting timelines are operational commitments that will </w:t>
      </w:r>
      <w:proofErr w:type="gramStart"/>
      <w:r w:rsidRPr="00352B37">
        <w:t>hold</w:t>
      </w:r>
      <w:proofErr w:type="gramEnd"/>
      <w:r w:rsidRPr="00352B37">
        <w:t xml:space="preserve"> at peak volume, not targets that degrade when caseload increases. The staffing plan submitted at kickoff will show coverage at each volume scenario, and flex capacity will be drawn through cross-trained reserve staff, temporary reallocation from aligned workstreams, and targeted short-term support as directed by CMS.</w:t>
      </w:r>
    </w:p>
    <w:p w14:paraId="61D27DFE" w14:textId="77777777" w:rsidR="001D0EC2" w:rsidRDefault="00D14B6C" w:rsidP="00D14B6C">
      <w:pPr>
        <w:pStyle w:val="TableTitle"/>
      </w:pPr>
      <w:r w:rsidRPr="006E03C0">
        <w:t>Table 1.2.3-3. Capacity and Surge Plan.</w:t>
      </w:r>
    </w:p>
    <w:tbl>
      <w:tblPr>
        <w:tblStyle w:val="DeloitteTable2"/>
        <w:tblW w:w="5000" w:type="pct"/>
        <w:tblLook w:val="0620" w:firstRow="1" w:lastRow="0" w:firstColumn="0" w:lastColumn="0" w:noHBand="1" w:noVBand="1"/>
      </w:tblPr>
      <w:tblGrid>
        <w:gridCol w:w="3595"/>
        <w:gridCol w:w="5755"/>
      </w:tblGrid>
      <w:tr w:rsidR="001D0EC2" w:rsidRPr="001D0EC2" w14:paraId="46299957" w14:textId="77777777" w:rsidTr="00D14B6C">
        <w:trPr>
          <w:cnfStyle w:val="100000000000" w:firstRow="1" w:lastRow="0" w:firstColumn="0" w:lastColumn="0" w:oddVBand="0" w:evenVBand="0" w:oddHBand="0" w:evenHBand="0" w:firstRowFirstColumn="0" w:firstRowLastColumn="0" w:lastRowFirstColumn="0" w:lastRowLastColumn="0"/>
          <w:tblHeader/>
        </w:trPr>
        <w:tc>
          <w:tcPr>
            <w:tcW w:w="3595" w:type="dxa"/>
          </w:tcPr>
          <w:p w14:paraId="63386265" w14:textId="77777777" w:rsidR="001D0EC2" w:rsidRPr="00C6190E" w:rsidRDefault="001D0EC2" w:rsidP="00594470">
            <w:pPr>
              <w:pStyle w:val="TableHeading"/>
            </w:pPr>
            <w:r w:rsidRPr="001D0EC2">
              <w:t>Challenge</w:t>
            </w:r>
          </w:p>
        </w:tc>
        <w:tc>
          <w:tcPr>
            <w:tcW w:w="5755" w:type="dxa"/>
          </w:tcPr>
          <w:p w14:paraId="0523B6D4" w14:textId="77777777" w:rsidR="001D0EC2" w:rsidRPr="00C6190E" w:rsidRDefault="001D0EC2" w:rsidP="00594470">
            <w:pPr>
              <w:pStyle w:val="TableHeading"/>
            </w:pPr>
            <w:r w:rsidRPr="001D0EC2">
              <w:t>Deloitte mitigation</w:t>
            </w:r>
          </w:p>
        </w:tc>
      </w:tr>
      <w:tr w:rsidR="001D0EC2" w:rsidRPr="001D0EC2" w14:paraId="21BD83C5" w14:textId="77777777" w:rsidTr="00D14B6C">
        <w:tc>
          <w:tcPr>
            <w:tcW w:w="3595" w:type="dxa"/>
          </w:tcPr>
          <w:p w14:paraId="44EC6C88" w14:textId="77777777" w:rsidR="001D0EC2" w:rsidRPr="00C6190E" w:rsidRDefault="001D0EC2" w:rsidP="00D14B6C">
            <w:pPr>
              <w:pStyle w:val="TableBody"/>
              <w:spacing w:after="0"/>
            </w:pPr>
            <w:r w:rsidRPr="001D0EC2">
              <w:t>Transition risk: CCHC operations rely on informal decision logic that SOPs do not capture—gaps emerge only after go-live if not captured during transition</w:t>
            </w:r>
          </w:p>
        </w:tc>
        <w:tc>
          <w:tcPr>
            <w:tcW w:w="5755" w:type="dxa"/>
          </w:tcPr>
          <w:p w14:paraId="3D0C73A6" w14:textId="77777777" w:rsidR="001D0EC2" w:rsidRPr="00C6190E" w:rsidRDefault="001D0EC2" w:rsidP="00D14B6C">
            <w:pPr>
              <w:pStyle w:val="TableBody"/>
              <w:spacing w:after="0"/>
            </w:pPr>
            <w:proofErr w:type="spellStart"/>
            <w:r w:rsidRPr="001D0EC2">
              <w:t>TruNorth</w:t>
            </w:r>
            <w:proofErr w:type="spellEnd"/>
            <w:r w:rsidRPr="001D0EC2">
              <w:t xml:space="preserve"> captures routing rules and escalation dependencies from source code independently. Full production workflow shadowed during transition-in to document informal decision points. Readiness confirmed against a structured runbook before case transfer begins.</w:t>
            </w:r>
          </w:p>
        </w:tc>
      </w:tr>
      <w:tr w:rsidR="001D0EC2" w:rsidRPr="001D0EC2" w14:paraId="2CB3A06C" w14:textId="77777777" w:rsidTr="00D14B6C">
        <w:tc>
          <w:tcPr>
            <w:tcW w:w="3595" w:type="dxa"/>
          </w:tcPr>
          <w:p w14:paraId="7E74D595" w14:textId="77777777" w:rsidR="001D0EC2" w:rsidRPr="00C6190E" w:rsidRDefault="001D0EC2" w:rsidP="00D14B6C">
            <w:pPr>
              <w:pStyle w:val="TableBody"/>
              <w:spacing w:after="0"/>
            </w:pPr>
            <w:r w:rsidRPr="001D0EC2">
              <w:t>Agent readiness: complex eligibility and enrollment scenarios cannot be learned on live consumer cases involving stressed or vulnerable individuals</w:t>
            </w:r>
          </w:p>
        </w:tc>
        <w:tc>
          <w:tcPr>
            <w:tcW w:w="5755" w:type="dxa"/>
          </w:tcPr>
          <w:p w14:paraId="6332BE19" w14:textId="77777777" w:rsidR="001D0EC2" w:rsidRPr="00C6190E" w:rsidRDefault="001D0EC2" w:rsidP="00D14B6C">
            <w:pPr>
              <w:pStyle w:val="TableBody"/>
              <w:spacing w:after="0"/>
            </w:pPr>
            <w:r w:rsidRPr="001D0EC2">
              <w:t xml:space="preserve">Scenario-based curriculum built from prior-year root cause data. Agents trained </w:t>
            </w:r>
            <w:proofErr w:type="gramStart"/>
            <w:r w:rsidRPr="001D0EC2">
              <w:t>on</w:t>
            </w:r>
            <w:proofErr w:type="gramEnd"/>
            <w:r w:rsidRPr="001D0EC2">
              <w:t xml:space="preserve"> actual case types before handling live cases. Competency assessed before independent case handling. Returner agents serve as peer certifiers for new hires.</w:t>
            </w:r>
          </w:p>
        </w:tc>
      </w:tr>
      <w:tr w:rsidR="001D0EC2" w:rsidRPr="001D0EC2" w14:paraId="5851FA44" w14:textId="77777777" w:rsidTr="00D14B6C">
        <w:tc>
          <w:tcPr>
            <w:tcW w:w="3595" w:type="dxa"/>
          </w:tcPr>
          <w:p w14:paraId="021E12D3" w14:textId="77777777" w:rsidR="001D0EC2" w:rsidRPr="00C6190E" w:rsidRDefault="001D0EC2" w:rsidP="00D14B6C">
            <w:pPr>
              <w:pStyle w:val="TableBody"/>
              <w:spacing w:after="0"/>
            </w:pPr>
            <w:r w:rsidRPr="001D0EC2">
              <w:t>Reporting quality: descriptive monthly reports tell CMS what happened but not what to do about it</w:t>
            </w:r>
          </w:p>
        </w:tc>
        <w:tc>
          <w:tcPr>
            <w:tcW w:w="5755" w:type="dxa"/>
          </w:tcPr>
          <w:p w14:paraId="56C4D5FC" w14:textId="77777777" w:rsidR="001D0EC2" w:rsidRPr="00C6190E" w:rsidRDefault="001D0EC2" w:rsidP="00D14B6C">
            <w:pPr>
              <w:pStyle w:val="TableBody"/>
              <w:spacing w:after="0"/>
            </w:pPr>
            <w:r w:rsidRPr="001D0EC2">
              <w:t>Every reporting deliverable closes with specific recommended actions drafted for CMS review.</w:t>
            </w:r>
            <w:r w:rsidRPr="00291589">
              <w:t xml:space="preserve"> </w:t>
            </w:r>
            <w:r w:rsidR="00686EA1" w:rsidRPr="00686EA1">
              <w:t xml:space="preserve">Monthly root cause analysis </w:t>
            </w:r>
            <w:r w:rsidR="00D7088B" w:rsidRPr="00D7088B">
              <w:t>goes further, closing</w:t>
            </w:r>
            <w:r w:rsidR="00686EA1" w:rsidRPr="00686EA1">
              <w:t xml:space="preserve"> each analytical category with </w:t>
            </w:r>
            <w:proofErr w:type="gramStart"/>
            <w:r w:rsidR="00686EA1" w:rsidRPr="00686EA1">
              <w:t xml:space="preserve">a </w:t>
            </w:r>
            <w:r w:rsidR="00D7088B" w:rsidRPr="00D7088B">
              <w:t>prioritized</w:t>
            </w:r>
            <w:proofErr w:type="gramEnd"/>
            <w:r w:rsidR="00686EA1" w:rsidRPr="00686EA1">
              <w:t xml:space="preserve"> action </w:t>
            </w:r>
            <w:r w:rsidR="00D7088B" w:rsidRPr="00D7088B">
              <w:t>and supporting evidence</w:t>
            </w:r>
            <w:r w:rsidRPr="001D0EC2">
              <w:t>. CMS receives a decision package, not a trend summary.</w:t>
            </w:r>
          </w:p>
        </w:tc>
      </w:tr>
      <w:tr w:rsidR="001D0EC2" w:rsidRPr="001D0EC2" w14:paraId="77294CD0" w14:textId="77777777" w:rsidTr="00D14B6C">
        <w:tc>
          <w:tcPr>
            <w:tcW w:w="3595" w:type="dxa"/>
          </w:tcPr>
          <w:p w14:paraId="5BFAEBC0" w14:textId="77777777" w:rsidR="001D0EC2" w:rsidRPr="00C6190E" w:rsidRDefault="001D0EC2" w:rsidP="00D14B6C">
            <w:pPr>
              <w:pStyle w:val="TableBody"/>
              <w:spacing w:after="0"/>
            </w:pPr>
            <w:r w:rsidRPr="001D0EC2">
              <w:t>Seasonal volume fluctuation: referral volume peaks during Open Enrollment and tax season, threatening quality and reporting timelines if only headcount is added</w:t>
            </w:r>
          </w:p>
        </w:tc>
        <w:tc>
          <w:tcPr>
            <w:tcW w:w="5755" w:type="dxa"/>
          </w:tcPr>
          <w:p w14:paraId="443317EA" w14:textId="77777777" w:rsidR="001D0EC2" w:rsidRPr="00C6190E" w:rsidRDefault="001D0EC2" w:rsidP="00D14B6C">
            <w:pPr>
              <w:pStyle w:val="TableBody"/>
              <w:spacing w:after="0"/>
            </w:pPr>
            <w:r w:rsidRPr="001D0EC2">
              <w:t>Surge model deploys trained headcount, not just headcount. Supervisory ratios, QA coverage, and reporting timelines held constant at all volume levels. Staffing plan shows coverage at each volume scenario, not a single average-volume number.</w:t>
            </w:r>
          </w:p>
        </w:tc>
      </w:tr>
      <w:tr w:rsidR="001D0EC2" w:rsidRPr="001D0EC2" w14:paraId="59242391" w14:textId="77777777" w:rsidTr="00D14B6C">
        <w:tc>
          <w:tcPr>
            <w:tcW w:w="3595" w:type="dxa"/>
          </w:tcPr>
          <w:p w14:paraId="0674BB7B" w14:textId="77777777" w:rsidR="001D0EC2" w:rsidRPr="00C6190E" w:rsidRDefault="001D0EC2" w:rsidP="00D14B6C">
            <w:pPr>
              <w:pStyle w:val="TableBody"/>
              <w:spacing w:after="0"/>
            </w:pPr>
            <w:r w:rsidRPr="001D0EC2">
              <w:t>Issuer non-compliance visibility: issuer patterns that drive CCHC cases may not be visible to issuers or CMS without structured analysis</w:t>
            </w:r>
          </w:p>
        </w:tc>
        <w:tc>
          <w:tcPr>
            <w:tcW w:w="5755" w:type="dxa"/>
          </w:tcPr>
          <w:p w14:paraId="47491129" w14:textId="77777777" w:rsidR="001D0EC2" w:rsidRPr="00C6190E" w:rsidRDefault="001D0EC2" w:rsidP="00D14B6C">
            <w:pPr>
              <w:pStyle w:val="TableBody"/>
              <w:spacing w:after="0"/>
            </w:pPr>
            <w:r w:rsidRPr="001D0EC2">
              <w:t xml:space="preserve">Issuer coordination is pattern-driven, not case-by-case. Patterns identified at intake through metadata association. Deloitte drafts recommended issuer communications for CMS review and distribution through all-issuer webinars, </w:t>
            </w:r>
            <w:proofErr w:type="spellStart"/>
            <w:r w:rsidRPr="001D0EC2">
              <w:t>REGTap</w:t>
            </w:r>
            <w:proofErr w:type="spellEnd"/>
            <w:r w:rsidRPr="001D0EC2">
              <w:t xml:space="preserve">, and </w:t>
            </w:r>
            <w:proofErr w:type="spellStart"/>
            <w:r w:rsidRPr="001D0EC2">
              <w:t>CMSzONE</w:t>
            </w:r>
            <w:proofErr w:type="spellEnd"/>
            <w:r w:rsidRPr="001D0EC2">
              <w:t>.</w:t>
            </w:r>
          </w:p>
        </w:tc>
      </w:tr>
    </w:tbl>
    <w:p w14:paraId="5A754B10" w14:textId="77777777" w:rsidR="001D0EC2" w:rsidRPr="003414BC" w:rsidRDefault="001D0EC2" w:rsidP="725F7C5B">
      <w:pPr>
        <w:pStyle w:val="BodyText"/>
      </w:pPr>
    </w:p>
    <w:p w14:paraId="60CD9966" w14:textId="77777777" w:rsidR="00A54BF5" w:rsidRDefault="00A54BF5" w:rsidP="00A54BF5">
      <w:pPr>
        <w:pStyle w:val="Heading3"/>
      </w:pPr>
      <w:bookmarkStart w:id="7" w:name="_Toc228252911"/>
      <w:r>
        <w:t>1.2.4</w:t>
      </w:r>
      <w:r>
        <w:tab/>
        <w:t>Task 5: Updating the FFE</w:t>
      </w:r>
      <w:r w:rsidR="00D8613B">
        <w:t xml:space="preserve"> </w:t>
      </w:r>
      <w:r w:rsidR="00FE565C" w:rsidRPr="00170533">
        <w:rPr>
          <w:vertAlign w:val="superscript"/>
        </w:rPr>
        <w:t>(SOW 3.</w:t>
      </w:r>
      <w:r w:rsidR="00FE565C">
        <w:rPr>
          <w:vertAlign w:val="superscript"/>
        </w:rPr>
        <w:t>5</w:t>
      </w:r>
      <w:r w:rsidR="00FE565C" w:rsidRPr="00170533">
        <w:rPr>
          <w:vertAlign w:val="superscript"/>
        </w:rPr>
        <w:t>)</w:t>
      </w:r>
      <w:r w:rsidR="00806273">
        <w:t xml:space="preserve"> </w:t>
      </w:r>
      <w:r w:rsidR="00806273" w:rsidRPr="00806273">
        <w:t>(</w:t>
      </w:r>
      <w:r w:rsidR="00806273">
        <w:t>0</w:t>
      </w:r>
      <w:r w:rsidR="00806273" w:rsidRPr="00806273">
        <w:t>.5 Pages)</w:t>
      </w:r>
      <w:bookmarkEnd w:id="7"/>
    </w:p>
    <w:p w14:paraId="4A82D02C" w14:textId="77777777" w:rsidR="003414BC" w:rsidRPr="003414BC" w:rsidRDefault="3B978732" w:rsidP="003414BC">
      <w:pPr>
        <w:pStyle w:val="Subheading1"/>
      </w:pPr>
      <w:r>
        <w:t>Our Understanding</w:t>
      </w:r>
    </w:p>
    <w:p w14:paraId="1778F3F7" w14:textId="77777777" w:rsidR="00B95B15" w:rsidRPr="003414BC" w:rsidRDefault="00627BD5" w:rsidP="00594470">
      <w:pPr>
        <w:pStyle w:val="BodyText"/>
      </w:pPr>
      <w:r w:rsidRPr="00627BD5">
        <w:t xml:space="preserve">FFE update accuracy is not a Task 5 function in isolation. It is the mechanism by which every dispute resolution in Tasks 2 and 3 </w:t>
      </w:r>
      <w:proofErr w:type="gramStart"/>
      <w:r w:rsidRPr="00627BD5">
        <w:t>actually takes</w:t>
      </w:r>
      <w:proofErr w:type="gramEnd"/>
      <w:r w:rsidRPr="00627BD5">
        <w:t xml:space="preserve"> effect. A case closed correctly in CERRS but submitted to the FFE with a sequencing error or a missed pre-validation has not been resolved—it has created a new data problem that will surface as a downstream dispute or an incorrect 1095-A. Deloitte treats this workstream as a precision execution function: every submission type (standard BUU, non-standard BUU, Hard Case, Update Policy API) governed by the same cycle discipline, every action logged from compilation through confirmed FFE update, and CMS notified of any exception before it becomes a rework cycle.</w:t>
      </w:r>
    </w:p>
    <w:p w14:paraId="16340541" w14:textId="77777777" w:rsidR="00B95B15" w:rsidRPr="003414BC" w:rsidRDefault="00B95B15" w:rsidP="00594470">
      <w:pPr>
        <w:pStyle w:val="Subheading1"/>
      </w:pPr>
      <w:r>
        <w:t>Our Approach</w:t>
      </w:r>
    </w:p>
    <w:p w14:paraId="64BA3CC4" w14:textId="77777777" w:rsidR="00627BD5" w:rsidRPr="00627BD5" w:rsidRDefault="00627BD5" w:rsidP="00594470">
      <w:pPr>
        <w:pStyle w:val="BodyText"/>
      </w:pPr>
      <w:r w:rsidRPr="00627BD5">
        <w:t xml:space="preserve">Deloitte will be operationally ready before the first submission window opens. During transition-in, the pipeline is validated end-to-end against live system behavior—compilation logic, pre-validation rules, OA Contractor interface, and QA Team handoff—so there are no surprises in the first correction cycle. Prior-year submission history is reviewed to surface informal compensating controls that are not in current SOPs, </w:t>
      </w:r>
      <w:r w:rsidRPr="00627BD5">
        <w:lastRenderedPageBreak/>
        <w:t>and those gaps are formalized before Deloitte takes ownership. The table below shows how Deloitte will manage each submission type, what CMS sees, and what the control is.</w:t>
      </w:r>
    </w:p>
    <w:p w14:paraId="57BA2735" w14:textId="77777777" w:rsidR="00D14B6C" w:rsidRDefault="00D14B6C" w:rsidP="00D14B6C">
      <w:pPr>
        <w:pStyle w:val="TableTitle"/>
      </w:pPr>
      <w:r w:rsidRPr="006E03C0">
        <w:t>Table 1.2.4-1. FFE Submission Pipeline by Type.</w:t>
      </w:r>
    </w:p>
    <w:tbl>
      <w:tblPr>
        <w:tblStyle w:val="DeloitteTable2"/>
        <w:tblW w:w="5000" w:type="pct"/>
        <w:tblLook w:val="06A0" w:firstRow="1" w:lastRow="0" w:firstColumn="1" w:lastColumn="0" w:noHBand="1" w:noVBand="1"/>
      </w:tblPr>
      <w:tblGrid>
        <w:gridCol w:w="2425"/>
        <w:gridCol w:w="3870"/>
        <w:gridCol w:w="3055"/>
      </w:tblGrid>
      <w:tr w:rsidR="00627BD5" w:rsidRPr="00627BD5" w14:paraId="149979F1" w14:textId="77777777" w:rsidTr="00D14B6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25" w:type="dxa"/>
          </w:tcPr>
          <w:p w14:paraId="1B7F0DB3" w14:textId="77777777" w:rsidR="00627BD5" w:rsidRPr="00627BD5" w:rsidRDefault="00627BD5" w:rsidP="002500DB">
            <w:pPr>
              <w:pStyle w:val="TableHeading"/>
              <w:rPr>
                <w:b w:val="0"/>
              </w:rPr>
            </w:pPr>
            <w:r w:rsidRPr="00627BD5">
              <w:t>Submission type</w:t>
            </w:r>
          </w:p>
        </w:tc>
        <w:tc>
          <w:tcPr>
            <w:tcW w:w="3870" w:type="dxa"/>
          </w:tcPr>
          <w:p w14:paraId="743D3FA6" w14:textId="77777777" w:rsidR="00627BD5" w:rsidRPr="00627BD5" w:rsidRDefault="00627BD5" w:rsidP="002500DB">
            <w:pPr>
              <w:pStyle w:val="TableHeading"/>
              <w:cnfStyle w:val="100000000000" w:firstRow="1" w:lastRow="0" w:firstColumn="0" w:lastColumn="0" w:oddVBand="0" w:evenVBand="0" w:oddHBand="0" w:evenHBand="0" w:firstRowFirstColumn="0" w:firstRowLastColumn="0" w:lastRowFirstColumn="0" w:lastRowLastColumn="0"/>
              <w:rPr>
                <w:b w:val="0"/>
              </w:rPr>
            </w:pPr>
            <w:r w:rsidRPr="00627BD5">
              <w:t>How Deloitte manages it</w:t>
            </w:r>
          </w:p>
        </w:tc>
        <w:tc>
          <w:tcPr>
            <w:tcW w:w="3055" w:type="dxa"/>
          </w:tcPr>
          <w:p w14:paraId="6CBFC946" w14:textId="77777777" w:rsidR="00627BD5" w:rsidRPr="00627BD5" w:rsidRDefault="00627BD5" w:rsidP="002500DB">
            <w:pPr>
              <w:pStyle w:val="TableHeading"/>
              <w:cnfStyle w:val="100000000000" w:firstRow="1" w:lastRow="0" w:firstColumn="0" w:lastColumn="0" w:oddVBand="0" w:evenVBand="0" w:oddHBand="0" w:evenHBand="0" w:firstRowFirstColumn="0" w:firstRowLastColumn="0" w:lastRowFirstColumn="0" w:lastRowLastColumn="0"/>
              <w:rPr>
                <w:b w:val="0"/>
              </w:rPr>
            </w:pPr>
            <w:r w:rsidRPr="00627BD5">
              <w:t>What CMS sees</w:t>
            </w:r>
          </w:p>
        </w:tc>
      </w:tr>
      <w:tr w:rsidR="00627BD5" w:rsidRPr="00627BD5" w14:paraId="0CE1DC5C" w14:textId="77777777" w:rsidTr="00D14B6C">
        <w:tc>
          <w:tcPr>
            <w:cnfStyle w:val="001000000000" w:firstRow="0" w:lastRow="0" w:firstColumn="1" w:lastColumn="0" w:oddVBand="0" w:evenVBand="0" w:oddHBand="0" w:evenHBand="0" w:firstRowFirstColumn="0" w:firstRowLastColumn="0" w:lastRowFirstColumn="0" w:lastRowLastColumn="0"/>
            <w:tcW w:w="2425" w:type="dxa"/>
          </w:tcPr>
          <w:p w14:paraId="5EE7E199" w14:textId="77777777" w:rsidR="00627BD5" w:rsidRPr="00C6190E" w:rsidRDefault="00627BD5" w:rsidP="00D14B6C">
            <w:pPr>
              <w:pStyle w:val="TableRowHeading"/>
            </w:pPr>
            <w:r w:rsidRPr="00627BD5">
              <w:t>Standard and non-standard BUU</w:t>
            </w:r>
          </w:p>
        </w:tc>
        <w:tc>
          <w:tcPr>
            <w:tcW w:w="3870" w:type="dxa"/>
          </w:tcPr>
          <w:p w14:paraId="00C69CA1" w14:textId="77777777" w:rsidR="00627BD5" w:rsidRPr="00627BD5" w:rsidRDefault="00627BD5" w:rsidP="00D14B6C">
            <w:pPr>
              <w:pStyle w:val="TableBody"/>
              <w:spacing w:after="0"/>
              <w:cnfStyle w:val="000000000000" w:firstRow="0" w:lastRow="0" w:firstColumn="0" w:lastColumn="0" w:oddVBand="0" w:evenVBand="0" w:oddHBand="0" w:evenHBand="0" w:firstRowFirstColumn="0" w:firstRowLastColumn="0" w:lastRowFirstColumn="0" w:lastRowLastColumn="0"/>
            </w:pPr>
            <w:r w:rsidRPr="00627BD5">
              <w:t>Compiled against each of ~22 Correction Cycles and the monthly Recon Run Calendar. Internal pre-validation completed before any file reaches the OA Contractor.</w:t>
            </w:r>
          </w:p>
        </w:tc>
        <w:tc>
          <w:tcPr>
            <w:tcW w:w="3055" w:type="dxa"/>
          </w:tcPr>
          <w:p w14:paraId="5E736B22" w14:textId="77777777" w:rsidR="00627BD5" w:rsidRPr="00C6190E" w:rsidRDefault="00627BD5" w:rsidP="00D14B6C">
            <w:pPr>
              <w:pStyle w:val="TableBody"/>
              <w:spacing w:after="0"/>
              <w:cnfStyle w:val="000000000000" w:firstRow="0" w:lastRow="0" w:firstColumn="0" w:lastColumn="0" w:oddVBand="0" w:evenVBand="0" w:oddHBand="0" w:evenHBand="0" w:firstRowFirstColumn="0" w:firstRowLastColumn="0" w:lastRowFirstColumn="0" w:lastRowLastColumn="0"/>
            </w:pPr>
            <w:r w:rsidRPr="00627BD5">
              <w:t>Cycle-level status dashboard: compiled, validated, submitted, confirmed—updated after each stage</w:t>
            </w:r>
          </w:p>
        </w:tc>
      </w:tr>
      <w:tr w:rsidR="00627BD5" w:rsidRPr="00627BD5" w14:paraId="2AB417B5" w14:textId="77777777" w:rsidTr="00D14B6C">
        <w:tc>
          <w:tcPr>
            <w:cnfStyle w:val="001000000000" w:firstRow="0" w:lastRow="0" w:firstColumn="1" w:lastColumn="0" w:oddVBand="0" w:evenVBand="0" w:oddHBand="0" w:evenHBand="0" w:firstRowFirstColumn="0" w:firstRowLastColumn="0" w:lastRowFirstColumn="0" w:lastRowLastColumn="0"/>
            <w:tcW w:w="2425" w:type="dxa"/>
          </w:tcPr>
          <w:p w14:paraId="4FCF6EAB" w14:textId="77777777" w:rsidR="00627BD5" w:rsidRPr="00C6190E" w:rsidRDefault="00627BD5" w:rsidP="00D14B6C">
            <w:pPr>
              <w:pStyle w:val="TableRowHeading"/>
            </w:pPr>
            <w:r w:rsidRPr="00627BD5">
              <w:t>Hard Case updates</w:t>
            </w:r>
          </w:p>
        </w:tc>
        <w:tc>
          <w:tcPr>
            <w:tcW w:w="3870" w:type="dxa"/>
          </w:tcPr>
          <w:p w14:paraId="63D56744" w14:textId="77777777" w:rsidR="00627BD5" w:rsidRPr="00627BD5" w:rsidRDefault="00627BD5" w:rsidP="00D14B6C">
            <w:pPr>
              <w:pStyle w:val="TableBody"/>
              <w:spacing w:after="0"/>
              <w:cnfStyle w:val="000000000000" w:firstRow="0" w:lastRow="0" w:firstColumn="0" w:lastColumn="0" w:oddVBand="0" w:evenVBand="0" w:oddHBand="0" w:evenHBand="0" w:firstRowFirstColumn="0" w:firstRowLastColumn="0" w:lastRowFirstColumn="0" w:lastRowLastColumn="0"/>
            </w:pPr>
            <w:r w:rsidRPr="00627BD5">
              <w:t>Scheduled into the same correction cycle calendar as standard BUU. Not treated as ad hoc exceptions.</w:t>
            </w:r>
          </w:p>
        </w:tc>
        <w:tc>
          <w:tcPr>
            <w:tcW w:w="3055" w:type="dxa"/>
          </w:tcPr>
          <w:p w14:paraId="0CE7910B" w14:textId="77777777" w:rsidR="00627BD5" w:rsidRPr="00C6190E" w:rsidRDefault="00627BD5" w:rsidP="00D14B6C">
            <w:pPr>
              <w:pStyle w:val="TableBody"/>
              <w:spacing w:after="0"/>
              <w:cnfStyle w:val="000000000000" w:firstRow="0" w:lastRow="0" w:firstColumn="0" w:lastColumn="0" w:oddVBand="0" w:evenVBand="0" w:oddHBand="0" w:evenHBand="0" w:firstRowFirstColumn="0" w:firstRowLastColumn="0" w:lastRowFirstColumn="0" w:lastRowLastColumn="0"/>
            </w:pPr>
            <w:r w:rsidRPr="00627BD5">
              <w:t>Hard Case volume and disposition tracked in the same weekly report as standard submissions</w:t>
            </w:r>
          </w:p>
        </w:tc>
      </w:tr>
      <w:tr w:rsidR="00627BD5" w:rsidRPr="00627BD5" w14:paraId="4409C55A" w14:textId="77777777" w:rsidTr="00D14B6C">
        <w:tc>
          <w:tcPr>
            <w:cnfStyle w:val="001000000000" w:firstRow="0" w:lastRow="0" w:firstColumn="1" w:lastColumn="0" w:oddVBand="0" w:evenVBand="0" w:oddHBand="0" w:evenHBand="0" w:firstRowFirstColumn="0" w:firstRowLastColumn="0" w:lastRowFirstColumn="0" w:lastRowLastColumn="0"/>
            <w:tcW w:w="2425" w:type="dxa"/>
          </w:tcPr>
          <w:p w14:paraId="59FE43E2" w14:textId="77777777" w:rsidR="00627BD5" w:rsidRPr="00C6190E" w:rsidRDefault="00627BD5" w:rsidP="00D14B6C">
            <w:pPr>
              <w:pStyle w:val="TableRowHeading"/>
            </w:pPr>
            <w:r w:rsidRPr="00627BD5">
              <w:t>Update Policy API (Rejected Enrollment, Undetected Overlap)</w:t>
            </w:r>
          </w:p>
        </w:tc>
        <w:tc>
          <w:tcPr>
            <w:tcW w:w="3870" w:type="dxa"/>
          </w:tcPr>
          <w:p w14:paraId="0A7F19BC" w14:textId="77777777" w:rsidR="00627BD5" w:rsidRPr="00627BD5" w:rsidRDefault="00627BD5" w:rsidP="00D14B6C">
            <w:pPr>
              <w:pStyle w:val="TableBody"/>
              <w:spacing w:after="0"/>
              <w:cnfStyle w:val="000000000000" w:firstRow="0" w:lastRow="0" w:firstColumn="0" w:lastColumn="0" w:oddVBand="0" w:evenVBand="0" w:oddHBand="0" w:evenHBand="0" w:firstRowFirstColumn="0" w:firstRowLastColumn="0" w:lastRowFirstColumn="0" w:lastRowLastColumn="0"/>
            </w:pPr>
            <w:r w:rsidRPr="00627BD5">
              <w:t>Pre-validation completed before API submission. Confirmation logged before associated case is closed.</w:t>
            </w:r>
          </w:p>
        </w:tc>
        <w:tc>
          <w:tcPr>
            <w:tcW w:w="3055" w:type="dxa"/>
          </w:tcPr>
          <w:p w14:paraId="490AF299" w14:textId="77777777" w:rsidR="00627BD5" w:rsidRPr="00C6190E" w:rsidRDefault="00627BD5" w:rsidP="00D14B6C">
            <w:pPr>
              <w:pStyle w:val="TableBody"/>
              <w:spacing w:after="0"/>
              <w:cnfStyle w:val="000000000000" w:firstRow="0" w:lastRow="0" w:firstColumn="0" w:lastColumn="0" w:oddVBand="0" w:evenVBand="0" w:oddHBand="0" w:evenHBand="0" w:firstRowFirstColumn="0" w:firstRowLastColumn="0" w:lastRowFirstColumn="0" w:lastRowLastColumn="0"/>
            </w:pPr>
            <w:r w:rsidRPr="00627BD5">
              <w:t>API submission outcomes included in the weekly corrections report</w:t>
            </w:r>
          </w:p>
        </w:tc>
      </w:tr>
      <w:tr w:rsidR="00627BD5" w:rsidRPr="00627BD5" w14:paraId="7940642B" w14:textId="77777777" w:rsidTr="00D14B6C">
        <w:tc>
          <w:tcPr>
            <w:cnfStyle w:val="001000000000" w:firstRow="0" w:lastRow="0" w:firstColumn="1" w:lastColumn="0" w:oddVBand="0" w:evenVBand="0" w:oddHBand="0" w:evenHBand="0" w:firstRowFirstColumn="0" w:firstRowLastColumn="0" w:lastRowFirstColumn="0" w:lastRowLastColumn="0"/>
            <w:tcW w:w="2425" w:type="dxa"/>
          </w:tcPr>
          <w:p w14:paraId="45E4EB81" w14:textId="77777777" w:rsidR="00627BD5" w:rsidRPr="00C6190E" w:rsidRDefault="00627BD5" w:rsidP="00D14B6C">
            <w:pPr>
              <w:pStyle w:val="TableRowHeading"/>
            </w:pPr>
            <w:r w:rsidRPr="00627BD5">
              <w:t>Retroactive adjustments</w:t>
            </w:r>
          </w:p>
        </w:tc>
        <w:tc>
          <w:tcPr>
            <w:tcW w:w="3870" w:type="dxa"/>
          </w:tcPr>
          <w:p w14:paraId="7A2B9D95" w14:textId="77777777" w:rsidR="00627BD5" w:rsidRPr="00627BD5" w:rsidRDefault="00627BD5" w:rsidP="00D14B6C">
            <w:pPr>
              <w:pStyle w:val="TableBody"/>
              <w:spacing w:after="0"/>
              <w:cnfStyle w:val="000000000000" w:firstRow="0" w:lastRow="0" w:firstColumn="0" w:lastColumn="0" w:oddVBand="0" w:evenVBand="0" w:oddHBand="0" w:evenHBand="0" w:firstRowFirstColumn="0" w:firstRowLastColumn="0" w:lastRowFirstColumn="0" w:lastRowLastColumn="0"/>
            </w:pPr>
            <w:r w:rsidRPr="00627BD5">
              <w:t>Downstream consequence mapped before submission: correction cycle, 1095-A impact, segment submission order. Sequencing errors caught at compilation.</w:t>
            </w:r>
          </w:p>
        </w:tc>
        <w:tc>
          <w:tcPr>
            <w:tcW w:w="3055" w:type="dxa"/>
          </w:tcPr>
          <w:p w14:paraId="764968A4" w14:textId="77777777" w:rsidR="00627BD5" w:rsidRPr="00C6190E" w:rsidRDefault="00627BD5" w:rsidP="00D14B6C">
            <w:pPr>
              <w:pStyle w:val="TableBody"/>
              <w:spacing w:after="0"/>
              <w:cnfStyle w:val="000000000000" w:firstRow="0" w:lastRow="0" w:firstColumn="0" w:lastColumn="0" w:oddVBand="0" w:evenVBand="0" w:oddHBand="0" w:evenHBand="0" w:firstRowFirstColumn="0" w:firstRowLastColumn="0" w:lastRowFirstColumn="0" w:lastRowLastColumn="0"/>
            </w:pPr>
            <w:r w:rsidRPr="00627BD5">
              <w:t>Exception report when a submission requires resequencing, with root cause and resolution path</w:t>
            </w:r>
          </w:p>
        </w:tc>
      </w:tr>
    </w:tbl>
    <w:p w14:paraId="364FCAEB" w14:textId="77777777" w:rsidR="00627BD5" w:rsidRPr="003414BC" w:rsidDel="00B95B15" w:rsidRDefault="00627BD5" w:rsidP="00D14B6C">
      <w:pPr>
        <w:pStyle w:val="ParagraphSpacer"/>
      </w:pPr>
    </w:p>
    <w:p w14:paraId="2E28789B" w14:textId="77777777" w:rsidR="00A54BF5" w:rsidRDefault="00A54BF5" w:rsidP="00A54BF5">
      <w:pPr>
        <w:pStyle w:val="Heading3"/>
      </w:pPr>
      <w:bookmarkStart w:id="8" w:name="_Toc228252912"/>
      <w:r>
        <w:t>1.2</w:t>
      </w:r>
      <w:r w:rsidR="003414BC">
        <w:t>.5</w:t>
      </w:r>
      <w:r w:rsidR="003414BC">
        <w:tab/>
      </w:r>
      <w:r>
        <w:t>Task 6: Notice Generation</w:t>
      </w:r>
      <w:r w:rsidR="00FE565C">
        <w:t xml:space="preserve"> </w:t>
      </w:r>
      <w:r w:rsidR="000A0D77" w:rsidRPr="00170533">
        <w:rPr>
          <w:vertAlign w:val="superscript"/>
        </w:rPr>
        <w:t>(SOW 3.</w:t>
      </w:r>
      <w:r w:rsidR="000A0D77">
        <w:rPr>
          <w:vertAlign w:val="superscript"/>
        </w:rPr>
        <w:t>6</w:t>
      </w:r>
      <w:r w:rsidR="000A0D77" w:rsidRPr="00170533">
        <w:rPr>
          <w:vertAlign w:val="superscript"/>
        </w:rPr>
        <w:t>)</w:t>
      </w:r>
      <w:r w:rsidR="00806273">
        <w:t xml:space="preserve"> </w:t>
      </w:r>
      <w:r w:rsidR="00806273" w:rsidRPr="00806273">
        <w:t>(</w:t>
      </w:r>
      <w:r w:rsidR="00806273">
        <w:t>0</w:t>
      </w:r>
      <w:r w:rsidR="00806273" w:rsidRPr="00806273">
        <w:t>.5 Pages)</w:t>
      </w:r>
      <w:bookmarkEnd w:id="8"/>
    </w:p>
    <w:p w14:paraId="61A7A6FA" w14:textId="77777777" w:rsidR="003414BC" w:rsidRPr="003414BC" w:rsidRDefault="2E3BCAED" w:rsidP="00D55FDC">
      <w:pPr>
        <w:pStyle w:val="Subheading1"/>
      </w:pPr>
      <w:r>
        <w:t>Our Understanding</w:t>
      </w:r>
    </w:p>
    <w:p w14:paraId="77BDA866" w14:textId="77777777" w:rsidR="00CA5372" w:rsidRDefault="00CA5372" w:rsidP="00D55FDC">
      <w:pPr>
        <w:pStyle w:val="BodyText"/>
      </w:pPr>
      <w:r>
        <w:t>Task 6 notices are operational program communications triggered by specific enrollment and reconciliation events</w:t>
      </w:r>
      <w:r w:rsidR="000F3299">
        <w:t>,</w:t>
      </w:r>
      <w:r>
        <w:t xml:space="preserve"> Death Periodic Data Matching alerts, ER&amp;R third failed attempt letters and similar notices that inform consumers of a specific action taken or required in their case. These are not the original 1095-A tax forms. They are the communications that accompany or explain program decisions, and their accuracy, timing, and language compliance matter because consumers act on them.</w:t>
      </w:r>
    </w:p>
    <w:p w14:paraId="41F23A41" w14:textId="77777777" w:rsidR="00CA5372" w:rsidRDefault="00CA5372" w:rsidP="00D55FDC">
      <w:pPr>
        <w:pStyle w:val="BodyText"/>
      </w:pPr>
      <w:r>
        <w:t xml:space="preserve">The work is primarily a pipeline execution and compliance function: </w:t>
      </w:r>
      <w:proofErr w:type="gramStart"/>
      <w:r>
        <w:t>merge</w:t>
      </w:r>
      <w:proofErr w:type="gramEnd"/>
      <w:r>
        <w:t xml:space="preserve"> consumer data into CMS-provided templates, </w:t>
      </w:r>
      <w:proofErr w:type="gramStart"/>
      <w:r>
        <w:t>transmit</w:t>
      </w:r>
      <w:proofErr w:type="gramEnd"/>
      <w:r>
        <w:t xml:space="preserve"> to the Federal Marketplace Print contractor via EFT, </w:t>
      </w:r>
      <w:proofErr w:type="gramStart"/>
      <w:r>
        <w:t>upload</w:t>
      </w:r>
      <w:proofErr w:type="gramEnd"/>
      <w:r>
        <w:t xml:space="preserve"> to DSRS, and </w:t>
      </w:r>
      <w:proofErr w:type="gramStart"/>
      <w:r>
        <w:t>confirm</w:t>
      </w:r>
      <w:proofErr w:type="gramEnd"/>
      <w:r>
        <w:t xml:space="preserve"> delivery. Approximately 40 notices require updating annually, and each must meet statutory multilingual requirements that can change during the contract period. Deloitte will run this as a precision compliance function with full pipeline visibility to CMS at every stage.</w:t>
      </w:r>
    </w:p>
    <w:p w14:paraId="04B1AA5B" w14:textId="77777777" w:rsidR="00990C0B" w:rsidRPr="003414BC" w:rsidRDefault="00990C0B" w:rsidP="00D55FDC">
      <w:pPr>
        <w:pStyle w:val="Subheading1"/>
      </w:pPr>
      <w:r>
        <w:t>Our Approach</w:t>
      </w:r>
    </w:p>
    <w:p w14:paraId="2EE11743" w14:textId="77777777" w:rsidR="00AE23C1" w:rsidRPr="00D14B6C" w:rsidRDefault="00AE23C1" w:rsidP="00D55FDC">
      <w:pPr>
        <w:pStyle w:val="BodyText"/>
      </w:pPr>
      <w:r w:rsidRPr="00D14B6C">
        <w:t>Transition-in establishes the baseline: full notice library inventory, translation status by notice and language, current print vendor specifications, and EFT and DSRS configuration—validated against live system behavior before the first notice file is generated.</w:t>
      </w:r>
    </w:p>
    <w:p w14:paraId="0C4633A5" w14:textId="77777777" w:rsidR="00AE23C1" w:rsidRPr="00D14B6C" w:rsidRDefault="00AE23C1" w:rsidP="00D55FDC">
      <w:pPr>
        <w:pStyle w:val="BodyText"/>
      </w:pPr>
      <w:r w:rsidRPr="00D14B6C">
        <w:t xml:space="preserve">In steady-state, Deloitte manages the pipeline through a simple operating discipline: validate before generating, confirm before closing. No notice file is transmitted without </w:t>
      </w:r>
      <w:proofErr w:type="gramStart"/>
      <w:r w:rsidRPr="00D14B6C">
        <w:t>a successful</w:t>
      </w:r>
      <w:proofErr w:type="gramEnd"/>
      <w:r w:rsidRPr="00D14B6C">
        <w:t xml:space="preserve"> EFT confirmation. No batch closes without a confirmed DSRS upload. Every content change triggers a translation review before the updated notice enters production. CMS sees pipeline status through a standing notice generation report covering volume, timing, translation status, and any exceptions—no surprises, no quiet resolutions.</w:t>
      </w:r>
    </w:p>
    <w:p w14:paraId="7C37ED4C" w14:textId="77777777" w:rsidR="00D14B6C" w:rsidRPr="00D14B6C" w:rsidRDefault="00D14B6C" w:rsidP="00D14B6C">
      <w:pPr>
        <w:pStyle w:val="TableTitle"/>
      </w:pPr>
      <w:r w:rsidRPr="006E03C0">
        <w:lastRenderedPageBreak/>
        <w:t>Table 1.2.5-1. Notice Generation Pipeline Controls.</w:t>
      </w:r>
    </w:p>
    <w:p w14:paraId="5AA83DBB" w14:textId="77777777" w:rsidR="00403FEC" w:rsidRDefault="00CB47AD" w:rsidP="00CB47AD">
      <w:pPr>
        <w:pStyle w:val="TableTitle"/>
      </w:pPr>
      <w:r w:rsidRPr="006E03C0">
        <w:t>Table 1.2.5-2. Task 6 Challenges and Mitigations.</w:t>
      </w:r>
    </w:p>
    <w:p w14:paraId="6BAC1D88" w14:textId="77777777" w:rsidR="00663C10" w:rsidRPr="005D763D" w:rsidRDefault="00361A32" w:rsidP="005D763D">
      <w:pPr>
        <w:pStyle w:val="BodyText"/>
      </w:pPr>
      <w:r w:rsidRPr="005D763D">
        <w:t xml:space="preserve">During CA SBM take over, </w:t>
      </w:r>
      <w:r w:rsidR="008D5EA2" w:rsidRPr="005D763D">
        <w:t xml:space="preserve">we took over the notice generation from the incumbent’s print vendor to a </w:t>
      </w:r>
      <w:proofErr w:type="gramStart"/>
      <w:r w:rsidR="00444D9D" w:rsidRPr="005D763D">
        <w:t>high volume</w:t>
      </w:r>
      <w:proofErr w:type="gramEnd"/>
      <w:r w:rsidR="00444D9D" w:rsidRPr="005D763D">
        <w:t xml:space="preserve"> print vendor Deloitte chose. We were able to migrate the inbound documents and outbound </w:t>
      </w:r>
      <w:r w:rsidR="00345853" w:rsidRPr="005D763D">
        <w:t xml:space="preserve">notices interfaces, processes and </w:t>
      </w:r>
      <w:r w:rsidR="00AC7842" w:rsidRPr="005D763D">
        <w:t xml:space="preserve">controls in-flight </w:t>
      </w:r>
      <w:r w:rsidR="00A95003" w:rsidRPr="005D763D">
        <w:t>seamlessly.</w:t>
      </w:r>
    </w:p>
    <w:p w14:paraId="44F5DE05" w14:textId="77777777" w:rsidR="00A54BF5" w:rsidRDefault="003414BC" w:rsidP="00A54BF5">
      <w:pPr>
        <w:pStyle w:val="Heading3"/>
      </w:pPr>
      <w:bookmarkStart w:id="9" w:name="_Toc228252913"/>
      <w:r>
        <w:t>1.2.6</w:t>
      </w:r>
      <w:r>
        <w:tab/>
      </w:r>
      <w:r w:rsidR="00A54BF5">
        <w:t>Task 7: Telephone and Correspondence Support</w:t>
      </w:r>
      <w:r w:rsidR="000A0D77">
        <w:t xml:space="preserve"> </w:t>
      </w:r>
      <w:r w:rsidR="000A0D77" w:rsidRPr="00170533">
        <w:rPr>
          <w:vertAlign w:val="superscript"/>
        </w:rPr>
        <w:t>(SOW 3.</w:t>
      </w:r>
      <w:r w:rsidR="000A0D77">
        <w:rPr>
          <w:vertAlign w:val="superscript"/>
        </w:rPr>
        <w:t>7</w:t>
      </w:r>
      <w:r w:rsidR="000A0D77" w:rsidRPr="00170533">
        <w:rPr>
          <w:vertAlign w:val="superscript"/>
        </w:rPr>
        <w:t>)</w:t>
      </w:r>
      <w:r w:rsidR="00806273">
        <w:t xml:space="preserve"> </w:t>
      </w:r>
      <w:r w:rsidR="00806273" w:rsidRPr="00806273">
        <w:t>(2 Pages)</w:t>
      </w:r>
      <w:bookmarkEnd w:id="9"/>
    </w:p>
    <w:p w14:paraId="27534A26" w14:textId="77777777" w:rsidR="001B024F" w:rsidRPr="00AF4AB8" w:rsidRDefault="1140EB1A" w:rsidP="005D763D">
      <w:pPr>
        <w:pStyle w:val="Subheading1"/>
      </w:pPr>
      <w:r w:rsidRPr="00AF4AB8">
        <w:t>Our Understanding</w:t>
      </w:r>
    </w:p>
    <w:p w14:paraId="41504F99" w14:textId="77777777" w:rsidR="00C14ED2" w:rsidRPr="00EC1036" w:rsidRDefault="008B3B3A" w:rsidP="005D763D">
      <w:pPr>
        <w:pStyle w:val="BodyText"/>
        <w:rPr>
          <w:bCs/>
        </w:rPr>
      </w:pPr>
      <w:r w:rsidRPr="00EC1036">
        <w:rPr>
          <w:rStyle w:val="CharacterBold"/>
          <w:b w:val="0"/>
          <w:bCs/>
        </w:rPr>
        <w:t>Task 7 is the connected front door for stakeholder engagement across ER&amp;R — not a generic contact center. It supports consumers seeking 1095-A and complex case help, issuers managing dispute and reconciliation activity, FFE and SBE staff coordinating casework, and employers responding to FFE notices. The work is multi-channel by design: inbound calls, outbound calls, voicemail, issuer email through the ER&amp;R Support Center and Enrollment Community, and written correspondence triggered by enrollment and reconciliation events. Done well, every interaction advances a single case toward resolution, contributes to one auditable case history in CERRS, and produces operational signal that helps CMS identify scripts to refine, training to deliver, and upstream issues to address. Done poorly, channels operate as silos, voicemails age past the one-business-day standard, scripts drift from CMS-approved versions, and stakeholder trust erodes. Deloitte will operate Task 7 as the integrated hub the SOW envisions, with closed-loop visibility, embedded program-integrity controls, and a continuous improvement engine that converts contact trends into approved process changes.</w:t>
      </w:r>
    </w:p>
    <w:p w14:paraId="410A7879" w14:textId="77777777" w:rsidR="001B024F" w:rsidRPr="00EC1036" w:rsidRDefault="008B3B3A" w:rsidP="005D763D">
      <w:pPr>
        <w:pStyle w:val="Subheading1"/>
        <w:rPr>
          <w:b w:val="0"/>
          <w:bCs/>
        </w:rPr>
      </w:pPr>
      <w:r w:rsidRPr="00EC1036">
        <w:rPr>
          <w:rStyle w:val="CharacterBold"/>
          <w:bCs/>
        </w:rPr>
        <w:lastRenderedPageBreak/>
        <w:t>Our Approach</w:t>
      </w:r>
    </w:p>
    <w:p w14:paraId="49BC9645" w14:textId="77777777" w:rsidR="00DB56E8" w:rsidRPr="00EC1036" w:rsidRDefault="008B3B3A" w:rsidP="005D763D">
      <w:pPr>
        <w:pStyle w:val="BodyText"/>
        <w:rPr>
          <w:bCs/>
        </w:rPr>
      </w:pPr>
      <w:r w:rsidRPr="00EC1036">
        <w:rPr>
          <w:rStyle w:val="CharacterBold"/>
          <w:b w:val="0"/>
          <w:bCs/>
        </w:rPr>
        <w:t xml:space="preserve">Deloitte will run Task 7 through a single integrated stakeholder-support operating model with five dimensions. (1) Stakeholder-aware triage: every contact is classified at intake by stakeholder type (consumer, issuer, FFE/CMS staff, SBE/state, employer) and case type, then routed to the lane with the right SOPs, scripts, and subject matter expertise — not just to the next available agent. (2) Closed-loop case visibility: every call, voicemail, issuer email, and correspondence touch is logged in CERRS or the appropriate CMS case system, with the same case ID linking interactions across channels so the next contact never starts cold. (3) SLA-governed channels: Monday–Friday 8 AM–8 PM ET inbound coverage; voicemail response within one business day per SOW §3.7; issuer email response measured against COR-approved targets; and correspondence handled through the CMS-provided system on a tracked workflow with documented decision points. (4) </w:t>
      </w:r>
      <w:proofErr w:type="gramStart"/>
      <w:r w:rsidRPr="00EC1036">
        <w:rPr>
          <w:rStyle w:val="CharacterBold"/>
          <w:b w:val="0"/>
          <w:bCs/>
        </w:rPr>
        <w:t>Issuer-support lane</w:t>
      </w:r>
      <w:proofErr w:type="gramEnd"/>
      <w:r w:rsidRPr="00EC1036">
        <w:rPr>
          <w:rStyle w:val="CharacterBold"/>
          <w:b w:val="0"/>
          <w:bCs/>
        </w:rPr>
        <w:t>: a dedicated ER&amp;R Support Center workflow with all issuer communications documented in Enrollment Community, mass issuer communications coordinated through approved CMS channels, and structured testing and feedback support for Enrollment Data Alignment enhancements. (5) Outbound as a resolution lever: outbound calls are used proactively when live contact will close a case faster than written exchanges — particularly for unauthorized enrollment outreach, 1095-A consumer disputes requiring clarification, and pre-deadline issuer coordination.</w:t>
      </w:r>
    </w:p>
    <w:p w14:paraId="62DDA683" w14:textId="77777777" w:rsidR="00EE51A7" w:rsidRPr="00EC1036" w:rsidRDefault="001B024F" w:rsidP="005D763D">
      <w:pPr>
        <w:pStyle w:val="BodyText"/>
        <w:rPr>
          <w:bCs/>
        </w:rPr>
      </w:pPr>
      <w:r w:rsidRPr="00EC1036">
        <w:rPr>
          <w:rStyle w:val="CharacterBold"/>
          <w:b w:val="0"/>
          <w:bCs/>
        </w:rPr>
        <w:t xml:space="preserve">Quality, compliance, and program integrity are operating obligations rather than periodic audits. Every agent works against CMS-approved scripts and SOPs; script changes flow through the COR before deployment; QA samples calls and correspondence weekly with elevated sampling for sensitive case types (APTC discrepancies, retroactive terminations, Death PDM contacts); training refresh is delivered within the same cycle as any policy or system change. Workforce management forecasts demand against the SOW Task 7 monthly volume table (CCHC, 1095-A, and ER&amp;R inbound/outbound calls; CCHC and ER&amp;R email volumes), aligns staffing to seasonal patterns, and maintains supervisory ratios at peak. AI-assisted triage — voicemail transcription and categorization, intent classification on inbound calls — is introduced only with COR approval and operates strictly with human </w:t>
      </w:r>
      <w:proofErr w:type="gramStart"/>
      <w:r w:rsidRPr="00EC1036">
        <w:rPr>
          <w:rStyle w:val="CharacterBold"/>
          <w:b w:val="0"/>
          <w:bCs/>
        </w:rPr>
        <w:t>oversight;</w:t>
      </w:r>
      <w:proofErr w:type="gramEnd"/>
      <w:r w:rsidRPr="00EC1036">
        <w:rPr>
          <w:rStyle w:val="CharacterBold"/>
          <w:b w:val="0"/>
          <w:bCs/>
        </w:rPr>
        <w:t xml:space="preserve"> no automated decision </w:t>
      </w:r>
      <w:proofErr w:type="gramStart"/>
      <w:r w:rsidRPr="00EC1036">
        <w:rPr>
          <w:rStyle w:val="CharacterBold"/>
          <w:b w:val="0"/>
          <w:bCs/>
        </w:rPr>
        <w:t>affects</w:t>
      </w:r>
      <w:proofErr w:type="gramEnd"/>
      <w:r w:rsidRPr="00EC1036">
        <w:rPr>
          <w:rStyle w:val="CharacterBold"/>
          <w:b w:val="0"/>
          <w:bCs/>
        </w:rPr>
        <w:t xml:space="preserve"> case outcome without agent confirmation.</w:t>
      </w:r>
    </w:p>
    <w:p w14:paraId="6C49DA6F" w14:textId="77777777" w:rsidR="001B024F" w:rsidRPr="00EC1036" w:rsidRDefault="00181397" w:rsidP="005D763D">
      <w:pPr>
        <w:pStyle w:val="BodyText"/>
        <w:rPr>
          <w:bCs/>
        </w:rPr>
      </w:pPr>
      <w:r w:rsidRPr="00EC1036">
        <w:rPr>
          <w:rStyle w:val="CharacterBold"/>
          <w:b w:val="0"/>
          <w:bCs/>
        </w:rPr>
        <w:t>Continuous improvement is built into the model rather than reported quarterly. Recurring caller themes, repeat issuer questions, and escalation patterns are surfaced to CMS as actionable feedback in the monthly Form 1095-A Consumer Disputes and Enrollment Process Improvement Report, with proposed script updates, SOP revisions, and upstream system or process recommendations. Trend findings flow into the cross-task data share described in Section 1B so a pattern visible in CCHC calls becomes a Task 2 dispute analytics input or a Task 3 surge-training topic, not an isolated observation.</w:t>
      </w:r>
    </w:p>
    <w:p w14:paraId="684DD546" w14:textId="77777777" w:rsidR="001B024F" w:rsidRPr="00EC1036" w:rsidRDefault="001B024F" w:rsidP="005D763D">
      <w:pPr>
        <w:pStyle w:val="Subheading1"/>
        <w:rPr>
          <w:b w:val="0"/>
          <w:bCs/>
        </w:rPr>
      </w:pPr>
      <w:r w:rsidRPr="00EC1036">
        <w:rPr>
          <w:rStyle w:val="CharacterBold"/>
          <w:bCs/>
        </w:rPr>
        <w:t>Proof Points</w:t>
      </w:r>
    </w:p>
    <w:p w14:paraId="0CFBCF80" w14:textId="77777777" w:rsidR="001B024F" w:rsidRPr="00EC1036" w:rsidRDefault="001B024F" w:rsidP="005D763D">
      <w:pPr>
        <w:pStyle w:val="Bulletlevel1"/>
        <w:rPr>
          <w:bCs/>
        </w:rPr>
      </w:pPr>
      <w:r w:rsidRPr="00EC1036">
        <w:rPr>
          <w:rStyle w:val="CharacterBold"/>
          <w:b w:val="0"/>
          <w:bCs/>
        </w:rPr>
        <w:t xml:space="preserve">Covered California Health Insurance Exchange Contact Center. Deloitte stood up Amazon Connect </w:t>
      </w:r>
      <w:proofErr w:type="gramStart"/>
      <w:r w:rsidRPr="00EC1036">
        <w:rPr>
          <w:rStyle w:val="CharacterBold"/>
          <w:b w:val="0"/>
          <w:bCs/>
        </w:rPr>
        <w:t>in</w:t>
      </w:r>
      <w:proofErr w:type="gramEnd"/>
      <w:r w:rsidRPr="00EC1036">
        <w:rPr>
          <w:rStyle w:val="CharacterBold"/>
          <w:b w:val="0"/>
          <w:bCs/>
        </w:rPr>
        <w:t xml:space="preserve"> approximately 40 hours during annual Open Enrollment when contact volume peaks near 300,000 contacts per month. Deloitte provided project management, engineering, testing, training, and </w:t>
      </w:r>
      <w:proofErr w:type="spellStart"/>
      <w:r w:rsidRPr="00EC1036">
        <w:rPr>
          <w:rStyle w:val="CharacterBold"/>
          <w:b w:val="0"/>
          <w:bCs/>
        </w:rPr>
        <w:t>hypercare</w:t>
      </w:r>
      <w:proofErr w:type="spellEnd"/>
      <w:r w:rsidRPr="00EC1036">
        <w:rPr>
          <w:rStyle w:val="CharacterBold"/>
          <w:b w:val="0"/>
          <w:bCs/>
        </w:rPr>
        <w:t>; led go-live and SSO migration with zero critical or high-impact issues; and continues to support enhancements including courtesy callback, post-call survey, conversational IVR, custom agent desktop, and advanced reporting — directly relevant to digital exchange support, continuity under load, and contact-center modernization for ER&amp;R Task 7.</w:t>
      </w:r>
    </w:p>
    <w:p w14:paraId="335418A6" w14:textId="77777777" w:rsidR="00A95AB5" w:rsidRPr="00EC1036" w:rsidRDefault="001B024F" w:rsidP="005D763D">
      <w:pPr>
        <w:pStyle w:val="Bulletlevel1"/>
        <w:rPr>
          <w:bCs/>
        </w:rPr>
      </w:pPr>
      <w:r w:rsidRPr="00EC1036">
        <w:rPr>
          <w:rStyle w:val="CharacterBold"/>
          <w:b w:val="0"/>
          <w:bCs/>
        </w:rPr>
        <w:t xml:space="preserve">FinCEN Beneficial Ownership Contact Center. Deloitte stood up and operates a federal compliance-oriented contact center on Salesforce Government Cloud Plus, Amazon Connect, and AWS Lex in a FedRAMP High environment. The team eliminated a 5,000-case backlog within three months, closed </w:t>
      </w:r>
      <w:r w:rsidRPr="00EC1036">
        <w:rPr>
          <w:rStyle w:val="CharacterBold"/>
          <w:b w:val="0"/>
          <w:bCs/>
        </w:rPr>
        <w:lastRenderedPageBreak/>
        <w:t xml:space="preserve">350,000+ cases, conducted 23,000+ outbound calls, and audited 11,000+ cases at an average QA score of </w:t>
      </w:r>
      <w:proofErr w:type="gramStart"/>
      <w:r w:rsidRPr="00EC1036">
        <w:rPr>
          <w:rStyle w:val="CharacterBold"/>
          <w:b w:val="0"/>
          <w:bCs/>
        </w:rPr>
        <w:t>96% —</w:t>
      </w:r>
      <w:proofErr w:type="gramEnd"/>
      <w:r w:rsidRPr="00EC1036">
        <w:rPr>
          <w:rStyle w:val="CharacterBold"/>
          <w:b w:val="0"/>
          <w:bCs/>
        </w:rPr>
        <w:t xml:space="preserve"> directly relevant to Deloitte's ability to operate federal case-management operations with disciplined QA, dashboard-driven performance management, and outbound resolution as a Task 7 lever.</w:t>
      </w:r>
    </w:p>
    <w:p w14:paraId="3C426628" w14:textId="77777777" w:rsidR="009702F9" w:rsidRPr="00EC1036" w:rsidRDefault="009942F7" w:rsidP="005D763D">
      <w:pPr>
        <w:pStyle w:val="Bulletlevel1"/>
        <w:rPr>
          <w:bCs/>
        </w:rPr>
      </w:pPr>
      <w:r w:rsidRPr="00EC1036">
        <w:rPr>
          <w:rStyle w:val="CharacterBold"/>
          <w:b w:val="0"/>
          <w:bCs/>
        </w:rPr>
        <w:t xml:space="preserve">U.S. Navy </w:t>
      </w:r>
      <w:proofErr w:type="spellStart"/>
      <w:r w:rsidRPr="00EC1036">
        <w:rPr>
          <w:rStyle w:val="CharacterBold"/>
          <w:b w:val="0"/>
          <w:bCs/>
        </w:rPr>
        <w:t>MyNavy</w:t>
      </w:r>
      <w:proofErr w:type="spellEnd"/>
      <w:r w:rsidRPr="00EC1036">
        <w:rPr>
          <w:rStyle w:val="CharacterBold"/>
          <w:b w:val="0"/>
          <w:bCs/>
        </w:rPr>
        <w:t xml:space="preserve"> Career Center (MNCC). Deloitte redesigned and </w:t>
      </w:r>
      <w:proofErr w:type="gramStart"/>
      <w:r w:rsidRPr="00EC1036">
        <w:rPr>
          <w:rStyle w:val="CharacterBold"/>
          <w:b w:val="0"/>
          <w:bCs/>
        </w:rPr>
        <w:t>operates</w:t>
      </w:r>
      <w:proofErr w:type="gramEnd"/>
      <w:r w:rsidRPr="00EC1036">
        <w:rPr>
          <w:rStyle w:val="CharacterBold"/>
          <w:b w:val="0"/>
          <w:bCs/>
        </w:rPr>
        <w:t xml:space="preserve"> a tiered omnichannel HR service-delivery model supporting 330,000+ Sailors with Salesforce CRM, Cisco telephony, IVR, post-call survey, command center, WFM, QA, and reporting and analytics. The model handles 36,000+ contacts per month and has supported 1.5 million customer requests since launch — directly relevant to Task 7 federal omnichannel operating-model design, command-center integration, contact-driver analysis, and knowledge management.</w:t>
      </w:r>
    </w:p>
    <w:p w14:paraId="5A55DBCE" w14:textId="77777777" w:rsidR="00A54BF5" w:rsidRDefault="003414BC" w:rsidP="00A54BF5">
      <w:pPr>
        <w:pStyle w:val="Heading3"/>
      </w:pPr>
      <w:bookmarkStart w:id="10" w:name="_Toc228252914"/>
      <w:r>
        <w:t>1.2.7</w:t>
      </w:r>
      <w:r>
        <w:tab/>
      </w:r>
      <w:r w:rsidR="00A54BF5">
        <w:t>Task 8: IT Systems</w:t>
      </w:r>
      <w:r w:rsidR="000A0D77">
        <w:t xml:space="preserve"> </w:t>
      </w:r>
      <w:r w:rsidR="000A0D77" w:rsidRPr="00170533">
        <w:rPr>
          <w:vertAlign w:val="superscript"/>
        </w:rPr>
        <w:t>(SOW 3.</w:t>
      </w:r>
      <w:r w:rsidR="000A0D77">
        <w:rPr>
          <w:vertAlign w:val="superscript"/>
        </w:rPr>
        <w:t>8</w:t>
      </w:r>
      <w:r w:rsidR="000A0D77" w:rsidRPr="00170533">
        <w:rPr>
          <w:vertAlign w:val="superscript"/>
        </w:rPr>
        <w:t>)</w:t>
      </w:r>
      <w:r w:rsidR="00806273">
        <w:t xml:space="preserve"> </w:t>
      </w:r>
      <w:r w:rsidR="004F360B" w:rsidRPr="00806273">
        <w:t>(5 Pages)</w:t>
      </w:r>
      <w:bookmarkEnd w:id="10"/>
    </w:p>
    <w:p w14:paraId="2ADE4E6C" w14:textId="77777777" w:rsidR="00C6190E" w:rsidRPr="00C6190E" w:rsidRDefault="00C6190E" w:rsidP="00554536">
      <w:pPr>
        <w:pStyle w:val="Subheading1"/>
        <w:rPr>
          <w:b w:val="0"/>
        </w:rPr>
      </w:pPr>
      <w:r w:rsidRPr="00E06780">
        <w:t>Our Understanding</w:t>
      </w:r>
    </w:p>
    <w:p w14:paraId="2D733DE2" w14:textId="77777777" w:rsidR="00C6190E" w:rsidRPr="00C6190E" w:rsidRDefault="00C6190E" w:rsidP="008D7792">
      <w:pPr>
        <w:pStyle w:val="BodyText"/>
      </w:pPr>
      <w:r w:rsidRPr="00C6190E">
        <w:t>The ER&amp;R technology environment spans four core systems, CERRS, SEED, HICS, and EDA CORE, all operating within the CMS Microsoft Azure Government (MAG) cloud enclave. These systems connect through a layer of APIs, data pipelines, security controls, and infrastructure services that must function reliably together. A change to one system has consequences across the others.</w:t>
      </w:r>
    </w:p>
    <w:p w14:paraId="3919C6DE" w14:textId="77777777" w:rsidR="00420545" w:rsidRDefault="00554536" w:rsidP="00420545">
      <w:pPr>
        <w:pStyle w:val="FigureTitle"/>
      </w:pPr>
      <w:r>
        <w:t xml:space="preserve">Figure 1.2.7-1. [Deloitte to </w:t>
      </w:r>
      <w:proofErr w:type="gramStart"/>
      <w:r>
        <w:t>populate:</w:t>
      </w:r>
      <w:proofErr w:type="gramEnd"/>
      <w:r>
        <w:t xml:space="preserve"> figure title and graphic].</w:t>
      </w:r>
    </w:p>
    <w:p w14:paraId="2CEEFC3B" w14:textId="77777777" w:rsidR="00C6190E" w:rsidRPr="00420545" w:rsidRDefault="00420545" w:rsidP="00420545">
      <w:pPr>
        <w:pStyle w:val="FigureGraphic"/>
      </w:pPr>
      <w:r>
        <w:rPr>
          <w:noProof/>
        </w:rPr>
        <w:drawing>
          <wp:inline distT="0" distB="0" distL="0" distR="0" wp14:anchorId="2F4BA2D8" wp14:editId="0BE235A5">
            <wp:extent cx="5944235" cy="3316605"/>
            <wp:effectExtent l="0" t="0" r="0" b="0"/>
            <wp:docPr id="9244168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4235" cy="3316605"/>
                    </a:xfrm>
                    <a:prstGeom prst="rect">
                      <a:avLst/>
                    </a:prstGeom>
                    <a:noFill/>
                  </pic:spPr>
                </pic:pic>
              </a:graphicData>
            </a:graphic>
          </wp:inline>
        </w:drawing>
      </w:r>
    </w:p>
    <w:p w14:paraId="6250E1BE" w14:textId="77777777" w:rsidR="00C6190E" w:rsidRPr="00C6190E" w:rsidRDefault="00C6190E" w:rsidP="00420545">
      <w:pPr>
        <w:pStyle w:val="BodyText"/>
      </w:pPr>
      <w:r w:rsidRPr="00C6190E">
        <w:t xml:space="preserve">All external API traffic routes through an Akamai Web Application Firewall before reaching the MAG environment. Azure Data Factory manages bidirectional log, backup, and file transfer orchestration. The 834 X12 data integration pipeline processes thousands of transactions per hour during Open Enrollment. Access across all systems is governed by CMS Identity Management, Azure AD synchronization, and </w:t>
      </w:r>
      <w:proofErr w:type="spellStart"/>
      <w:r w:rsidRPr="00C6190E">
        <w:t>multi-factor</w:t>
      </w:r>
      <w:proofErr w:type="spellEnd"/>
      <w:r w:rsidRPr="00C6190E">
        <w:t xml:space="preserve"> authentication through Okta Authenticator. Each of these dependencies must be maintained, monitored, and validated across every release cycle.</w:t>
      </w:r>
    </w:p>
    <w:p w14:paraId="53F1260A" w14:textId="77777777" w:rsidR="00C6190E" w:rsidRPr="00C6190E" w:rsidRDefault="00C6190E" w:rsidP="00420545">
      <w:pPr>
        <w:pStyle w:val="BodyText"/>
      </w:pPr>
      <w:r w:rsidRPr="00C6190E">
        <w:lastRenderedPageBreak/>
        <w:t>Sustaining this environment requires a delivery model capable of governing operations, planned change, and cross-program coordination simultaneously without disruption to live casework. That is the baseline. Deloitte's approach is built to deliver that baseline from day one and then go further.</w:t>
      </w:r>
    </w:p>
    <w:p w14:paraId="654D3CAD" w14:textId="77777777" w:rsidR="00C6190E" w:rsidRPr="00C6190E" w:rsidRDefault="00C6190E" w:rsidP="00420545">
      <w:pPr>
        <w:pStyle w:val="Subheading1"/>
        <w:rPr>
          <w:b w:val="0"/>
        </w:rPr>
      </w:pPr>
      <w:r w:rsidRPr="00E06780">
        <w:t>Our Approach</w:t>
      </w:r>
    </w:p>
    <w:p w14:paraId="5F1D9A07" w14:textId="77777777" w:rsidR="00C6190E" w:rsidRPr="00C6190E" w:rsidRDefault="00C6190E" w:rsidP="00420545">
      <w:pPr>
        <w:pStyle w:val="BodyText"/>
      </w:pPr>
      <w:r w:rsidRPr="00C6190E">
        <w:t xml:space="preserve">CMS deserves a contractor that does more than keep the lights on. Deloitte is that contractor. Deloitte's approach to Task 8 is designed to operate this environment reliably and securely from day one and systematically raise the bar from there. Our approach is structured around two objectives. The first is operational: </w:t>
      </w:r>
      <w:r w:rsidRPr="00420545">
        <w:rPr>
          <w:rStyle w:val="CharacterBold"/>
        </w:rPr>
        <w:t>assume responsibility without disruption, govern the live environment with discipline, protect mission-critical infrastructure</w:t>
      </w:r>
      <w:r w:rsidRPr="00C6190E">
        <w:t xml:space="preserve"> and sensitive data in full alignment with CMS security and privacy requirements, and build the confidence that comes from consistent, reliable delivery. The second is transformational: once that foundation is established, apply AI-enabled automation to reduce manual effort across technology and business operations, simplify how staff, issuers, and consumers interact with the environment, and create a credible path to long-term architectural consolidation.</w:t>
      </w:r>
    </w:p>
    <w:p w14:paraId="0DAAEEF0" w14:textId="77777777" w:rsidR="00C6190E" w:rsidRDefault="00C6190E" w:rsidP="00420545">
      <w:pPr>
        <w:pStyle w:val="BodyText"/>
      </w:pPr>
      <w:r w:rsidRPr="00C6190E">
        <w:t>These two objectives are not sequential in a strict sense. Operations and improvement run in parallel. Each phase builds on the one before it and delivers value before the next begins in full.</w:t>
      </w:r>
    </w:p>
    <w:p w14:paraId="719D3258" w14:textId="77777777" w:rsidR="00C6190E" w:rsidRDefault="00420545" w:rsidP="00BD6E33">
      <w:pPr>
        <w:pStyle w:val="FigureTitle"/>
      </w:pPr>
      <w:r w:rsidRPr="00420545">
        <w:t xml:space="preserve">Figure 1.2.7-2. [Deloitte to </w:t>
      </w:r>
      <w:proofErr w:type="gramStart"/>
      <w:r w:rsidRPr="00420545">
        <w:t>populate:</w:t>
      </w:r>
      <w:proofErr w:type="gramEnd"/>
      <w:r w:rsidRPr="00420545">
        <w:t xml:space="preserve"> figure title and graphic].</w:t>
      </w:r>
    </w:p>
    <w:p w14:paraId="36A14CE9" w14:textId="77777777" w:rsidR="00BD6E33" w:rsidRPr="00BD6E33" w:rsidRDefault="00BD6E33" w:rsidP="00BD6E33">
      <w:pPr>
        <w:pStyle w:val="FigureGraphic"/>
      </w:pPr>
      <w:r>
        <w:rPr>
          <w:noProof/>
        </w:rPr>
        <w:drawing>
          <wp:inline distT="0" distB="0" distL="0" distR="0" wp14:anchorId="1BDD5917" wp14:editId="23FF9CDE">
            <wp:extent cx="6401435" cy="2822575"/>
            <wp:effectExtent l="0" t="0" r="0" b="0"/>
            <wp:docPr id="13973155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401435" cy="2822575"/>
                    </a:xfrm>
                    <a:prstGeom prst="rect">
                      <a:avLst/>
                    </a:prstGeom>
                    <a:noFill/>
                  </pic:spPr>
                </pic:pic>
              </a:graphicData>
            </a:graphic>
          </wp:inline>
        </w:drawing>
      </w:r>
    </w:p>
    <w:p w14:paraId="3E415E84" w14:textId="77777777" w:rsidR="00C6190E" w:rsidRPr="00C6190E" w:rsidRDefault="00C6190E" w:rsidP="00BD6E33">
      <w:pPr>
        <w:pStyle w:val="BodyText"/>
      </w:pPr>
      <w:r w:rsidRPr="00C6190E">
        <w:t>Phase 0, Transition Intelligence, is addressed under Task 12. Phase 1 delivers the operational objective. Phases 2 through 4 deliver the transformational objective, each building on the foundation Phase 0 and 1 establishes. Phase 5, Modernize Core, is a future-state direction that is not proposed or priced as part of this bid.</w:t>
      </w:r>
    </w:p>
    <w:p w14:paraId="6CD3BE59" w14:textId="77777777" w:rsidR="00C6190E" w:rsidRPr="00C6190E" w:rsidRDefault="00557A4F" w:rsidP="00BD6E33">
      <w:pPr>
        <w:pStyle w:val="Subheading1"/>
        <w:rPr>
          <w:b w:val="0"/>
        </w:rPr>
      </w:pPr>
      <w:r>
        <w:t>P</w:t>
      </w:r>
      <w:r w:rsidRPr="00F64B08">
        <w:t>hase</w:t>
      </w:r>
      <w:r w:rsidR="00C6190E" w:rsidRPr="00F64B08">
        <w:t xml:space="preserve"> 1: Operational Continuity</w:t>
      </w:r>
    </w:p>
    <w:p w14:paraId="123A58B7" w14:textId="77777777" w:rsidR="00BD6E33" w:rsidRPr="00BD6E33" w:rsidRDefault="00BD6E33" w:rsidP="00BD6E33">
      <w:pPr>
        <w:pStyle w:val="Subheading2"/>
      </w:pPr>
      <w:r w:rsidRPr="00BD6E33">
        <w:t>Operational Continuity — Assuming Responsibility Without Disruption</w:t>
      </w:r>
    </w:p>
    <w:p w14:paraId="636A2C09" w14:textId="77777777" w:rsidR="00C6190E" w:rsidRPr="00C6190E" w:rsidRDefault="00C6190E" w:rsidP="00BD6E33">
      <w:pPr>
        <w:pStyle w:val="BodyText"/>
      </w:pPr>
      <w:r w:rsidRPr="00C6190E">
        <w:t xml:space="preserve">Deloitte will staff two dedicated teams under Task 8. The Operations and Maintenance team owns production stability: incident response, after-hours data loads, ingestion monitoring, service desk support, and the daily operational continuity of CERRS, SEED, HICS, and EDA CORE. The Enhancement and </w:t>
      </w:r>
      <w:r w:rsidRPr="00C6190E">
        <w:lastRenderedPageBreak/>
        <w:t>Modernization team owns planned change: bi-weekly releases, quarterly rule updates, annual form changes, code modernization, and CMS-prioritized improvements. Both teams operate under one integrated delivery framework, so work is coordinated, not siloed.</w:t>
      </w:r>
    </w:p>
    <w:p w14:paraId="7B284103" w14:textId="77777777" w:rsidR="00C6190E" w:rsidRPr="00C6190E" w:rsidRDefault="00C6190E" w:rsidP="00BD6E33">
      <w:pPr>
        <w:pStyle w:val="BodyText"/>
      </w:pPr>
      <w:r w:rsidRPr="00C6190E">
        <w:t>Maintaining stability while introducing change is the central operational challenge in this environment. What makes this model effective is not the separation itself but the discipline at the boundary between the two teams. Nothing moves from Enhancement into Operations without a validated cross-system impact assessment, release readiness review, and rollback plan in place. That handoff, governed through shared intake, a coordinated release calendar, and dependency review across CERRS, SEED, HICS, and EDA CORE, is where system stability is preserved as the environment continuously evolves.</w:t>
      </w:r>
    </w:p>
    <w:p w14:paraId="525317EF" w14:textId="77777777" w:rsidR="00C6190E" w:rsidRPr="00C6190E" w:rsidRDefault="00C6190E" w:rsidP="00BD6E33">
      <w:pPr>
        <w:pStyle w:val="BodyTextBulletIntro"/>
      </w:pPr>
      <w:r w:rsidRPr="00C6190E">
        <w:t>From day one, Deloitte manages the following recurring obligations across all systems:</w:t>
      </w:r>
    </w:p>
    <w:p w14:paraId="58CA11CD" w14:textId="77777777" w:rsidR="00C6190E" w:rsidRPr="00C6190E" w:rsidRDefault="00C6190E" w:rsidP="00BD6E33">
      <w:pPr>
        <w:pStyle w:val="Bulletlevel1"/>
      </w:pPr>
      <w:r w:rsidRPr="00C6190E">
        <w:t>Bi-weekly sprint releases and Change Control Board coordination across CERRS, MCR, SEED, HICS, and EDA CORE</w:t>
      </w:r>
    </w:p>
    <w:p w14:paraId="5B19C77A" w14:textId="77777777" w:rsidR="00C6190E" w:rsidRPr="00C6190E" w:rsidRDefault="00C6190E" w:rsidP="00BD6E33">
      <w:pPr>
        <w:pStyle w:val="Bulletlevel1"/>
      </w:pPr>
      <w:r w:rsidRPr="00C6190E">
        <w:t>SAFE Agile PI Planning participation quarterly</w:t>
      </w:r>
    </w:p>
    <w:p w14:paraId="070683A4" w14:textId="77777777" w:rsidR="00C6190E" w:rsidRPr="00C6190E" w:rsidRDefault="00C6190E" w:rsidP="00BD6E33">
      <w:pPr>
        <w:pStyle w:val="Bulletlevel1"/>
      </w:pPr>
      <w:r w:rsidRPr="00C6190E">
        <w:t>TRB preparation, presentation, and findings remediation</w:t>
      </w:r>
    </w:p>
    <w:p w14:paraId="1FF4E8C5" w14:textId="77777777" w:rsidR="00C6190E" w:rsidRPr="00C6190E" w:rsidRDefault="00C6190E" w:rsidP="00BD6E33">
      <w:pPr>
        <w:pStyle w:val="Bulletlevel1"/>
      </w:pPr>
      <w:r w:rsidRPr="00C6190E">
        <w:t>After-hours data loads, file ingestion monitoring, data remediation, cleansing, and file scanning</w:t>
      </w:r>
    </w:p>
    <w:p w14:paraId="11929E44" w14:textId="77777777" w:rsidR="00C6190E" w:rsidRPr="00C6190E" w:rsidRDefault="00C6190E" w:rsidP="00BD6E33">
      <w:pPr>
        <w:pStyle w:val="Bulletlevel1"/>
      </w:pPr>
      <w:r w:rsidRPr="00C6190E">
        <w:t>Annual Enrollment Dispute Form updates and quarterly issuer dispute rule updates</w:t>
      </w:r>
    </w:p>
    <w:p w14:paraId="40CE623B" w14:textId="77777777" w:rsidR="00C6190E" w:rsidRPr="00C6190E" w:rsidRDefault="00C6190E" w:rsidP="00BD6E33">
      <w:pPr>
        <w:pStyle w:val="Bulletlevel1"/>
      </w:pPr>
      <w:r w:rsidRPr="00C6190E">
        <w:t>Annual documentation suite updates — ICD, DDD, SDD, RTM, Testing SOP</w:t>
      </w:r>
    </w:p>
    <w:p w14:paraId="489B4EDE" w14:textId="77777777" w:rsidR="00C6190E" w:rsidRPr="00C6190E" w:rsidRDefault="00C6190E" w:rsidP="00BD6E33">
      <w:pPr>
        <w:pStyle w:val="Bulletlevel1"/>
      </w:pPr>
      <w:r w:rsidRPr="00C6190E">
        <w:t>CMS governance activities — penetration testing, ACT assessments, IV&amp;V support, FedRAMP sponsorship for Snowflake</w:t>
      </w:r>
    </w:p>
    <w:p w14:paraId="092D87E6" w14:textId="77777777" w:rsidR="00C6190E" w:rsidRPr="00C6190E" w:rsidRDefault="00C6190E" w:rsidP="00BD6E33">
      <w:pPr>
        <w:pStyle w:val="Bulletlevel1"/>
      </w:pPr>
      <w:r w:rsidRPr="00C6190E">
        <w:t xml:space="preserve">508 </w:t>
      </w:r>
      <w:proofErr w:type="gramStart"/>
      <w:r w:rsidRPr="00C6190E">
        <w:t>compliance</w:t>
      </w:r>
      <w:proofErr w:type="gramEnd"/>
      <w:r w:rsidRPr="00C6190E">
        <w:t xml:space="preserve"> across all system documentation, issuer materials, and presentations</w:t>
      </w:r>
    </w:p>
    <w:p w14:paraId="32C32F96" w14:textId="77777777" w:rsidR="006E03C0" w:rsidRDefault="006E03C0" w:rsidP="00D34E5C">
      <w:pPr>
        <w:pStyle w:val="TableTitle"/>
      </w:pPr>
      <w:r w:rsidRPr="006E03C0">
        <w:t>Table 1.2.7-1. AIOps Capabilities Across All Systems.</w:t>
      </w:r>
    </w:p>
    <w:tbl>
      <w:tblPr>
        <w:tblStyle w:val="DeloitteTable2"/>
        <w:tblW w:w="5000" w:type="pct"/>
        <w:tblLook w:val="06A0" w:firstRow="1" w:lastRow="0" w:firstColumn="1" w:lastColumn="0" w:noHBand="1" w:noVBand="1"/>
      </w:tblPr>
      <w:tblGrid>
        <w:gridCol w:w="2245"/>
        <w:gridCol w:w="3510"/>
        <w:gridCol w:w="3595"/>
      </w:tblGrid>
      <w:tr w:rsidR="00000966" w14:paraId="6768497E"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245" w:type="dxa"/>
          </w:tcPr>
          <w:p w14:paraId="05056DB4" w14:textId="77777777" w:rsidR="00000966" w:rsidRPr="00C6190E" w:rsidRDefault="00000966">
            <w:pPr>
              <w:pStyle w:val="TableHeading"/>
            </w:pPr>
            <w:r w:rsidRPr="00BE098B">
              <w:t>Capability</w:t>
            </w:r>
          </w:p>
        </w:tc>
        <w:tc>
          <w:tcPr>
            <w:tcW w:w="3510" w:type="dxa"/>
          </w:tcPr>
          <w:p w14:paraId="3C4E4E8F" w14:textId="77777777" w:rsidR="00000966" w:rsidRPr="00C6190E" w:rsidRDefault="00000966">
            <w:pPr>
              <w:pStyle w:val="TableHeading"/>
              <w:cnfStyle w:val="100000000000" w:firstRow="1" w:lastRow="0" w:firstColumn="0" w:lastColumn="0" w:oddVBand="0" w:evenVBand="0" w:oddHBand="0" w:evenHBand="0" w:firstRowFirstColumn="0" w:firstRowLastColumn="0" w:lastRowFirstColumn="0" w:lastRowLastColumn="0"/>
            </w:pPr>
            <w:r w:rsidRPr="00BE098B">
              <w:t>What Deloitte Delivers</w:t>
            </w:r>
          </w:p>
        </w:tc>
        <w:tc>
          <w:tcPr>
            <w:tcW w:w="3595" w:type="dxa"/>
          </w:tcPr>
          <w:p w14:paraId="23289852" w14:textId="77777777" w:rsidR="00000966" w:rsidRPr="00C6190E" w:rsidRDefault="00000966">
            <w:pPr>
              <w:pStyle w:val="TableHeading"/>
              <w:cnfStyle w:val="100000000000" w:firstRow="1" w:lastRow="0" w:firstColumn="0" w:lastColumn="0" w:oddVBand="0" w:evenVBand="0" w:oddHBand="0" w:evenHBand="0" w:firstRowFirstColumn="0" w:firstRowLastColumn="0" w:lastRowFirstColumn="0" w:lastRowLastColumn="0"/>
            </w:pPr>
            <w:r w:rsidRPr="00BE098B">
              <w:t>Benefit to CMS</w:t>
            </w:r>
          </w:p>
        </w:tc>
      </w:tr>
      <w:tr w:rsidR="00000966" w14:paraId="21F94CD8" w14:textId="77777777">
        <w:tc>
          <w:tcPr>
            <w:cnfStyle w:val="001000000000" w:firstRow="0" w:lastRow="0" w:firstColumn="1" w:lastColumn="0" w:oddVBand="0" w:evenVBand="0" w:oddHBand="0" w:evenHBand="0" w:firstRowFirstColumn="0" w:firstRowLastColumn="0" w:lastRowFirstColumn="0" w:lastRowLastColumn="0"/>
            <w:tcW w:w="2245" w:type="dxa"/>
          </w:tcPr>
          <w:p w14:paraId="26D86075" w14:textId="77777777" w:rsidR="00635113" w:rsidRPr="00C6190E" w:rsidRDefault="00000966" w:rsidP="00000966">
            <w:pPr>
              <w:pStyle w:val="TableRowHeading"/>
            </w:pPr>
            <w:r w:rsidRPr="002D05CB">
              <w:t>Integrated Delivery Model</w:t>
            </w:r>
          </w:p>
        </w:tc>
        <w:tc>
          <w:tcPr>
            <w:tcW w:w="3510" w:type="dxa"/>
          </w:tcPr>
          <w:p w14:paraId="55F941BE" w14:textId="77777777" w:rsidR="00000966" w:rsidRPr="00C6190E" w:rsidRDefault="00000966" w:rsidP="00000966">
            <w:pPr>
              <w:pStyle w:val="TableBody"/>
              <w:spacing w:after="0"/>
              <w:cnfStyle w:val="000000000000" w:firstRow="0" w:lastRow="0" w:firstColumn="0" w:lastColumn="0" w:oddVBand="0" w:evenVBand="0" w:oddHBand="0" w:evenHBand="0" w:firstRowFirstColumn="0" w:firstRowLastColumn="0" w:lastRowFirstColumn="0" w:lastRowLastColumn="0"/>
            </w:pPr>
            <w:r w:rsidRPr="009132AC">
              <w:t>Two dedicated teams: Operations and Maintenance, and Enhancement and Modernization, both governed through shared intake and a single release framework.</w:t>
            </w:r>
          </w:p>
        </w:tc>
        <w:tc>
          <w:tcPr>
            <w:tcW w:w="3595" w:type="dxa"/>
          </w:tcPr>
          <w:p w14:paraId="565BFCAD" w14:textId="77777777" w:rsidR="00635113" w:rsidRPr="00C6190E" w:rsidRDefault="00000966" w:rsidP="00000966">
            <w:pPr>
              <w:pStyle w:val="TableBody"/>
              <w:spacing w:after="0"/>
              <w:cnfStyle w:val="000000000000" w:firstRow="0" w:lastRow="0" w:firstColumn="0" w:lastColumn="0" w:oddVBand="0" w:evenVBand="0" w:oddHBand="0" w:evenHBand="0" w:firstRowFirstColumn="0" w:firstRowLastColumn="0" w:lastRowFirstColumn="0" w:lastRowLastColumn="0"/>
            </w:pPr>
            <w:r w:rsidRPr="00057AAE">
              <w:t>Both teams operate without competing for the same priorities or capacity.</w:t>
            </w:r>
          </w:p>
        </w:tc>
      </w:tr>
      <w:tr w:rsidR="00000966" w14:paraId="5626E179" w14:textId="77777777">
        <w:tc>
          <w:tcPr>
            <w:cnfStyle w:val="001000000000" w:firstRow="0" w:lastRow="0" w:firstColumn="1" w:lastColumn="0" w:oddVBand="0" w:evenVBand="0" w:oddHBand="0" w:evenHBand="0" w:firstRowFirstColumn="0" w:firstRowLastColumn="0" w:lastRowFirstColumn="0" w:lastRowLastColumn="0"/>
            <w:tcW w:w="2245" w:type="dxa"/>
          </w:tcPr>
          <w:p w14:paraId="7405C5B2" w14:textId="77777777" w:rsidR="00000966" w:rsidRPr="00C6190E" w:rsidRDefault="00000966" w:rsidP="00000966">
            <w:pPr>
              <w:pStyle w:val="TableRowHeading"/>
            </w:pPr>
            <w:r w:rsidRPr="002D05CB">
              <w:t>Shared Intake and Prioritization</w:t>
            </w:r>
          </w:p>
        </w:tc>
        <w:tc>
          <w:tcPr>
            <w:tcW w:w="3510" w:type="dxa"/>
          </w:tcPr>
          <w:p w14:paraId="1C7E2598" w14:textId="77777777" w:rsidR="00000966" w:rsidRPr="00C6190E" w:rsidRDefault="00000966" w:rsidP="00000966">
            <w:pPr>
              <w:pStyle w:val="TableBody"/>
              <w:spacing w:after="0"/>
              <w:cnfStyle w:val="000000000000" w:firstRow="0" w:lastRow="0" w:firstColumn="0" w:lastColumn="0" w:oddVBand="0" w:evenVBand="0" w:oddHBand="0" w:evenHBand="0" w:firstRowFirstColumn="0" w:firstRowLastColumn="0" w:lastRowFirstColumn="0" w:lastRowLastColumn="0"/>
            </w:pPr>
            <w:r w:rsidRPr="009132AC">
              <w:t>Single intake path for incidents, recurring updates, and approved enhancements across CERRS, SEED, HICS, and EDA CORE</w:t>
            </w:r>
          </w:p>
        </w:tc>
        <w:tc>
          <w:tcPr>
            <w:tcW w:w="3595" w:type="dxa"/>
          </w:tcPr>
          <w:p w14:paraId="2E74E94C" w14:textId="77777777" w:rsidR="00000966" w:rsidRPr="00C6190E" w:rsidRDefault="00000966" w:rsidP="00000966">
            <w:pPr>
              <w:pStyle w:val="TableBody"/>
              <w:spacing w:after="0"/>
              <w:cnfStyle w:val="000000000000" w:firstRow="0" w:lastRow="0" w:firstColumn="0" w:lastColumn="0" w:oddVBand="0" w:evenVBand="0" w:oddHBand="0" w:evenHBand="0" w:firstRowFirstColumn="0" w:firstRowLastColumn="0" w:lastRowFirstColumn="0" w:lastRowLastColumn="0"/>
            </w:pPr>
            <w:r w:rsidRPr="00057AAE">
              <w:t>CMS has one visible queue for all Task 8 work; priorities are set once and honored across both teams</w:t>
            </w:r>
          </w:p>
        </w:tc>
      </w:tr>
      <w:tr w:rsidR="00000966" w14:paraId="14E483CA" w14:textId="77777777">
        <w:tc>
          <w:tcPr>
            <w:cnfStyle w:val="001000000000" w:firstRow="0" w:lastRow="0" w:firstColumn="1" w:lastColumn="0" w:oddVBand="0" w:evenVBand="0" w:oddHBand="0" w:evenHBand="0" w:firstRowFirstColumn="0" w:firstRowLastColumn="0" w:lastRowFirstColumn="0" w:lastRowLastColumn="0"/>
            <w:tcW w:w="2245" w:type="dxa"/>
          </w:tcPr>
          <w:p w14:paraId="2CA4C922" w14:textId="77777777" w:rsidR="00000966" w:rsidRPr="00C6190E" w:rsidRDefault="00000966" w:rsidP="00000966">
            <w:pPr>
              <w:pStyle w:val="TableRowHeading"/>
            </w:pPr>
            <w:r w:rsidRPr="002D05CB">
              <w:t>Coordinated Release Management</w:t>
            </w:r>
          </w:p>
        </w:tc>
        <w:tc>
          <w:tcPr>
            <w:tcW w:w="3510" w:type="dxa"/>
          </w:tcPr>
          <w:p w14:paraId="48C4DF97" w14:textId="77777777" w:rsidR="00000966" w:rsidRPr="00C6190E" w:rsidRDefault="00000966" w:rsidP="00000966">
            <w:pPr>
              <w:pStyle w:val="TableBody"/>
              <w:spacing w:after="0"/>
              <w:cnfStyle w:val="000000000000" w:firstRow="0" w:lastRow="0" w:firstColumn="0" w:lastColumn="0" w:oddVBand="0" w:evenVBand="0" w:oddHBand="0" w:evenHBand="0" w:firstRowFirstColumn="0" w:firstRowLastColumn="0" w:lastRowFirstColumn="0" w:lastRowLastColumn="0"/>
            </w:pPr>
            <w:r w:rsidRPr="009132AC">
              <w:t>Integrated release calendar with cross-system dependency review before every deployment</w:t>
            </w:r>
          </w:p>
        </w:tc>
        <w:tc>
          <w:tcPr>
            <w:tcW w:w="3595" w:type="dxa"/>
          </w:tcPr>
          <w:p w14:paraId="43C26D36" w14:textId="77777777" w:rsidR="00000966" w:rsidRPr="00C6190E" w:rsidRDefault="00000966" w:rsidP="00000966">
            <w:pPr>
              <w:pStyle w:val="TableBody"/>
              <w:spacing w:after="0"/>
              <w:cnfStyle w:val="000000000000" w:firstRow="0" w:lastRow="0" w:firstColumn="0" w:lastColumn="0" w:oddVBand="0" w:evenVBand="0" w:oddHBand="0" w:evenHBand="0" w:firstRowFirstColumn="0" w:firstRowLastColumn="0" w:lastRowFirstColumn="0" w:lastRowLastColumn="0"/>
            </w:pPr>
            <w:r w:rsidRPr="00057AAE">
              <w:t>No release is approved without a validated view of downstream effects across all four systems and their interfaces</w:t>
            </w:r>
          </w:p>
        </w:tc>
      </w:tr>
      <w:tr w:rsidR="00000966" w14:paraId="55D38B60" w14:textId="77777777">
        <w:tc>
          <w:tcPr>
            <w:cnfStyle w:val="001000000000" w:firstRow="0" w:lastRow="0" w:firstColumn="1" w:lastColumn="0" w:oddVBand="0" w:evenVBand="0" w:oddHBand="0" w:evenHBand="0" w:firstRowFirstColumn="0" w:firstRowLastColumn="0" w:lastRowFirstColumn="0" w:lastRowLastColumn="0"/>
            <w:tcW w:w="2245" w:type="dxa"/>
          </w:tcPr>
          <w:p w14:paraId="1DA0A7B0" w14:textId="77777777" w:rsidR="00635113" w:rsidRPr="00C6190E" w:rsidRDefault="00000966" w:rsidP="00000966">
            <w:pPr>
              <w:pStyle w:val="TableRowHeading"/>
            </w:pPr>
            <w:r w:rsidRPr="002D05CB">
              <w:t>Documentation Embedded in Delivery</w:t>
            </w:r>
          </w:p>
        </w:tc>
        <w:tc>
          <w:tcPr>
            <w:tcW w:w="3510" w:type="dxa"/>
          </w:tcPr>
          <w:p w14:paraId="374DD378" w14:textId="77777777" w:rsidR="00000966" w:rsidRPr="00C6190E" w:rsidRDefault="00000966" w:rsidP="00000966">
            <w:pPr>
              <w:pStyle w:val="TableBody"/>
              <w:spacing w:after="0"/>
              <w:cnfStyle w:val="000000000000" w:firstRow="0" w:lastRow="0" w:firstColumn="0" w:lastColumn="0" w:oddVBand="0" w:evenVBand="0" w:oddHBand="0" w:evenHBand="0" w:firstRowFirstColumn="0" w:firstRowLastColumn="0" w:lastRowFirstColumn="0" w:lastRowLastColumn="0"/>
            </w:pPr>
            <w:r w:rsidRPr="009132AC">
              <w:t>Runbooks, SOPs, and system documentation updated within the same release cycle that changes the behavior they describe</w:t>
            </w:r>
          </w:p>
        </w:tc>
        <w:tc>
          <w:tcPr>
            <w:tcW w:w="3595" w:type="dxa"/>
          </w:tcPr>
          <w:p w14:paraId="3FB675D7" w14:textId="77777777" w:rsidR="00635113" w:rsidRPr="00C6190E" w:rsidRDefault="00000966" w:rsidP="00000966">
            <w:pPr>
              <w:pStyle w:val="TableBody"/>
              <w:spacing w:after="0"/>
              <w:cnfStyle w:val="000000000000" w:firstRow="0" w:lastRow="0" w:firstColumn="0" w:lastColumn="0" w:oddVBand="0" w:evenVBand="0" w:oddHBand="0" w:evenHBand="0" w:firstRowFirstColumn="0" w:firstRowLastColumn="0" w:lastRowFirstColumn="0" w:lastRowLastColumn="0"/>
            </w:pPr>
            <w:r w:rsidRPr="00057AAE">
              <w:t>Service desk staff and caseworkers always work from documentation that reflects the live environment</w:t>
            </w:r>
          </w:p>
        </w:tc>
      </w:tr>
      <w:tr w:rsidR="00000966" w14:paraId="3BF9AC00" w14:textId="77777777">
        <w:tc>
          <w:tcPr>
            <w:cnfStyle w:val="001000000000" w:firstRow="0" w:lastRow="0" w:firstColumn="1" w:lastColumn="0" w:oddVBand="0" w:evenVBand="0" w:oddHBand="0" w:evenHBand="0" w:firstRowFirstColumn="0" w:firstRowLastColumn="0" w:lastRowFirstColumn="0" w:lastRowLastColumn="0"/>
            <w:tcW w:w="2245" w:type="dxa"/>
          </w:tcPr>
          <w:p w14:paraId="2F96CCA6" w14:textId="77777777" w:rsidR="00635113" w:rsidRPr="00C6190E" w:rsidRDefault="00000966" w:rsidP="00000966">
            <w:pPr>
              <w:pStyle w:val="TableRowHeading"/>
            </w:pPr>
            <w:r w:rsidRPr="002D05CB">
              <w:t>Recurring Manual Operation Reduction</w:t>
            </w:r>
          </w:p>
        </w:tc>
        <w:tc>
          <w:tcPr>
            <w:tcW w:w="3510" w:type="dxa"/>
          </w:tcPr>
          <w:p w14:paraId="4735CFED" w14:textId="77777777" w:rsidR="00000966" w:rsidRPr="00C6190E" w:rsidRDefault="00000966" w:rsidP="00000966">
            <w:pPr>
              <w:pStyle w:val="TableBody"/>
              <w:spacing w:after="0"/>
              <w:cnfStyle w:val="000000000000" w:firstRow="0" w:lastRow="0" w:firstColumn="0" w:lastColumn="0" w:oddVBand="0" w:evenVBand="0" w:oddHBand="0" w:evenHBand="0" w:firstRowFirstColumn="0" w:firstRowLastColumn="0" w:lastRowFirstColumn="0" w:lastRowLastColumn="0"/>
            </w:pPr>
            <w:r w:rsidRPr="009132AC">
              <w:t>Repeat manual activities identified and reduced through standardized procedures, automated alerting, and targeted engineering fixes</w:t>
            </w:r>
          </w:p>
        </w:tc>
        <w:tc>
          <w:tcPr>
            <w:tcW w:w="3595" w:type="dxa"/>
          </w:tcPr>
          <w:p w14:paraId="767685D8" w14:textId="77777777" w:rsidR="00635113" w:rsidRPr="00C6190E" w:rsidRDefault="00000966" w:rsidP="00000966">
            <w:pPr>
              <w:pStyle w:val="TableBody"/>
              <w:spacing w:after="0"/>
              <w:cnfStyle w:val="000000000000" w:firstRow="0" w:lastRow="0" w:firstColumn="0" w:lastColumn="0" w:oddVBand="0" w:evenVBand="0" w:oddHBand="0" w:evenHBand="0" w:firstRowFirstColumn="0" w:firstRowLastColumn="0" w:lastRowFirstColumn="0" w:lastRowLastColumn="0"/>
            </w:pPr>
            <w:r w:rsidRPr="00057AAE">
              <w:t>Operational labor cost decreases over the contract period as manual steps are replaced with governed automation</w:t>
            </w:r>
          </w:p>
        </w:tc>
      </w:tr>
    </w:tbl>
    <w:p w14:paraId="744851A4" w14:textId="77777777" w:rsidR="006E03C0" w:rsidRDefault="006E03C0" w:rsidP="00FC0D65">
      <w:pPr>
        <w:pStyle w:val="ParagraphSpacer"/>
      </w:pPr>
    </w:p>
    <w:p w14:paraId="1570F206" w14:textId="77777777" w:rsidR="00C6190E" w:rsidRPr="00C6190E" w:rsidRDefault="00C6190E" w:rsidP="00A557DC">
      <w:pPr>
        <w:pStyle w:val="Heading4"/>
        <w:rPr>
          <w:b/>
          <w:i w:val="0"/>
        </w:rPr>
      </w:pPr>
      <w:r>
        <w:lastRenderedPageBreak/>
        <w:t>1</w:t>
      </w:r>
      <w:r w:rsidR="00FC0D65">
        <w:t>.2.7.1</w:t>
      </w:r>
      <w:r w:rsidR="00FC0D65">
        <w:tab/>
      </w:r>
      <w:r w:rsidRPr="00C6190E">
        <w:t>CERRS</w:t>
      </w:r>
      <w:r w:rsidRPr="00C6190E">
        <w:rPr>
          <w:b/>
        </w:rPr>
        <w:t xml:space="preserve"> — CCIIO Enrollment Resolution and Reconciliation System</w:t>
      </w:r>
    </w:p>
    <w:p w14:paraId="290183F5" w14:textId="77777777" w:rsidR="00FC0D65" w:rsidRPr="00FC0D65" w:rsidRDefault="00FC0D65" w:rsidP="00FC0D65">
      <w:pPr>
        <w:pStyle w:val="Subheading1"/>
      </w:pPr>
      <w:r w:rsidRPr="00FC0D65">
        <w:t>Microsoft Dynamics CRM | Azure Government | .NET | Custom APIs</w:t>
      </w:r>
    </w:p>
    <w:p w14:paraId="3A301530" w14:textId="77777777" w:rsidR="00C6190E" w:rsidRPr="00FC0D65" w:rsidRDefault="00C6190E" w:rsidP="00FC0D65">
      <w:pPr>
        <w:pStyle w:val="BodyText"/>
      </w:pPr>
      <w:r w:rsidRPr="00C6190E">
        <w:t>CERRS is the Microsoft Dynamics CRM-based platform that serves as the central technical backbone for issuer disputes, Form 1095-A consumer disputes, and CCHC casework. It is the primary integration point for inbound source data from HICS, MIDAS, and other Exchange systems, and the origin of downstream updates to the FFE. Beyond the program-wide obligations covered in Phase 1, Deloitte will specifically deliver for CERRS: 24/7 outage support; annual Enrollment Dispute Form updates and quarterly issuer dispute rule updates; after-hours data loads, ingestion monitoring, and data remediation; code base modernization to Azure cloud services; CRM optimization; Power BI migration; and disaster recovery and business continuity planning.</w:t>
      </w:r>
    </w:p>
    <w:p w14:paraId="5F89D7B7" w14:textId="77777777" w:rsidR="00C6190E" w:rsidRPr="00A557DC" w:rsidRDefault="00C6190E" w:rsidP="00A557DC">
      <w:pPr>
        <w:pStyle w:val="BodyText"/>
      </w:pPr>
      <w:r w:rsidRPr="00C6190E">
        <w:t>SEED is the issuer-facing .NET portal hosted on the CMS Enterprise Portal that provides real-time FFE enrollment data access and supports dispute submission, prior-year dispute handling, post-deadline inaccuracy requests, and related approval workflows. Beyond the program-wide obligations covered in Phase 1, Deloitte will specifically deliver for SEED: four issuer-facing slide presentations per month; two half-hour interactive issuer sessions with live Q&amp;A monthly; monthly CMS/SEED coordination meetings; quarterly improvement recommendations; two comprehensive technical documentation overhauls per year; approver and user administration including submitting approver requests to CMS and maintaining issuer rosters; outage notification; performance monitoring; and release coordination.</w:t>
      </w:r>
    </w:p>
    <w:p w14:paraId="38FEE7FB" w14:textId="77777777" w:rsidR="00C6190E" w:rsidRPr="00C6190E" w:rsidRDefault="00A557DC" w:rsidP="00A557DC">
      <w:pPr>
        <w:pStyle w:val="Heading4"/>
        <w:rPr>
          <w:i w:val="0"/>
        </w:rPr>
      </w:pPr>
      <w:r w:rsidRPr="00A557DC">
        <w:t>1.2.7.2</w:t>
      </w:r>
      <w:r w:rsidRPr="00A557DC">
        <w:tab/>
      </w:r>
      <w:r w:rsidR="00C6190E" w:rsidRPr="00A557DC">
        <w:t xml:space="preserve"> HICS</w:t>
      </w:r>
      <w:r w:rsidR="00C6190E" w:rsidRPr="00C6190E">
        <w:rPr>
          <w:b/>
        </w:rPr>
        <w:t xml:space="preserve"> — Health Insurance Casework System</w:t>
      </w:r>
    </w:p>
    <w:p w14:paraId="26165AAE" w14:textId="77777777" w:rsidR="00A557DC" w:rsidRPr="00A557DC" w:rsidRDefault="00A557DC" w:rsidP="00A557DC">
      <w:pPr>
        <w:pStyle w:val="Subheading2"/>
      </w:pPr>
      <w:r w:rsidRPr="00A557DC">
        <w:t>Custom .NET | Azure Government | Casework Routing | Stakeholder Integration</w:t>
      </w:r>
    </w:p>
    <w:p w14:paraId="42A19E87" w14:textId="77777777" w:rsidR="00C6190E" w:rsidRPr="00A557DC" w:rsidRDefault="00C6190E" w:rsidP="00A557DC">
      <w:pPr>
        <w:pStyle w:val="BodyText"/>
      </w:pPr>
      <w:r w:rsidRPr="00C6190E">
        <w:t>HICS is the official tracking system for Exchange casework — the intake and routing layer through which the FFE Call Center and other stakeholders route cases requiring investigation and resolution before they reach CERRS. Beyond the program-wide obligations covered in Phase 1, Deloitte will specifically deliver for HICS: Tier 1, 2, and 3 service desk support; bug fixes and technical debt reduction; data integrations with NGD, NDW, MIDAS, EDL, EDA, SERCO, and CERRS; CCB coordination specific to HICS stakeholders; performance monitoring; outage notification; and disaster recovery and business continuity planning.</w:t>
      </w:r>
    </w:p>
    <w:p w14:paraId="1F05DF83" w14:textId="77777777" w:rsidR="00C6190E" w:rsidRPr="00C6190E" w:rsidRDefault="00A557DC" w:rsidP="00A557DC">
      <w:pPr>
        <w:pStyle w:val="Heading4"/>
        <w:rPr>
          <w:i w:val="0"/>
        </w:rPr>
      </w:pPr>
      <w:r w:rsidRPr="00A557DC">
        <w:t>1.2.7.3</w:t>
      </w:r>
      <w:r w:rsidRPr="00A557DC">
        <w:tab/>
      </w:r>
      <w:r w:rsidR="00C6190E" w:rsidRPr="00A557DC">
        <w:t xml:space="preserve"> EDA CORE — Enrollment Data Alignment CERRS Operations Reporting Environment</w:t>
      </w:r>
    </w:p>
    <w:p w14:paraId="3F5C61E2" w14:textId="77777777" w:rsidR="00A557DC" w:rsidRPr="00A557DC" w:rsidRDefault="00A557DC" w:rsidP="00A557DC">
      <w:pPr>
        <w:pStyle w:val="Subheading2"/>
      </w:pPr>
      <w:r w:rsidRPr="00A557DC">
        <w:t>Snowflake | Azure Government | 834 Ingestion | Analytics | FedRAMP</w:t>
      </w:r>
    </w:p>
    <w:p w14:paraId="5623E4E8" w14:textId="77777777" w:rsidR="00C6190E" w:rsidRPr="00A557DC" w:rsidRDefault="00C6190E" w:rsidP="00A557DC">
      <w:pPr>
        <w:pStyle w:val="BodyText"/>
      </w:pPr>
      <w:r w:rsidRPr="00A557DC">
        <w:t>EDA CORE is the Snowflake-based central analytics repository that ingests high-volume 834 transaction data and provides the shared reporting foundation for issuer performance, enrollment alignment, and payment analytics across the ER&amp;R program. Beyond the program-wide obligations covered in Phase 1, Deloitte will specifically deliver for EDA Core: high-volume 834 data ingestion daily including thousands of transactions per hour during Open Enrollment; monthly EAPS reporting to issuers and CMS stakeholders; Account Manager Dashboard development and maintenance; payment anomaly, enrollment alignment, and dispute processing reports updated monthly; Tier 2 and 3 service desk support; Snowflake performance tuning and SQL query optimization; UAT facilitation; dataset maintenance and onboarding; and FedRAMP sponsorship for the Azure Government Snowflake deployment.</w:t>
      </w:r>
    </w:p>
    <w:p w14:paraId="55DF16A1" w14:textId="77777777" w:rsidR="00C6190E" w:rsidRPr="00C6190E" w:rsidRDefault="00C6190E" w:rsidP="00635113">
      <w:pPr>
        <w:pStyle w:val="Subheading1"/>
        <w:rPr>
          <w:b w:val="0"/>
          <w:bCs/>
        </w:rPr>
      </w:pPr>
      <w:r w:rsidRPr="00C6190E">
        <w:t>Phase 2: Smart Technology Operations</w:t>
      </w:r>
    </w:p>
    <w:p w14:paraId="6A740F41" w14:textId="77777777" w:rsidR="00635113" w:rsidRPr="00635113" w:rsidRDefault="00635113" w:rsidP="00635113">
      <w:pPr>
        <w:pStyle w:val="Subheading2"/>
      </w:pPr>
      <w:r w:rsidRPr="00635113">
        <w:t>Smart Technology Operations — ASCEND Agentic AI Platform</w:t>
      </w:r>
    </w:p>
    <w:p w14:paraId="017A189E" w14:textId="77777777" w:rsidR="00C6190E" w:rsidRPr="00C6190E" w:rsidRDefault="00C6190E" w:rsidP="00635113">
      <w:pPr>
        <w:pStyle w:val="BodyText"/>
      </w:pPr>
      <w:r w:rsidRPr="00C6190E">
        <w:t>Once the current environment is operating under a controlled delivery model, Deloitte will systematically reduce the manual effort, reactive posture, and technical fragility that characterize complex multi-system environments over time. We apply ASCEND — Deloitte's proprietary Agentic AI platform for technology maintenance, operations, and software delivery — progressively across CERRS, HICS, SEED, and EDA CORE as a governed, human-supervised improvement layer.</w:t>
      </w:r>
    </w:p>
    <w:p w14:paraId="12E6934B" w14:textId="77777777" w:rsidR="00635113" w:rsidRDefault="00635113" w:rsidP="00635113">
      <w:pPr>
        <w:pStyle w:val="TableTitle"/>
      </w:pPr>
      <w:r w:rsidRPr="00635113">
        <w:t>Table X.X-X. Intelligent Operations — AIOps Across All Systems</w:t>
      </w:r>
      <w:r>
        <w:t>.</w:t>
      </w:r>
    </w:p>
    <w:tbl>
      <w:tblPr>
        <w:tblStyle w:val="DeloitteTable2"/>
        <w:tblW w:w="5000" w:type="pct"/>
        <w:tblLook w:val="06A0" w:firstRow="1" w:lastRow="0" w:firstColumn="1" w:lastColumn="0" w:noHBand="1" w:noVBand="1"/>
      </w:tblPr>
      <w:tblGrid>
        <w:gridCol w:w="2245"/>
        <w:gridCol w:w="3510"/>
        <w:gridCol w:w="3595"/>
      </w:tblGrid>
      <w:tr w:rsidR="00C6190E" w:rsidRPr="00C6190E" w14:paraId="2E6E19CA"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245" w:type="dxa"/>
          </w:tcPr>
          <w:p w14:paraId="32AD51A7" w14:textId="77777777" w:rsidR="00C6190E" w:rsidRPr="00C6190E" w:rsidRDefault="00C6190E">
            <w:pPr>
              <w:pStyle w:val="TableHeading"/>
            </w:pPr>
            <w:r w:rsidRPr="00BE098B">
              <w:t>Capability</w:t>
            </w:r>
          </w:p>
        </w:tc>
        <w:tc>
          <w:tcPr>
            <w:tcW w:w="3510" w:type="dxa"/>
          </w:tcPr>
          <w:p w14:paraId="3E22505B" w14:textId="77777777" w:rsidR="00C6190E" w:rsidRPr="00C6190E" w:rsidRDefault="00C6190E">
            <w:pPr>
              <w:pStyle w:val="TableHeading"/>
              <w:cnfStyle w:val="100000000000" w:firstRow="1" w:lastRow="0" w:firstColumn="0" w:lastColumn="0" w:oddVBand="0" w:evenVBand="0" w:oddHBand="0" w:evenHBand="0" w:firstRowFirstColumn="0" w:firstRowLastColumn="0" w:lastRowFirstColumn="0" w:lastRowLastColumn="0"/>
            </w:pPr>
            <w:r w:rsidRPr="00BE098B">
              <w:t>What Deloitte Delivers</w:t>
            </w:r>
          </w:p>
        </w:tc>
        <w:tc>
          <w:tcPr>
            <w:tcW w:w="3595" w:type="dxa"/>
          </w:tcPr>
          <w:p w14:paraId="457180FC" w14:textId="77777777" w:rsidR="00C6190E" w:rsidRPr="00C6190E" w:rsidRDefault="00C6190E">
            <w:pPr>
              <w:pStyle w:val="TableHeading"/>
              <w:cnfStyle w:val="100000000000" w:firstRow="1" w:lastRow="0" w:firstColumn="0" w:lastColumn="0" w:oddVBand="0" w:evenVBand="0" w:oddHBand="0" w:evenHBand="0" w:firstRowFirstColumn="0" w:firstRowLastColumn="0" w:lastRowFirstColumn="0" w:lastRowLastColumn="0"/>
            </w:pPr>
            <w:r w:rsidRPr="00BE098B">
              <w:t>Benefit to CMS</w:t>
            </w:r>
          </w:p>
        </w:tc>
      </w:tr>
      <w:tr w:rsidR="00C6190E" w:rsidRPr="00C6190E" w14:paraId="3DC4BFD0" w14:textId="77777777">
        <w:tc>
          <w:tcPr>
            <w:cnfStyle w:val="001000000000" w:firstRow="0" w:lastRow="0" w:firstColumn="1" w:lastColumn="0" w:oddVBand="0" w:evenVBand="0" w:oddHBand="0" w:evenHBand="0" w:firstRowFirstColumn="0" w:firstRowLastColumn="0" w:lastRowFirstColumn="0" w:lastRowLastColumn="0"/>
            <w:tcW w:w="2245" w:type="dxa"/>
          </w:tcPr>
          <w:p w14:paraId="50E036D8" w14:textId="77777777" w:rsidR="00C6190E" w:rsidRPr="00C6190E" w:rsidRDefault="00C6190E" w:rsidP="00635113">
            <w:pPr>
              <w:pStyle w:val="TableRowHeading"/>
            </w:pPr>
            <w:r w:rsidRPr="00F24CEC">
              <w:t>ITSM Incident Management</w:t>
            </w:r>
          </w:p>
        </w:tc>
        <w:tc>
          <w:tcPr>
            <w:tcW w:w="3510" w:type="dxa"/>
          </w:tcPr>
          <w:p w14:paraId="44A4DBDA" w14:textId="77777777" w:rsidR="00C6190E" w:rsidRPr="00C6190E" w:rsidRDefault="00C6190E" w:rsidP="00635113">
            <w:pPr>
              <w:pStyle w:val="TableBody"/>
              <w:spacing w:after="0"/>
              <w:cnfStyle w:val="000000000000" w:firstRow="0" w:lastRow="0" w:firstColumn="0" w:lastColumn="0" w:oddVBand="0" w:evenVBand="0" w:oddHBand="0" w:evenHBand="0" w:firstRowFirstColumn="0" w:firstRowLastColumn="0" w:lastRowFirstColumn="0" w:lastRowLastColumn="0"/>
            </w:pPr>
            <w:r w:rsidRPr="00693CC3">
              <w:t>Unified Level 1 and Level 2 incident classification, triaging, and routing across CERRS, HICS, SEED, and EDA CORE service desk operations. Context-aware resolution recommendations drawn from historical tickets, knowledge base articles, and system-specific SOPs with human-in-the-loop review.</w:t>
            </w:r>
          </w:p>
        </w:tc>
        <w:tc>
          <w:tcPr>
            <w:tcW w:w="3595" w:type="dxa"/>
          </w:tcPr>
          <w:p w14:paraId="03931CCE" w14:textId="77777777" w:rsidR="00C6190E" w:rsidRPr="00C6190E" w:rsidRDefault="00C6190E" w:rsidP="00635113">
            <w:pPr>
              <w:pStyle w:val="TableBody"/>
              <w:spacing w:after="0"/>
              <w:cnfStyle w:val="000000000000" w:firstRow="0" w:lastRow="0" w:firstColumn="0" w:lastColumn="0" w:oddVBand="0" w:evenVBand="0" w:oddHBand="0" w:evenHBand="0" w:firstRowFirstColumn="0" w:firstRowLastColumn="0" w:lastRowFirstColumn="0" w:lastRowLastColumn="0"/>
            </w:pPr>
            <w:r w:rsidRPr="0086228A">
              <w:t>Mean Time to Resolution (MTTR) improves by 60% across CERRS casework disruptions and HICS routing issues. Escalation rates drop 20-30% as service desk staff resolve known patterns without escalation. Staff productivity increases 40-60% across Tier 1, 2, and 3 handling of CERRS, HICS, and EDA CORE incidents.</w:t>
            </w:r>
          </w:p>
        </w:tc>
      </w:tr>
      <w:tr w:rsidR="00C6190E" w:rsidRPr="00C6190E" w14:paraId="2D16B164" w14:textId="77777777">
        <w:tc>
          <w:tcPr>
            <w:cnfStyle w:val="001000000000" w:firstRow="0" w:lastRow="0" w:firstColumn="1" w:lastColumn="0" w:oddVBand="0" w:evenVBand="0" w:oddHBand="0" w:evenHBand="0" w:firstRowFirstColumn="0" w:firstRowLastColumn="0" w:lastRowFirstColumn="0" w:lastRowLastColumn="0"/>
            <w:tcW w:w="2245" w:type="dxa"/>
          </w:tcPr>
          <w:p w14:paraId="3FFF5226" w14:textId="77777777" w:rsidR="00C6190E" w:rsidRPr="00C6190E" w:rsidRDefault="00C6190E" w:rsidP="00635113">
            <w:pPr>
              <w:pStyle w:val="TableRowHeading"/>
            </w:pPr>
            <w:r w:rsidRPr="00F24CEC">
              <w:lastRenderedPageBreak/>
              <w:t>Root Cause Analysis and Issue Detection</w:t>
            </w:r>
          </w:p>
        </w:tc>
        <w:tc>
          <w:tcPr>
            <w:tcW w:w="3510" w:type="dxa"/>
          </w:tcPr>
          <w:p w14:paraId="40FF4F80" w14:textId="77777777" w:rsidR="00C6190E" w:rsidRPr="00C6190E" w:rsidRDefault="00C6190E" w:rsidP="00635113">
            <w:pPr>
              <w:pStyle w:val="TableBody"/>
              <w:spacing w:after="0"/>
              <w:cnfStyle w:val="000000000000" w:firstRow="0" w:lastRow="0" w:firstColumn="0" w:lastColumn="0" w:oddVBand="0" w:evenVBand="0" w:oddHBand="0" w:evenHBand="0" w:firstRowFirstColumn="0" w:firstRowLastColumn="0" w:lastRowFirstColumn="0" w:lastRowLastColumn="0"/>
            </w:pPr>
            <w:r w:rsidRPr="00693CC3">
              <w:t>Event-driven automated log analysis and multi-agent diagnostic workflows across CMS MAG applications, correlating signals across CERRS plug-ins, HICS queues, SEED API interfaces, and EDA CORE pipelines. Integrates with Azure Monitor and Application Insights.</w:t>
            </w:r>
          </w:p>
        </w:tc>
        <w:tc>
          <w:tcPr>
            <w:tcW w:w="3595" w:type="dxa"/>
          </w:tcPr>
          <w:p w14:paraId="1D99B738" w14:textId="77777777" w:rsidR="00C6190E" w:rsidRPr="00C6190E" w:rsidRDefault="00C6190E" w:rsidP="00635113">
            <w:pPr>
              <w:pStyle w:val="TableBody"/>
              <w:spacing w:after="0"/>
              <w:cnfStyle w:val="000000000000" w:firstRow="0" w:lastRow="0" w:firstColumn="0" w:lastColumn="0" w:oddVBand="0" w:evenVBand="0" w:oddHBand="0" w:evenHBand="0" w:firstRowFirstColumn="0" w:firstRowLastColumn="0" w:lastRowFirstColumn="0" w:lastRowLastColumn="0"/>
            </w:pPr>
            <w:r w:rsidRPr="0086228A">
              <w:t>Root Cause Analysis (RCA) time is reduced by 70% for production failures that currently require manual log traversal across CERRS, HICS, and EDA CORE layers. Consistent data-driven analysis reduces repeat incidents across all systems.</w:t>
            </w:r>
          </w:p>
        </w:tc>
      </w:tr>
      <w:tr w:rsidR="00C6190E" w:rsidRPr="00C6190E" w14:paraId="086BE8B2" w14:textId="77777777">
        <w:tc>
          <w:tcPr>
            <w:cnfStyle w:val="001000000000" w:firstRow="0" w:lastRow="0" w:firstColumn="1" w:lastColumn="0" w:oddVBand="0" w:evenVBand="0" w:oddHBand="0" w:evenHBand="0" w:firstRowFirstColumn="0" w:firstRowLastColumn="0" w:lastRowFirstColumn="0" w:lastRowLastColumn="0"/>
            <w:tcW w:w="2245" w:type="dxa"/>
          </w:tcPr>
          <w:p w14:paraId="5AA01F32" w14:textId="77777777" w:rsidR="00C6190E" w:rsidRPr="00C6190E" w:rsidRDefault="00C6190E" w:rsidP="00635113">
            <w:pPr>
              <w:pStyle w:val="TableRowHeading"/>
            </w:pPr>
            <w:r w:rsidRPr="00F24CEC">
              <w:t>Intelligent Alert Management</w:t>
            </w:r>
          </w:p>
        </w:tc>
        <w:tc>
          <w:tcPr>
            <w:tcW w:w="3510" w:type="dxa"/>
          </w:tcPr>
          <w:p w14:paraId="4BD9A126" w14:textId="77777777" w:rsidR="00C6190E" w:rsidRPr="00C6190E" w:rsidRDefault="00C6190E" w:rsidP="00635113">
            <w:pPr>
              <w:pStyle w:val="TableBody"/>
              <w:spacing w:after="0"/>
              <w:cnfStyle w:val="000000000000" w:firstRow="0" w:lastRow="0" w:firstColumn="0" w:lastColumn="0" w:oddVBand="0" w:evenVBand="0" w:oddHBand="0" w:evenHBand="0" w:firstRowFirstColumn="0" w:firstRowLastColumn="0" w:lastRowFirstColumn="0" w:lastRowLastColumn="0"/>
            </w:pPr>
            <w:r w:rsidRPr="00693CC3">
              <w:t>Monitors alert volume across all systems and suppresses low-priority and duplicate notifications during maintenance windows, so operations teams focus only on alerts that require action. Frequency-based escalation ensures recurring anomalies across CERRS, HICS, SEED, and EDA CORE reach the right team without delay.</w:t>
            </w:r>
          </w:p>
        </w:tc>
        <w:tc>
          <w:tcPr>
            <w:tcW w:w="3595" w:type="dxa"/>
          </w:tcPr>
          <w:p w14:paraId="7707FC6D" w14:textId="77777777" w:rsidR="00C6190E" w:rsidRPr="00C6190E" w:rsidRDefault="00C6190E" w:rsidP="00635113">
            <w:pPr>
              <w:pStyle w:val="TableBody"/>
              <w:spacing w:after="0"/>
              <w:cnfStyle w:val="000000000000" w:firstRow="0" w:lastRow="0" w:firstColumn="0" w:lastColumn="0" w:oddVBand="0" w:evenVBand="0" w:oddHBand="0" w:evenHBand="0" w:firstRowFirstColumn="0" w:firstRowLastColumn="0" w:lastRowFirstColumn="0" w:lastRowLastColumn="0"/>
            </w:pPr>
            <w:r w:rsidRPr="0086228A">
              <w:t>Alert volume is reduced by 60% so operations staff are not overwhelmed by notifications that do not require action. Critical incident detection improves by 70% for CERRS after-hours failures and EDA CORE ingestion anomalies. Response time to high-priority alerts improves by 50% across all systems.</w:t>
            </w:r>
          </w:p>
        </w:tc>
      </w:tr>
      <w:tr w:rsidR="00C6190E" w:rsidRPr="00C6190E" w14:paraId="257AD837" w14:textId="77777777">
        <w:tc>
          <w:tcPr>
            <w:cnfStyle w:val="001000000000" w:firstRow="0" w:lastRow="0" w:firstColumn="1" w:lastColumn="0" w:oddVBand="0" w:evenVBand="0" w:oddHBand="0" w:evenHBand="0" w:firstRowFirstColumn="0" w:firstRowLastColumn="0" w:lastRowFirstColumn="0" w:lastRowLastColumn="0"/>
            <w:tcW w:w="2245" w:type="dxa"/>
          </w:tcPr>
          <w:p w14:paraId="2ECABB53" w14:textId="77777777" w:rsidR="00C6190E" w:rsidRPr="00C6190E" w:rsidRDefault="00C6190E" w:rsidP="00635113">
            <w:pPr>
              <w:pStyle w:val="TableRowHeading"/>
            </w:pPr>
            <w:r w:rsidRPr="00F24CEC">
              <w:t>Batch Job and Pipeline Monitoring</w:t>
            </w:r>
          </w:p>
        </w:tc>
        <w:tc>
          <w:tcPr>
            <w:tcW w:w="3510" w:type="dxa"/>
          </w:tcPr>
          <w:p w14:paraId="32811DA5" w14:textId="77777777" w:rsidR="00C6190E" w:rsidRPr="00C6190E" w:rsidRDefault="00C6190E" w:rsidP="00635113">
            <w:pPr>
              <w:pStyle w:val="TableBody"/>
              <w:spacing w:after="0"/>
              <w:cnfStyle w:val="000000000000" w:firstRow="0" w:lastRow="0" w:firstColumn="0" w:lastColumn="0" w:oddVBand="0" w:evenVBand="0" w:oddHBand="0" w:evenHBand="0" w:firstRowFirstColumn="0" w:firstRowLastColumn="0" w:lastRowFirstColumn="0" w:lastRowLastColumn="0"/>
            </w:pPr>
            <w:r w:rsidRPr="00693CC3">
              <w:t>Near real-time detection of CERRS after-hours data load failures and EDA CORE 834 ingestion job failures. Automated RCA using a knowledge base of historical incidents and runbooks. Engineer-approved remediation execution.</w:t>
            </w:r>
          </w:p>
        </w:tc>
        <w:tc>
          <w:tcPr>
            <w:tcW w:w="3595" w:type="dxa"/>
          </w:tcPr>
          <w:p w14:paraId="1E5B0927" w14:textId="77777777" w:rsidR="00C6190E" w:rsidRPr="00C6190E" w:rsidRDefault="00C6190E" w:rsidP="00635113">
            <w:pPr>
              <w:pStyle w:val="TableBody"/>
              <w:spacing w:after="0"/>
              <w:cnfStyle w:val="000000000000" w:firstRow="0" w:lastRow="0" w:firstColumn="0" w:lastColumn="0" w:oddVBand="0" w:evenVBand="0" w:oddHBand="0" w:evenHBand="0" w:firstRowFirstColumn="0" w:firstRowLastColumn="0" w:lastRowFirstColumn="0" w:lastRowLastColumn="0"/>
            </w:pPr>
            <w:r w:rsidRPr="0086228A">
              <w:t>Detection and remediation of CERRS data load failures and EDA CORE 834 ingestion failures improves by 70%. Continuous Known Error Database (KEDB) updates mean repeat failures across both systems are resolved faster with each occurrence.</w:t>
            </w:r>
          </w:p>
        </w:tc>
      </w:tr>
      <w:tr w:rsidR="00C6190E" w:rsidRPr="00C6190E" w14:paraId="2025C06B" w14:textId="77777777">
        <w:tc>
          <w:tcPr>
            <w:cnfStyle w:val="001000000000" w:firstRow="0" w:lastRow="0" w:firstColumn="1" w:lastColumn="0" w:oddVBand="0" w:evenVBand="0" w:oddHBand="0" w:evenHBand="0" w:firstRowFirstColumn="0" w:firstRowLastColumn="0" w:lastRowFirstColumn="0" w:lastRowLastColumn="0"/>
            <w:tcW w:w="2245" w:type="dxa"/>
          </w:tcPr>
          <w:p w14:paraId="74C56E8C" w14:textId="77777777" w:rsidR="00C6190E" w:rsidRPr="00C6190E" w:rsidRDefault="00C6190E" w:rsidP="00635113">
            <w:pPr>
              <w:pStyle w:val="TableRowHeading"/>
            </w:pPr>
            <w:r w:rsidRPr="00F24CEC">
              <w:t>Change Impact Assessment</w:t>
            </w:r>
          </w:p>
        </w:tc>
        <w:tc>
          <w:tcPr>
            <w:tcW w:w="3510" w:type="dxa"/>
          </w:tcPr>
          <w:p w14:paraId="552EF661" w14:textId="77777777" w:rsidR="00C6190E" w:rsidRPr="00C6190E" w:rsidRDefault="00C6190E" w:rsidP="00635113">
            <w:pPr>
              <w:pStyle w:val="TableBody"/>
              <w:spacing w:after="0"/>
              <w:cnfStyle w:val="000000000000" w:firstRow="0" w:lastRow="0" w:firstColumn="0" w:lastColumn="0" w:oddVBand="0" w:evenVBand="0" w:oddHBand="0" w:evenHBand="0" w:firstRowFirstColumn="0" w:firstRowLastColumn="0" w:lastRowFirstColumn="0" w:lastRowLastColumn="0"/>
            </w:pPr>
            <w:r w:rsidRPr="00693CC3">
              <w:t>AI-powered analysis of change requests across CERRS, SEED, HICS, and EDA CORE, extracting impacted systems, interface dependencies, and downstream effects before each bi-weekly release. Automated routing and effort estimation.</w:t>
            </w:r>
          </w:p>
        </w:tc>
        <w:tc>
          <w:tcPr>
            <w:tcW w:w="3595" w:type="dxa"/>
          </w:tcPr>
          <w:p w14:paraId="05AEDB75" w14:textId="77777777" w:rsidR="00C6190E" w:rsidRPr="00C6190E" w:rsidRDefault="00C6190E" w:rsidP="00635113">
            <w:pPr>
              <w:pStyle w:val="TableBody"/>
              <w:spacing w:after="0"/>
              <w:cnfStyle w:val="000000000000" w:firstRow="0" w:lastRow="0" w:firstColumn="0" w:lastColumn="0" w:oddVBand="0" w:evenVBand="0" w:oddHBand="0" w:evenHBand="0" w:firstRowFirstColumn="0" w:firstRowLastColumn="0" w:lastRowFirstColumn="0" w:lastRowLastColumn="0"/>
            </w:pPr>
            <w:r w:rsidRPr="0086228A">
              <w:t>Change request processing time is reduced by 85% across the bi-weekly release cycle. Impact assessment accuracy of 90% ensures CERRS plug-in changes, SEED API updates, and EDA CORE pipeline modifications are validated against downstream dependencies before production deployment.</w:t>
            </w:r>
          </w:p>
        </w:tc>
      </w:tr>
    </w:tbl>
    <w:p w14:paraId="63538317" w14:textId="77777777" w:rsidR="00C6190E" w:rsidRPr="00C6190E" w:rsidRDefault="00C6190E" w:rsidP="00635113">
      <w:pPr>
        <w:pStyle w:val="ParagraphSpacer"/>
      </w:pPr>
    </w:p>
    <w:p>
      <w:pPr>
        <w:pStyle w:val="Subheading1"/>
      </w:pPr>
      <w:r>
        <w:t>Phase 3: Smart Business Operations</w:t>
      </w:r>
    </w:p>
    <w:p>
      <w:pPr>
        <w:pStyle w:val="BodyText"/>
      </w:pPr>
      <w:r>
        <w:t>Once Phase 2 AIOps capabilities are stable, Deloitte will deploy HealthIntelligence — a governed operational intelligence layer that surfaces casework patterns, dispute root causes, and program integrity signals across CERRS, HICS, SEED, and EDA CORE. Rollout is staged with CMS approval at each gate.</w:t>
      </w:r>
    </w:p>
    <w:p>
      <w:pPr>
        <w:pStyle w:val="Subheading1"/>
      </w:pPr>
      <w:r>
        <w:t>Phase 4: Agentic Front End</w:t>
      </w:r>
    </w:p>
    <w:p>
      <w:pPr>
        <w:pStyle w:val="BodyText"/>
      </w:pPr>
      <w:r>
        <w:t>A unified role-aware interface for caseworkers, supervisors, and approved external users will consolidate the multi-system context needed to resolve a single dispute. Rollout is staged across internal command center, issuer self-service, and consumer self-service tiers, each gated on CMS approval.</w:t>
      </w:r>
    </w:p>
    <w:p w14:paraId="78C67535" w14:textId="77777777" w:rsidR="00A54BF5" w:rsidRDefault="003414BC" w:rsidP="00A54BF5">
      <w:pPr>
        <w:pStyle w:val="Heading3"/>
      </w:pPr>
      <w:bookmarkStart w:id="11" w:name="_Toc228252915"/>
      <w:r>
        <w:t>1.2.8</w:t>
      </w:r>
      <w:r>
        <w:tab/>
      </w:r>
      <w:r w:rsidR="00A54BF5">
        <w:t xml:space="preserve">Task 9: Standard Operating Procedures (SOPs) Business Requirements and Quality </w:t>
      </w:r>
      <w:proofErr w:type="gramStart"/>
      <w:r w:rsidR="00A54BF5">
        <w:t>Assurance</w:t>
      </w:r>
      <w:r w:rsidR="006D0BF5" w:rsidRPr="006D0BF5">
        <w:rPr>
          <w:vertAlign w:val="superscript"/>
        </w:rPr>
        <w:t>(</w:t>
      </w:r>
      <w:proofErr w:type="gramEnd"/>
      <w:r w:rsidR="006D0BF5" w:rsidRPr="006D0BF5">
        <w:rPr>
          <w:vertAlign w:val="superscript"/>
        </w:rPr>
        <w:t>SOW 3.</w:t>
      </w:r>
      <w:r w:rsidR="006D0BF5">
        <w:rPr>
          <w:vertAlign w:val="superscript"/>
        </w:rPr>
        <w:t>9</w:t>
      </w:r>
      <w:r w:rsidR="006D0BF5" w:rsidRPr="006D0BF5">
        <w:rPr>
          <w:vertAlign w:val="superscript"/>
        </w:rPr>
        <w:t>)</w:t>
      </w:r>
      <w:r w:rsidR="004F360B">
        <w:t xml:space="preserve"> </w:t>
      </w:r>
      <w:r w:rsidR="004F360B" w:rsidRPr="00806273">
        <w:t>(2 Pages)</w:t>
      </w:r>
      <w:bookmarkEnd w:id="11"/>
    </w:p>
    <w:p w14:paraId="708B656B" w14:textId="77777777" w:rsidR="003414BC" w:rsidRPr="003414BC" w:rsidRDefault="09770625" w:rsidP="003414BC">
      <w:pPr>
        <w:pStyle w:val="Subheading1"/>
      </w:pPr>
      <w:r>
        <w:t>Our Understanding</w:t>
      </w:r>
    </w:p>
    <w:p w14:paraId="2EBE9AC1" w14:textId="77777777" w:rsidR="00C37302" w:rsidRPr="00975FC4" w:rsidRDefault="00C37302" w:rsidP="00975FC4">
      <w:pPr>
        <w:pStyle w:val="BodyText"/>
      </w:pPr>
      <w:r>
        <w:rPr>
          <w:rStyle w:val="eop"/>
        </w:rPr>
        <w:t xml:space="preserve">CMS maintains an active SOP library — eight SOPs in the SOW Appendix C sample list (1095-A Consumer Disputes; CCHC Casework; ER&amp;R Batch Update Utility; ER&amp;R Business Rule Development; ER&amp;R Support Center; Issuer Enrollment &amp; Payment Dispute; Issuer Outreach; Unmatched I Records) — and a corresponding User Guide and Job Aid library (Appendix D, including 25+ named documents covering CCHC, CERRS, BUU coaching, DMI handling, language access, telephony, and consumer outreach scripting). Task 9 is the operating discipline that keeps every one of those documents current, propagates changes through training within the same cycle the change is introduced, and translates QA findings into measurable performance improvement. Three deliverables anchor the cycle: the Quality Assurance Plan delivered within 45 days of the start of the base period; the monthly Quality Assurance Report, Monthly Performance Report, and Business Process Improvement Report; and the SOP / User </w:t>
      </w:r>
      <w:r>
        <w:rPr>
          <w:rStyle w:val="eop"/>
        </w:rPr>
        <w:lastRenderedPageBreak/>
        <w:t>Guide / Job Aid updates submitted on the SOW-required monthly and quarterly cadences (with COR approval before any operational deployment).</w:t>
      </w:r>
    </w:p>
    <w:p w14:paraId="6143B2B5" w14:textId="77777777" w:rsidR="003414BC" w:rsidRPr="003414BC" w:rsidRDefault="09770625" w:rsidP="003414BC">
      <w:pPr>
        <w:pStyle w:val="Subheading1"/>
      </w:pPr>
      <w:r>
        <w:t>Our Approach</w:t>
      </w:r>
    </w:p>
    <w:tbl>
      <w:tblPr>
        <w:tblStyle w:val="TableGrid"/>
        <w:tblpPr w:leftFromText="180" w:rightFromText="180" w:vertAnchor="text" w:horzAnchor="margin" w:tblpXSpec="right" w:tblpY="-59"/>
        <w:tblOverlap w:val="never"/>
        <w:tblW w:w="2077"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88"/>
      </w:tblGrid>
      <w:tr w:rsidR="00975FC4" w14:paraId="4B74853F" w14:textId="77777777" w:rsidTr="00975FC4">
        <w:tc>
          <w:tcPr>
            <w:tcW w:w="3884" w:type="dxa"/>
          </w:tcPr>
          <w:p w14:paraId="7D2BA65D" w14:textId="77777777" w:rsidR="00975FC4" w:rsidRDefault="00975FC4" w:rsidP="00975FC4">
            <w:pPr>
              <w:pStyle w:val="FigureTitle"/>
            </w:pPr>
            <w:r>
              <w:t>Figure X.X-X. Provide Title.</w:t>
            </w:r>
          </w:p>
          <w:p w14:paraId="0E9A2B1C" w14:textId="77777777" w:rsidR="00975FC4" w:rsidRDefault="00975FC4" w:rsidP="00975FC4">
            <w:pPr>
              <w:pStyle w:val="FigureGraphic"/>
            </w:pPr>
            <w:r>
              <w:rPr>
                <w:noProof/>
              </w:rPr>
              <w:drawing>
                <wp:inline distT="0" distB="0" distL="0" distR="0" wp14:anchorId="536B7017" wp14:editId="5BB80389">
                  <wp:extent cx="2329180" cy="2329180"/>
                  <wp:effectExtent l="0" t="0" r="0" b="0"/>
                  <wp:docPr id="817046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329180" cy="2329180"/>
                          </a:xfrm>
                          <a:prstGeom prst="rect">
                            <a:avLst/>
                          </a:prstGeom>
                          <a:noFill/>
                        </pic:spPr>
                      </pic:pic>
                    </a:graphicData>
                  </a:graphic>
                </wp:inline>
              </w:drawing>
            </w:r>
          </w:p>
        </w:tc>
      </w:tr>
    </w:tbl>
    <w:p w14:paraId="5028A4F1" w14:textId="77777777" w:rsidR="0020358F" w:rsidRPr="003442AD" w:rsidRDefault="0020358F" w:rsidP="003442AD">
      <w:pPr>
        <w:pStyle w:val="BodyText"/>
      </w:pPr>
      <w:r w:rsidRPr="00CF0045">
        <w:t>Deloitte will operate Task 9 through a single integrated quality and analytics governance model. The model has four operating commitments. First, governed documentation lifecycle: every SOP, user guide, and job aid has a defined change trigger (regulatory update, system release, recurring QA finding, COR direction), an impact assessment that identifies affected workflows and personnel, a structured drafting and review workflow with named SME and operational reviewers, version control with full edit history, and COR approval before deployment. Second, KPI and OKR alignment: KPIs are derived from the SOW §3.9 data elements (a) through (p) — entity submissions, enrollee data accuracy, reason codes, effective dates, terminations, cancellations, plan-level accuracy, APTC/CSR validations, ASC X12N 834/820 reconciliation, error reports, error correction, error reporting, trending analysis, source/content of common inquiries, vulnerability identification, and additional CMS-identified elements — and refined with CMS at the business process improvement kick-off. OKRs cascade those KPIs to operational targets owned by named team leads.</w:t>
      </w:r>
    </w:p>
    <w:p w14:paraId="424C9056" w14:textId="77777777" w:rsidR="00C37302" w:rsidRDefault="0020358F" w:rsidP="003442AD">
      <w:pPr>
        <w:pStyle w:val="BodyText"/>
      </w:pPr>
      <w:r w:rsidRPr="001403F4">
        <w:t xml:space="preserve">Third, closed-loop continuous improvement: QA findings, defect trends, and stakeholder feedback flow into a single quality backlog managed in JIRA. Each item is triaged for root cause, </w:t>
      </w:r>
      <w:proofErr w:type="gramStart"/>
      <w:r w:rsidRPr="001403F4">
        <w:t>assigned</w:t>
      </w:r>
      <w:proofErr w:type="gramEnd"/>
      <w:r w:rsidRPr="001403F4">
        <w:t xml:space="preserve"> an owner, given a target closure date, and tracked through resolution with the corrective action documented. Recurring patterns trigger SOP updates, training refreshes, or system change requests rather than repeated remediation of the same defect. Fourth, decision-useful reporting: each of the </w:t>
      </w:r>
      <w:proofErr w:type="gramStart"/>
      <w:r w:rsidRPr="001403F4">
        <w:t>three monthly</w:t>
      </w:r>
      <w:proofErr w:type="gramEnd"/>
      <w:r w:rsidRPr="001403F4">
        <w:t xml:space="preserve"> reports </w:t>
      </w:r>
      <w:proofErr w:type="gramStart"/>
      <w:r w:rsidRPr="001403F4">
        <w:t>closes</w:t>
      </w:r>
      <w:proofErr w:type="gramEnd"/>
      <w:r w:rsidRPr="001403F4">
        <w:t xml:space="preserve"> with specific recommended CMS actions — proposed SOP changes, proposed business rule modifications, proposed system enhancements, or proposed coordination changes with other contractors — backed by the data that supports them. The methods, processes, and tools applied to each Task 9 deliverable are summarized in Table 1.2.8-1.</w:t>
      </w:r>
    </w:p>
    <w:p w14:paraId="0E4A0478" w14:textId="77777777" w:rsidR="00087006" w:rsidRPr="00AD34BF" w:rsidRDefault="00AD34BF" w:rsidP="00AD34BF">
      <w:pPr>
        <w:pStyle w:val="TableTitle"/>
      </w:pPr>
      <w:r>
        <w:t>Table 1.2.8-1. Quality Assurance Methods, Processes, and Tools.</w:t>
      </w:r>
    </w:p>
    <w:tbl>
      <w:tblPr>
        <w:tblStyle w:val="DeloitteTable2"/>
        <w:tblW w:w="0" w:type="auto"/>
        <w:tblLook w:val="06A0" w:firstRow="1" w:lastRow="0" w:firstColumn="1" w:lastColumn="0" w:noHBand="1" w:noVBand="1"/>
      </w:tblPr>
      <w:tblGrid>
        <w:gridCol w:w="2337"/>
        <w:gridCol w:w="2337"/>
        <w:gridCol w:w="2338"/>
        <w:gridCol w:w="2338"/>
      </w:tblGrid>
      <w:tr w:rsidR="00087006" w14:paraId="2CDB6F35" w14:textId="77777777" w:rsidTr="003442A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337" w:type="dxa"/>
          </w:tcPr>
          <w:p w14:paraId="489A1F2C" w14:textId="77777777" w:rsidR="00087006" w:rsidRDefault="00087006" w:rsidP="00087006">
            <w:pPr>
              <w:pStyle w:val="TableHeading"/>
            </w:pPr>
            <w:r w:rsidRPr="006D5AB5">
              <w:t xml:space="preserve">Deliverable</w:t>
            </w:r>
          </w:p>
        </w:tc>
        <w:tc>
          <w:tcPr>
            <w:tcW w:w="2337" w:type="dxa"/>
          </w:tcPr>
          <w:p w14:paraId="5BAAC1EF" w14:textId="77777777" w:rsidR="00087006" w:rsidRDefault="00087006" w:rsidP="00087006">
            <w:pPr>
              <w:pStyle w:val="TableHeading"/>
              <w:cnfStyle w:val="100000000000" w:firstRow="1" w:lastRow="0" w:firstColumn="0" w:lastColumn="0" w:oddVBand="0" w:evenVBand="0" w:oddHBand="0" w:evenHBand="0" w:firstRowFirstColumn="0" w:firstRowLastColumn="0" w:lastRowFirstColumn="0" w:lastRowLastColumn="0"/>
            </w:pPr>
            <w:r w:rsidRPr="006D5AB5">
              <w:t>Cadence &amp; Method</w:t>
            </w:r>
          </w:p>
        </w:tc>
        <w:tc>
          <w:tcPr>
            <w:tcW w:w="2338" w:type="dxa"/>
          </w:tcPr>
          <w:p w14:paraId="40DEDDB1" w14:textId="77777777" w:rsidR="00087006" w:rsidRDefault="00087006" w:rsidP="00087006">
            <w:pPr>
              <w:pStyle w:val="TableHeading"/>
              <w:cnfStyle w:val="100000000000" w:firstRow="1" w:lastRow="0" w:firstColumn="0" w:lastColumn="0" w:oddVBand="0" w:evenVBand="0" w:oddHBand="0" w:evenHBand="0" w:firstRowFirstColumn="0" w:firstRowLastColumn="0" w:lastRowFirstColumn="0" w:lastRowLastColumn="0"/>
            </w:pPr>
            <w:r w:rsidRPr="006D5AB5">
              <w:t>Process</w:t>
            </w:r>
          </w:p>
        </w:tc>
        <w:tc>
          <w:tcPr>
            <w:tcW w:w="2338" w:type="dxa"/>
          </w:tcPr>
          <w:p w14:paraId="40EBB068" w14:textId="77777777" w:rsidR="00087006" w:rsidRDefault="00087006" w:rsidP="00087006">
            <w:pPr>
              <w:pStyle w:val="TableHeading"/>
              <w:cnfStyle w:val="100000000000" w:firstRow="1" w:lastRow="0" w:firstColumn="0" w:lastColumn="0" w:oddVBand="0" w:evenVBand="0" w:oddHBand="0" w:evenHBand="0" w:firstRowFirstColumn="0" w:firstRowLastColumn="0" w:lastRowFirstColumn="0" w:lastRowLastColumn="0"/>
            </w:pPr>
            <w:r w:rsidRPr="006D5AB5">
              <w:t>Tools</w:t>
            </w:r>
          </w:p>
        </w:tc>
      </w:tr>
      <w:tr w:rsidR="00AD34BF" w14:paraId="4FD80846" w14:textId="77777777">
        <w:tc>
          <w:tcPr>
            <w:cnfStyle w:val="001000000000" w:firstRow="0" w:lastRow="0" w:firstColumn="1" w:lastColumn="0" w:oddVBand="0" w:evenVBand="0" w:oddHBand="0" w:evenHBand="0" w:firstRowFirstColumn="0" w:firstRowLastColumn="0" w:lastRowFirstColumn="0" w:lastRowLastColumn="0"/>
            <w:tcW w:w="2337" w:type="dxa"/>
            <w:vMerge w:val="restart"/>
          </w:tcPr>
          <w:p w14:paraId="79460D88" w14:textId="77777777" w:rsidR="00AD34BF" w:rsidRDefault="00AD34BF" w:rsidP="00087006">
            <w:pPr>
              <w:pStyle w:val="TableRowHeading"/>
            </w:pPr>
            <w:r w:rsidRPr="00087006">
              <w:t>QASP</w:t>
            </w:r>
          </w:p>
        </w:tc>
        <w:tc>
          <w:tcPr>
            <w:tcW w:w="2337" w:type="dxa"/>
          </w:tcPr>
          <w:p w14:paraId="0F820CFA" w14:textId="77777777" w:rsidR="00AD34BF" w:rsidRDefault="00AD34BF" w:rsidP="00087006">
            <w:pPr>
              <w:pStyle w:val="TableBody"/>
              <w:cnfStyle w:val="000000000000" w:firstRow="0" w:lastRow="0" w:firstColumn="0" w:lastColumn="0" w:oddVBand="0" w:evenVBand="0" w:oddHBand="0" w:evenHBand="0" w:firstRowFirstColumn="0" w:firstRowLastColumn="0" w:lastRowFirstColumn="0" w:lastRowLastColumn="0"/>
            </w:pPr>
            <w:r w:rsidRPr="008C1938">
              <w:t xml:space="preserve">On Time: Virtual meeting with COR, BO, Business Operations Team, Program Management Team and Incumbent Contractor</w:t>
            </w:r>
          </w:p>
        </w:tc>
        <w:tc>
          <w:tcPr>
            <w:tcW w:w="2338" w:type="dxa"/>
          </w:tcPr>
          <w:p w14:paraId="0B387BF6" w14:textId="77777777" w:rsidR="00AD34BF" w:rsidRDefault="00AD34BF" w:rsidP="00087006">
            <w:pPr>
              <w:pStyle w:val="TableBody"/>
              <w:cnfStyle w:val="000000000000" w:firstRow="0" w:lastRow="0" w:firstColumn="0" w:lastColumn="0" w:oddVBand="0" w:evenVBand="0" w:oddHBand="0" w:evenHBand="0" w:firstRowFirstColumn="0" w:firstRowLastColumn="0" w:lastRowFirstColumn="0" w:lastRowLastColumn="0"/>
            </w:pPr>
            <w:r>
              <w:rPr>
                <w:rStyle w:val="eop"/>
              </w:rPr>
              <w:t>1</w:t>
            </w:r>
            <w:r>
              <w:rPr>
                <w:rStyle w:val="eop"/>
              </w:rPr>
              <w:tab/>
              <w:t xml:space="preserve">Review current ER&amp;R QASP to identify any missed AQLs, SLAs, or KPIs. Locate relevant lessons learned and RAID log entries to discuss history.</w:t>
            </w:r>
          </w:p>
        </w:tc>
        <w:tc>
          <w:tcPr>
            <w:tcW w:w="2338" w:type="dxa"/>
          </w:tcPr>
          <w:p w14:paraId="10F83522" w14:textId="77777777" w:rsidR="00AD34BF" w:rsidRDefault="00AD34BF" w:rsidP="00087006">
            <w:pPr>
              <w:pStyle w:val="TableBody"/>
              <w:spacing w:after="0"/>
              <w:cnfStyle w:val="000000000000" w:firstRow="0" w:lastRow="0" w:firstColumn="0" w:lastColumn="0" w:oddVBand="0" w:evenVBand="0" w:oddHBand="0" w:evenHBand="0" w:firstRowFirstColumn="0" w:firstRowLastColumn="0" w:lastRowFirstColumn="0" w:lastRowLastColumn="0"/>
            </w:pPr>
            <w:r>
              <w:t>MS Word</w:t>
            </w:r>
          </w:p>
          <w:p w14:paraId="1D1B05A3" w14:textId="77777777" w:rsidR="00AD34BF" w:rsidRDefault="00AD34BF" w:rsidP="00087006">
            <w:pPr>
              <w:pStyle w:val="TableBody"/>
              <w:spacing w:after="0"/>
              <w:cnfStyle w:val="000000000000" w:firstRow="0" w:lastRow="0" w:firstColumn="0" w:lastColumn="0" w:oddVBand="0" w:evenVBand="0" w:oddHBand="0" w:evenHBand="0" w:firstRowFirstColumn="0" w:firstRowLastColumn="0" w:lastRowFirstColumn="0" w:lastRowLastColumn="0"/>
            </w:pPr>
            <w:r>
              <w:t xml:space="preserve">MS Teams</w:t>
            </w:r>
          </w:p>
          <w:p w14:paraId="30B3FF1B" w14:textId="77777777" w:rsidR="00AD34BF" w:rsidRDefault="00AD34BF" w:rsidP="00087006">
            <w:pPr>
              <w:pStyle w:val="TableBody"/>
              <w:spacing w:after="0"/>
              <w:cnfStyle w:val="000000000000" w:firstRow="0" w:lastRow="0" w:firstColumn="0" w:lastColumn="0" w:oddVBand="0" w:evenVBand="0" w:oddHBand="0" w:evenHBand="0" w:firstRowFirstColumn="0" w:firstRowLastColumn="0" w:lastRowFirstColumn="0" w:lastRowLastColumn="0"/>
            </w:pPr>
            <w:r>
              <w:t xml:space="preserve">MS Co Pilot</w:t>
            </w:r>
          </w:p>
          <w:p w14:paraId="044E6DD4" w14:textId="77777777" w:rsidR="00AD34BF" w:rsidRDefault="00AD34BF" w:rsidP="00087006">
            <w:pPr>
              <w:pStyle w:val="TableBody"/>
              <w:cnfStyle w:val="000000000000" w:firstRow="0" w:lastRow="0" w:firstColumn="0" w:lastColumn="0" w:oddVBand="0" w:evenVBand="0" w:oddHBand="0" w:evenHBand="0" w:firstRowFirstColumn="0" w:firstRowLastColumn="0" w:lastRowFirstColumn="0" w:lastRowLastColumn="0"/>
            </w:pPr>
          </w:p>
        </w:tc>
      </w:tr>
      <w:tr w:rsidR="00AD34BF" w14:paraId="70876933" w14:textId="77777777">
        <w:tc>
          <w:tcPr>
            <w:cnfStyle w:val="001000000000" w:firstRow="0" w:lastRow="0" w:firstColumn="1" w:lastColumn="0" w:oddVBand="0" w:evenVBand="0" w:oddHBand="0" w:evenHBand="0" w:firstRowFirstColumn="0" w:firstRowLastColumn="0" w:lastRowFirstColumn="0" w:lastRowLastColumn="0"/>
            <w:tcW w:w="2337" w:type="dxa"/>
            <w:vMerge/>
          </w:tcPr>
          <w:p w14:paraId="2DC2505B" w14:textId="77777777" w:rsidR="00AD34BF" w:rsidRDefault="00AD34BF" w:rsidP="00087006">
            <w:pPr>
              <w:pStyle w:val="TableRowHeading"/>
            </w:pPr>
          </w:p>
        </w:tc>
        <w:tc>
          <w:tcPr>
            <w:tcW w:w="2337" w:type="dxa"/>
          </w:tcPr>
          <w:p w14:paraId="12916E41" w14:textId="77777777" w:rsidR="00AD34BF" w:rsidRDefault="00AD34BF" w:rsidP="00087006">
            <w:pPr>
              <w:pStyle w:val="TableBody"/>
              <w:cnfStyle w:val="000000000000" w:firstRow="0" w:lastRow="0" w:firstColumn="0" w:lastColumn="0" w:oddVBand="0" w:evenVBand="0" w:oddHBand="0" w:evenHBand="0" w:firstRowFirstColumn="0" w:firstRowLastColumn="0" w:lastRowFirstColumn="0" w:lastRowLastColumn="0"/>
            </w:pPr>
            <w:r w:rsidRPr="008C1938">
              <w:t>Quarterly: Virtual meeting with COR, BO, Business Operations Team, Program Management Team</w:t>
            </w:r>
          </w:p>
        </w:tc>
        <w:tc>
          <w:tcPr>
            <w:tcW w:w="2338" w:type="dxa"/>
          </w:tcPr>
          <w:p w14:paraId="703F7A1E" w14:textId="77777777" w:rsidR="00AD34BF" w:rsidRDefault="00AD34BF" w:rsidP="00087006">
            <w:pPr>
              <w:pStyle w:val="TableBody"/>
              <w:cnfStyle w:val="000000000000" w:firstRow="0" w:lastRow="0" w:firstColumn="0" w:lastColumn="0" w:oddVBand="0" w:evenVBand="0" w:oddHBand="0" w:evenHBand="0" w:firstRowFirstColumn="0" w:firstRowLastColumn="0" w:lastRowFirstColumn="0" w:lastRowLastColumn="0"/>
            </w:pPr>
            <w:r>
              <w:rPr>
                <w:rStyle w:val="eop"/>
              </w:rPr>
              <w:t>2</w:t>
            </w:r>
            <w:r>
              <w:rPr>
                <w:rStyle w:val="eop"/>
              </w:rPr>
              <w:tab/>
              <w:t xml:space="preserve">Review and discuss draft QASP with emphasis on impact and relevance of AQLs, SLAs, or KPIs to ER&amp;R and submit proposed </w:t>
            </w:r>
            <w:r>
              <w:rPr>
                <w:rStyle w:val="eop"/>
              </w:rPr>
              <w:lastRenderedPageBreak/>
              <w:t xml:space="preserve">updates to the COR and request approval</w:t>
            </w:r>
          </w:p>
        </w:tc>
        <w:tc>
          <w:tcPr>
            <w:tcW w:w="2338" w:type="dxa"/>
          </w:tcPr>
          <w:p w14:paraId="4E3CCE2E" w14:textId="77777777" w:rsidR="00AD34BF" w:rsidRDefault="00AD34BF" w:rsidP="00087006">
            <w:pPr>
              <w:pStyle w:val="TableBody"/>
              <w:spacing w:after="0"/>
              <w:cnfStyle w:val="000000000000" w:firstRow="0" w:lastRow="0" w:firstColumn="0" w:lastColumn="0" w:oddVBand="0" w:evenVBand="0" w:oddHBand="0" w:evenHBand="0" w:firstRowFirstColumn="0" w:firstRowLastColumn="0" w:lastRowFirstColumn="0" w:lastRowLastColumn="0"/>
            </w:pPr>
            <w:r>
              <w:lastRenderedPageBreak/>
              <w:t>MS Word</w:t>
            </w:r>
          </w:p>
          <w:p w14:paraId="0DBE892A" w14:textId="77777777" w:rsidR="00AD34BF" w:rsidRDefault="00AD34BF" w:rsidP="00087006">
            <w:pPr>
              <w:pStyle w:val="TableBody"/>
              <w:spacing w:after="0"/>
              <w:cnfStyle w:val="000000000000" w:firstRow="0" w:lastRow="0" w:firstColumn="0" w:lastColumn="0" w:oddVBand="0" w:evenVBand="0" w:oddHBand="0" w:evenHBand="0" w:firstRowFirstColumn="0" w:firstRowLastColumn="0" w:lastRowFirstColumn="0" w:lastRowLastColumn="0"/>
            </w:pPr>
            <w:r>
              <w:t xml:space="preserve">MS Teams</w:t>
            </w:r>
          </w:p>
          <w:p w14:paraId="61A0CA8D" w14:textId="77777777" w:rsidR="00AD34BF" w:rsidRDefault="00AD34BF" w:rsidP="00087006">
            <w:pPr>
              <w:pStyle w:val="TableBody"/>
              <w:spacing w:after="0"/>
              <w:cnfStyle w:val="000000000000" w:firstRow="0" w:lastRow="0" w:firstColumn="0" w:lastColumn="0" w:oddVBand="0" w:evenVBand="0" w:oddHBand="0" w:evenHBand="0" w:firstRowFirstColumn="0" w:firstRowLastColumn="0" w:lastRowFirstColumn="0" w:lastRowLastColumn="0"/>
            </w:pPr>
            <w:r>
              <w:t xml:space="preserve">MS Co Pilot</w:t>
            </w:r>
          </w:p>
        </w:tc>
      </w:tr>
      <w:tr w:rsidR="00AD34BF" w14:paraId="72AE2D42" w14:textId="77777777">
        <w:tc>
          <w:tcPr>
            <w:cnfStyle w:val="001000000000" w:firstRow="0" w:lastRow="0" w:firstColumn="1" w:lastColumn="0" w:oddVBand="0" w:evenVBand="0" w:oddHBand="0" w:evenHBand="0" w:firstRowFirstColumn="0" w:firstRowLastColumn="0" w:lastRowFirstColumn="0" w:lastRowLastColumn="0"/>
            <w:tcW w:w="2337" w:type="dxa"/>
            <w:vMerge/>
          </w:tcPr>
          <w:p w14:paraId="15DBAB89" w14:textId="77777777" w:rsidR="00AD34BF" w:rsidRDefault="00AD34BF" w:rsidP="00087006">
            <w:pPr>
              <w:pStyle w:val="TableRowHeading"/>
            </w:pPr>
          </w:p>
        </w:tc>
        <w:tc>
          <w:tcPr>
            <w:tcW w:w="2337" w:type="dxa"/>
          </w:tcPr>
          <w:p w14:paraId="275070BA" w14:textId="77777777" w:rsidR="00AD34BF" w:rsidRDefault="00AD34BF" w:rsidP="00087006">
            <w:pPr>
              <w:pStyle w:val="TableBody"/>
              <w:cnfStyle w:val="000000000000" w:firstRow="0" w:lastRow="0" w:firstColumn="0" w:lastColumn="0" w:oddVBand="0" w:evenVBand="0" w:oddHBand="0" w:evenHBand="0" w:firstRowFirstColumn="0" w:firstRowLastColumn="0" w:lastRowFirstColumn="0" w:lastRowLastColumn="0"/>
            </w:pPr>
            <w:r w:rsidRPr="008C1938">
              <w:t xml:space="preserve">Quarterly: Publication to CMS intranet</w:t>
            </w:r>
          </w:p>
        </w:tc>
        <w:tc>
          <w:tcPr>
            <w:tcW w:w="2338" w:type="dxa"/>
          </w:tcPr>
          <w:p w14:paraId="54014DC3" w14:textId="77777777" w:rsidR="00AD34BF" w:rsidRDefault="00AD34BF" w:rsidP="00087006">
            <w:pPr>
              <w:pStyle w:val="TableBody"/>
              <w:cnfStyle w:val="000000000000" w:firstRow="0" w:lastRow="0" w:firstColumn="0" w:lastColumn="0" w:oddVBand="0" w:evenVBand="0" w:oddHBand="0" w:evenHBand="0" w:firstRowFirstColumn="0" w:firstRowLastColumn="0" w:lastRowFirstColumn="0" w:lastRowLastColumn="0"/>
            </w:pPr>
            <w:r>
              <w:rPr>
                <w:rStyle w:val="eop"/>
              </w:rPr>
              <w:t>3</w:t>
            </w:r>
            <w:r>
              <w:rPr>
                <w:rStyle w:val="eop"/>
              </w:rPr>
              <w:tab/>
              <w:t>Revise and publish QASP</w:t>
            </w:r>
          </w:p>
        </w:tc>
        <w:tc>
          <w:tcPr>
            <w:tcW w:w="2338" w:type="dxa"/>
          </w:tcPr>
          <w:p w14:paraId="51110289" w14:textId="77777777" w:rsidR="00AD34BF" w:rsidRDefault="00AD34BF" w:rsidP="00087006">
            <w:pPr>
              <w:pStyle w:val="TableBody"/>
              <w:spacing w:after="0"/>
              <w:cnfStyle w:val="000000000000" w:firstRow="0" w:lastRow="0" w:firstColumn="0" w:lastColumn="0" w:oddVBand="0" w:evenVBand="0" w:oddHBand="0" w:evenHBand="0" w:firstRowFirstColumn="0" w:firstRowLastColumn="0" w:lastRowFirstColumn="0" w:lastRowLastColumn="0"/>
            </w:pPr>
            <w:r>
              <w:t>MS Word</w:t>
            </w:r>
          </w:p>
          <w:p w14:paraId="149B33AA" w14:textId="77777777" w:rsidR="00AD34BF" w:rsidRDefault="00AD34BF" w:rsidP="00087006">
            <w:pPr>
              <w:pStyle w:val="TableBody"/>
              <w:spacing w:after="0"/>
              <w:cnfStyle w:val="000000000000" w:firstRow="0" w:lastRow="0" w:firstColumn="0" w:lastColumn="0" w:oddVBand="0" w:evenVBand="0" w:oddHBand="0" w:evenHBand="0" w:firstRowFirstColumn="0" w:firstRowLastColumn="0" w:lastRowFirstColumn="0" w:lastRowLastColumn="0"/>
            </w:pPr>
            <w:r>
              <w:t xml:space="preserve">MS Teams</w:t>
            </w:r>
          </w:p>
          <w:p w14:paraId="2119B7D5" w14:textId="77777777" w:rsidR="00AD34BF" w:rsidRDefault="00AD34BF" w:rsidP="00087006">
            <w:pPr>
              <w:pStyle w:val="TableBody"/>
              <w:spacing w:after="0"/>
              <w:cnfStyle w:val="000000000000" w:firstRow="0" w:lastRow="0" w:firstColumn="0" w:lastColumn="0" w:oddVBand="0" w:evenVBand="0" w:oddHBand="0" w:evenHBand="0" w:firstRowFirstColumn="0" w:firstRowLastColumn="0" w:lastRowFirstColumn="0" w:lastRowLastColumn="0"/>
            </w:pPr>
            <w:r>
              <w:t xml:space="preserve">MS Co Pilot</w:t>
            </w:r>
          </w:p>
        </w:tc>
      </w:tr>
      <w:tr w:rsidR="00AD34BF" w14:paraId="35C7FB1A" w14:textId="77777777">
        <w:tc>
          <w:tcPr>
            <w:cnfStyle w:val="001000000000" w:firstRow="0" w:lastRow="0" w:firstColumn="1" w:lastColumn="0" w:oddVBand="0" w:evenVBand="0" w:oddHBand="0" w:evenHBand="0" w:firstRowFirstColumn="0" w:firstRowLastColumn="0" w:lastRowFirstColumn="0" w:lastRowLastColumn="0"/>
            <w:tcW w:w="2337" w:type="dxa"/>
            <w:vMerge w:val="restart"/>
          </w:tcPr>
          <w:p w14:paraId="1F0B36BD" w14:textId="77777777" w:rsidR="00AD34BF" w:rsidRDefault="00AD34BF" w:rsidP="00087006">
            <w:pPr>
              <w:pStyle w:val="TableRowHeading"/>
            </w:pPr>
            <w:r w:rsidRPr="00087006">
              <w:t>SOPs, User Guides, and Job Aids</w:t>
            </w:r>
          </w:p>
        </w:tc>
        <w:tc>
          <w:tcPr>
            <w:tcW w:w="2337" w:type="dxa"/>
          </w:tcPr>
          <w:p w14:paraId="0C3FAA95" w14:textId="77777777" w:rsidR="00AD34BF" w:rsidRDefault="00AD34BF" w:rsidP="00087006">
            <w:pPr>
              <w:pStyle w:val="TableBody"/>
              <w:cnfStyle w:val="000000000000" w:firstRow="0" w:lastRow="0" w:firstColumn="0" w:lastColumn="0" w:oddVBand="0" w:evenVBand="0" w:oddHBand="0" w:evenHBand="0" w:firstRowFirstColumn="0" w:firstRowLastColumn="0" w:lastRowFirstColumn="0" w:lastRowLastColumn="0"/>
            </w:pPr>
            <w:r w:rsidRPr="00016600">
              <w:t>Quarterly: Virtual meeting with COR, BO, Business Operations Team and Program Management Team</w:t>
            </w:r>
          </w:p>
        </w:tc>
        <w:tc>
          <w:tcPr>
            <w:tcW w:w="2338" w:type="dxa"/>
          </w:tcPr>
          <w:p w14:paraId="017FD945" w14:textId="77777777" w:rsidR="00AD34BF" w:rsidRDefault="00AD34BF" w:rsidP="00087006">
            <w:pPr>
              <w:pStyle w:val="TableBody"/>
              <w:cnfStyle w:val="000000000000" w:firstRow="0" w:lastRow="0" w:firstColumn="0" w:lastColumn="0" w:oddVBand="0" w:evenVBand="0" w:oddHBand="0" w:evenHBand="0" w:firstRowFirstColumn="0" w:firstRowLastColumn="0" w:lastRowFirstColumn="0" w:lastRowLastColumn="0"/>
            </w:pPr>
            <w:r>
              <w:rPr>
                <w:rStyle w:val="eop"/>
              </w:rPr>
              <w:t>1</w:t>
            </w:r>
            <w:r>
              <w:rPr>
                <w:rStyle w:val="eop"/>
              </w:rPr>
              <w:tab/>
              <w:t>Identify, record, and review user groups for each document</w:t>
            </w:r>
          </w:p>
        </w:tc>
        <w:tc>
          <w:tcPr>
            <w:tcW w:w="2338" w:type="dxa"/>
          </w:tcPr>
          <w:p w14:paraId="20BED5F4" w14:textId="77777777" w:rsidR="00AD34BF" w:rsidRDefault="00AD34BF" w:rsidP="00087006">
            <w:pPr>
              <w:pStyle w:val="TableBody"/>
              <w:spacing w:after="0"/>
              <w:cnfStyle w:val="000000000000" w:firstRow="0" w:lastRow="0" w:firstColumn="0" w:lastColumn="0" w:oddVBand="0" w:evenVBand="0" w:oddHBand="0" w:evenHBand="0" w:firstRowFirstColumn="0" w:firstRowLastColumn="0" w:lastRowFirstColumn="0" w:lastRowLastColumn="0"/>
            </w:pPr>
            <w:r>
              <w:t xml:space="preserve">MS Teams</w:t>
            </w:r>
          </w:p>
          <w:p w14:paraId="5422B9B9" w14:textId="77777777" w:rsidR="00AD34BF" w:rsidRDefault="00AD34BF" w:rsidP="00087006">
            <w:pPr>
              <w:pStyle w:val="TableBody"/>
              <w:spacing w:after="0"/>
              <w:cnfStyle w:val="000000000000" w:firstRow="0" w:lastRow="0" w:firstColumn="0" w:lastColumn="0" w:oddVBand="0" w:evenVBand="0" w:oddHBand="0" w:evenHBand="0" w:firstRowFirstColumn="0" w:firstRowLastColumn="0" w:lastRowFirstColumn="0" w:lastRowLastColumn="0"/>
            </w:pPr>
            <w:r>
              <w:t>MS Excel</w:t>
            </w:r>
          </w:p>
          <w:p w14:paraId="533BC982" w14:textId="77777777" w:rsidR="00AD34BF" w:rsidRDefault="00AD34BF" w:rsidP="00087006">
            <w:pPr>
              <w:pStyle w:val="TableBody"/>
              <w:spacing w:after="0"/>
              <w:cnfStyle w:val="000000000000" w:firstRow="0" w:lastRow="0" w:firstColumn="0" w:lastColumn="0" w:oddVBand="0" w:evenVBand="0" w:oddHBand="0" w:evenHBand="0" w:firstRowFirstColumn="0" w:firstRowLastColumn="0" w:lastRowFirstColumn="0" w:lastRowLastColumn="0"/>
            </w:pPr>
            <w:r>
              <w:t xml:space="preserve">MS Co Pilot</w:t>
            </w:r>
          </w:p>
          <w:p w14:paraId="37AE538C" w14:textId="77777777" w:rsidR="00AD34BF" w:rsidRDefault="00AD34BF" w:rsidP="00087006">
            <w:pPr>
              <w:pStyle w:val="TableBody"/>
              <w:spacing w:after="0"/>
              <w:cnfStyle w:val="000000000000" w:firstRow="0" w:lastRow="0" w:firstColumn="0" w:lastColumn="0" w:oddVBand="0" w:evenVBand="0" w:oddHBand="0" w:evenHBand="0" w:firstRowFirstColumn="0" w:firstRowLastColumn="0" w:lastRowFirstColumn="0" w:lastRowLastColumn="0"/>
            </w:pPr>
            <w:r>
              <w:t>QA Checklist</w:t>
            </w:r>
          </w:p>
        </w:tc>
      </w:tr>
      <w:tr w:rsidR="00AD34BF" w14:paraId="2606A8B5" w14:textId="77777777">
        <w:tc>
          <w:tcPr>
            <w:cnfStyle w:val="001000000000" w:firstRow="0" w:lastRow="0" w:firstColumn="1" w:lastColumn="0" w:oddVBand="0" w:evenVBand="0" w:oddHBand="0" w:evenHBand="0" w:firstRowFirstColumn="0" w:firstRowLastColumn="0" w:lastRowFirstColumn="0" w:lastRowLastColumn="0"/>
            <w:tcW w:w="2337" w:type="dxa"/>
            <w:vMerge/>
          </w:tcPr>
          <w:p w14:paraId="53F8D4BC" w14:textId="77777777" w:rsidR="00AD34BF" w:rsidRPr="00087006" w:rsidRDefault="00AD34BF" w:rsidP="00087006">
            <w:pPr>
              <w:pStyle w:val="TableRowHeading"/>
            </w:pPr>
          </w:p>
        </w:tc>
        <w:tc>
          <w:tcPr>
            <w:tcW w:w="2337" w:type="dxa"/>
          </w:tcPr>
          <w:p w14:paraId="0C06044C" w14:textId="77777777" w:rsidR="00AD34BF" w:rsidRDefault="00AD34BF" w:rsidP="00087006">
            <w:pPr>
              <w:pStyle w:val="TableBody"/>
              <w:cnfStyle w:val="000000000000" w:firstRow="0" w:lastRow="0" w:firstColumn="0" w:lastColumn="0" w:oddVBand="0" w:evenVBand="0" w:oddHBand="0" w:evenHBand="0" w:firstRowFirstColumn="0" w:firstRowLastColumn="0" w:lastRowFirstColumn="0" w:lastRowLastColumn="0"/>
            </w:pPr>
            <w:r w:rsidRPr="00016600">
              <w:t>Monthly: Virtual focus groups with primary users (Case workers, Agents etc.) per session, GTL, Program Management Team</w:t>
            </w:r>
          </w:p>
        </w:tc>
        <w:tc>
          <w:tcPr>
            <w:tcW w:w="2338" w:type="dxa"/>
          </w:tcPr>
          <w:p w14:paraId="5DDF7C79" w14:textId="77777777" w:rsidR="00AD34BF" w:rsidRDefault="00AD34BF" w:rsidP="00087006">
            <w:pPr>
              <w:pStyle w:val="TableBody"/>
              <w:cnfStyle w:val="000000000000" w:firstRow="0" w:lastRow="0" w:firstColumn="0" w:lastColumn="0" w:oddVBand="0" w:evenVBand="0" w:oddHBand="0" w:evenHBand="0" w:firstRowFirstColumn="0" w:firstRowLastColumn="0" w:lastRowFirstColumn="0" w:lastRowLastColumn="0"/>
            </w:pPr>
            <w:r>
              <w:rPr>
                <w:rStyle w:val="eop"/>
              </w:rPr>
              <w:t>2</w:t>
            </w:r>
            <w:r>
              <w:rPr>
                <w:rStyle w:val="eop"/>
              </w:rPr>
              <w:tab/>
              <w:t xml:space="preserve">Request feedback on SOP design, recent policy change, or suggestions based on experience</w:t>
            </w:r>
          </w:p>
        </w:tc>
        <w:tc>
          <w:tcPr>
            <w:tcW w:w="2338" w:type="dxa"/>
          </w:tcPr>
          <w:p w14:paraId="61B715E1" w14:textId="77777777" w:rsidR="00AD34BF" w:rsidRDefault="00AD34BF" w:rsidP="00087006">
            <w:pPr>
              <w:pStyle w:val="TableBody"/>
              <w:spacing w:after="0"/>
              <w:cnfStyle w:val="000000000000" w:firstRow="0" w:lastRow="0" w:firstColumn="0" w:lastColumn="0" w:oddVBand="0" w:evenVBand="0" w:oddHBand="0" w:evenHBand="0" w:firstRowFirstColumn="0" w:firstRowLastColumn="0" w:lastRowFirstColumn="0" w:lastRowLastColumn="0"/>
            </w:pPr>
            <w:r>
              <w:t xml:space="preserve">MS Teams</w:t>
            </w:r>
          </w:p>
          <w:p w14:paraId="47CF5678" w14:textId="77777777" w:rsidR="00AD34BF" w:rsidRDefault="00AD34BF" w:rsidP="00087006">
            <w:pPr>
              <w:pStyle w:val="TableBody"/>
              <w:spacing w:after="0"/>
              <w:cnfStyle w:val="000000000000" w:firstRow="0" w:lastRow="0" w:firstColumn="0" w:lastColumn="0" w:oddVBand="0" w:evenVBand="0" w:oddHBand="0" w:evenHBand="0" w:firstRowFirstColumn="0" w:firstRowLastColumn="0" w:lastRowFirstColumn="0" w:lastRowLastColumn="0"/>
            </w:pPr>
            <w:r>
              <w:t>MS Co Pilot</w:t>
            </w:r>
          </w:p>
          <w:p w14:paraId="78350B7D" w14:textId="77777777" w:rsidR="00AD34BF" w:rsidRDefault="00AD34BF" w:rsidP="00087006">
            <w:pPr>
              <w:pStyle w:val="TableBody"/>
              <w:spacing w:after="0"/>
              <w:cnfStyle w:val="000000000000" w:firstRow="0" w:lastRow="0" w:firstColumn="0" w:lastColumn="0" w:oddVBand="0" w:evenVBand="0" w:oddHBand="0" w:evenHBand="0" w:firstRowFirstColumn="0" w:firstRowLastColumn="0" w:lastRowFirstColumn="0" w:lastRowLastColumn="0"/>
            </w:pPr>
            <w:r>
              <w:t>MS PowerPoint</w:t>
            </w:r>
          </w:p>
        </w:tc>
      </w:tr>
      <w:tr w:rsidR="00AD34BF" w14:paraId="267D4EB6" w14:textId="77777777">
        <w:tc>
          <w:tcPr>
            <w:cnfStyle w:val="001000000000" w:firstRow="0" w:lastRow="0" w:firstColumn="1" w:lastColumn="0" w:oddVBand="0" w:evenVBand="0" w:oddHBand="0" w:evenHBand="0" w:firstRowFirstColumn="0" w:firstRowLastColumn="0" w:lastRowFirstColumn="0" w:lastRowLastColumn="0"/>
            <w:tcW w:w="2337" w:type="dxa"/>
            <w:vMerge/>
          </w:tcPr>
          <w:p w14:paraId="6882E99D" w14:textId="77777777" w:rsidR="00AD34BF" w:rsidRPr="00087006" w:rsidRDefault="00AD34BF" w:rsidP="00087006">
            <w:pPr>
              <w:pStyle w:val="TableRowHeading"/>
            </w:pPr>
          </w:p>
        </w:tc>
        <w:tc>
          <w:tcPr>
            <w:tcW w:w="2337" w:type="dxa"/>
          </w:tcPr>
          <w:p w14:paraId="01491F47" w14:textId="77777777" w:rsidR="00AD34BF" w:rsidRDefault="00AD34BF" w:rsidP="00087006">
            <w:pPr>
              <w:pStyle w:val="TableBody"/>
              <w:cnfStyle w:val="000000000000" w:firstRow="0" w:lastRow="0" w:firstColumn="0" w:lastColumn="0" w:oddVBand="0" w:evenVBand="0" w:oddHBand="0" w:evenHBand="0" w:firstRowFirstColumn="0" w:firstRowLastColumn="0" w:lastRowFirstColumn="0" w:lastRowLastColumn="0"/>
            </w:pPr>
            <w:r w:rsidRPr="00016600">
              <w:t>Monthly: COR meeting, Business Operations Team and Program Management Team</w:t>
            </w:r>
          </w:p>
        </w:tc>
        <w:tc>
          <w:tcPr>
            <w:tcW w:w="2338" w:type="dxa"/>
          </w:tcPr>
          <w:p w14:paraId="6D41A834" w14:textId="77777777" w:rsidR="00AD34BF" w:rsidRDefault="00AD34BF" w:rsidP="00087006">
            <w:pPr>
              <w:pStyle w:val="TableBody"/>
              <w:cnfStyle w:val="000000000000" w:firstRow="0" w:lastRow="0" w:firstColumn="0" w:lastColumn="0" w:oddVBand="0" w:evenVBand="0" w:oddHBand="0" w:evenHBand="0" w:firstRowFirstColumn="0" w:firstRowLastColumn="0" w:lastRowFirstColumn="0" w:lastRowLastColumn="0"/>
            </w:pPr>
            <w:r>
              <w:rPr>
                <w:rStyle w:val="eop"/>
              </w:rPr>
              <w:t>3</w:t>
            </w:r>
            <w:r>
              <w:rPr>
                <w:rStyle w:val="eop"/>
              </w:rPr>
              <w:tab/>
              <w:t xml:space="preserve">Summarize design feedback and present recommended updates</w:t>
            </w:r>
          </w:p>
        </w:tc>
        <w:tc>
          <w:tcPr>
            <w:tcW w:w="2338" w:type="dxa"/>
          </w:tcPr>
          <w:p w14:paraId="0ADEC2B0" w14:textId="77777777" w:rsidR="00AD34BF" w:rsidRDefault="00AD34BF" w:rsidP="00087006">
            <w:pPr>
              <w:pStyle w:val="TableBody"/>
              <w:spacing w:after="0"/>
              <w:cnfStyle w:val="000000000000" w:firstRow="0" w:lastRow="0" w:firstColumn="0" w:lastColumn="0" w:oddVBand="0" w:evenVBand="0" w:oddHBand="0" w:evenHBand="0" w:firstRowFirstColumn="0" w:firstRowLastColumn="0" w:lastRowFirstColumn="0" w:lastRowLastColumn="0"/>
            </w:pPr>
            <w:r>
              <w:t xml:space="preserve">MS Teams</w:t>
            </w:r>
          </w:p>
          <w:p w14:paraId="1EDF9941" w14:textId="77777777" w:rsidR="00AD34BF" w:rsidRDefault="00AD34BF" w:rsidP="00087006">
            <w:pPr>
              <w:pStyle w:val="TableBody"/>
              <w:spacing w:after="0"/>
              <w:cnfStyle w:val="000000000000" w:firstRow="0" w:lastRow="0" w:firstColumn="0" w:lastColumn="0" w:oddVBand="0" w:evenVBand="0" w:oddHBand="0" w:evenHBand="0" w:firstRowFirstColumn="0" w:firstRowLastColumn="0" w:lastRowFirstColumn="0" w:lastRowLastColumn="0"/>
            </w:pPr>
            <w:r>
              <w:t>MS Co Pilot</w:t>
            </w:r>
          </w:p>
          <w:p w14:paraId="030718C0" w14:textId="77777777" w:rsidR="00AD34BF" w:rsidRDefault="00AD34BF" w:rsidP="00087006">
            <w:pPr>
              <w:pStyle w:val="TableBody"/>
              <w:spacing w:after="0"/>
              <w:cnfStyle w:val="000000000000" w:firstRow="0" w:lastRow="0" w:firstColumn="0" w:lastColumn="0" w:oddVBand="0" w:evenVBand="0" w:oddHBand="0" w:evenHBand="0" w:firstRowFirstColumn="0" w:firstRowLastColumn="0" w:lastRowFirstColumn="0" w:lastRowLastColumn="0"/>
            </w:pPr>
            <w:r>
              <w:t>MS PowerPoint</w:t>
            </w:r>
          </w:p>
          <w:p w14:paraId="424D31D3" w14:textId="77777777" w:rsidR="00AD34BF" w:rsidRDefault="00AD34BF" w:rsidP="00087006">
            <w:pPr>
              <w:pStyle w:val="TableBody"/>
              <w:spacing w:after="0"/>
              <w:cnfStyle w:val="000000000000" w:firstRow="0" w:lastRow="0" w:firstColumn="0" w:lastColumn="0" w:oddVBand="0" w:evenVBand="0" w:oddHBand="0" w:evenHBand="0" w:firstRowFirstColumn="0" w:firstRowLastColumn="0" w:lastRowFirstColumn="0" w:lastRowLastColumn="0"/>
            </w:pPr>
            <w:r>
              <w:t>QA Checklist</w:t>
            </w:r>
          </w:p>
        </w:tc>
      </w:tr>
      <w:tr w:rsidR="00AD34BF" w14:paraId="7C19BCF9" w14:textId="77777777">
        <w:tc>
          <w:tcPr>
            <w:cnfStyle w:val="001000000000" w:firstRow="0" w:lastRow="0" w:firstColumn="1" w:lastColumn="0" w:oddVBand="0" w:evenVBand="0" w:oddHBand="0" w:evenHBand="0" w:firstRowFirstColumn="0" w:firstRowLastColumn="0" w:lastRowFirstColumn="0" w:lastRowLastColumn="0"/>
            <w:tcW w:w="2337" w:type="dxa"/>
            <w:vMerge/>
          </w:tcPr>
          <w:p w14:paraId="30416B8B" w14:textId="77777777" w:rsidR="00AD34BF" w:rsidRPr="00087006" w:rsidRDefault="00AD34BF" w:rsidP="00087006">
            <w:pPr>
              <w:pStyle w:val="TableRowHeading"/>
            </w:pPr>
          </w:p>
        </w:tc>
        <w:tc>
          <w:tcPr>
            <w:tcW w:w="2337" w:type="dxa"/>
          </w:tcPr>
          <w:p w14:paraId="58C77BA7" w14:textId="77777777" w:rsidR="00AD34BF" w:rsidRDefault="00AD34BF" w:rsidP="00087006">
            <w:pPr>
              <w:pStyle w:val="TableBody"/>
              <w:cnfStyle w:val="000000000000" w:firstRow="0" w:lastRow="0" w:firstColumn="0" w:lastColumn="0" w:oddVBand="0" w:evenVBand="0" w:oddHBand="0" w:evenHBand="0" w:firstRowFirstColumn="0" w:firstRowLastColumn="0" w:lastRowFirstColumn="0" w:lastRowLastColumn="0"/>
            </w:pPr>
            <w:r w:rsidRPr="00016600">
              <w:t>Monthly: Program Management Team</w:t>
            </w:r>
          </w:p>
        </w:tc>
        <w:tc>
          <w:tcPr>
            <w:tcW w:w="2338" w:type="dxa"/>
          </w:tcPr>
          <w:p w14:paraId="77DF8C6F" w14:textId="77777777" w:rsidR="00AD34BF" w:rsidRDefault="00AD34BF" w:rsidP="00087006">
            <w:pPr>
              <w:pStyle w:val="TableBody"/>
              <w:cnfStyle w:val="000000000000" w:firstRow="0" w:lastRow="0" w:firstColumn="0" w:lastColumn="0" w:oddVBand="0" w:evenVBand="0" w:oddHBand="0" w:evenHBand="0" w:firstRowFirstColumn="0" w:firstRowLastColumn="0" w:lastRowFirstColumn="0" w:lastRowLastColumn="0"/>
            </w:pPr>
            <w:r>
              <w:rPr>
                <w:rStyle w:val="eop"/>
              </w:rPr>
              <w:t>4</w:t>
            </w:r>
            <w:r>
              <w:rPr>
                <w:rStyle w:val="eop"/>
              </w:rPr>
              <w:tab/>
              <w:t xml:space="preserve">Submit proposed updates to the COR and request approval</w:t>
            </w:r>
          </w:p>
        </w:tc>
        <w:tc>
          <w:tcPr>
            <w:tcW w:w="2338" w:type="dxa"/>
          </w:tcPr>
          <w:p w14:paraId="561B6533" w14:textId="77777777" w:rsidR="00AD34BF" w:rsidRDefault="00AD34BF" w:rsidP="00AD34BF">
            <w:pPr>
              <w:pStyle w:val="TableBody"/>
              <w:spacing w:after="0"/>
              <w:cnfStyle w:val="000000000000" w:firstRow="0" w:lastRow="0" w:firstColumn="0" w:lastColumn="0" w:oddVBand="0" w:evenVBand="0" w:oddHBand="0" w:evenHBand="0" w:firstRowFirstColumn="0" w:firstRowLastColumn="0" w:lastRowFirstColumn="0" w:lastRowLastColumn="0"/>
            </w:pPr>
            <w:r>
              <w:t>MS Word</w:t>
            </w:r>
          </w:p>
          <w:p w14:paraId="74063E80" w14:textId="77777777" w:rsidR="00AD34BF" w:rsidRDefault="00AD34BF" w:rsidP="00AD34BF">
            <w:pPr>
              <w:pStyle w:val="TableBody"/>
              <w:spacing w:after="0"/>
              <w:cnfStyle w:val="000000000000" w:firstRow="0" w:lastRow="0" w:firstColumn="0" w:lastColumn="0" w:oddVBand="0" w:evenVBand="0" w:oddHBand="0" w:evenHBand="0" w:firstRowFirstColumn="0" w:firstRowLastColumn="0" w:lastRowFirstColumn="0" w:lastRowLastColumn="0"/>
            </w:pPr>
            <w:r>
              <w:t>CMS Outlook</w:t>
            </w:r>
          </w:p>
          <w:p w14:paraId="2E98A0B3" w14:textId="77777777" w:rsidR="00AD34BF" w:rsidRPr="00AD34BF" w:rsidRDefault="00AD34BF" w:rsidP="00AD34BF">
            <w:pPr>
              <w:pStyle w:val="TableBody"/>
              <w:spacing w:after="0"/>
              <w:cnfStyle w:val="000000000000" w:firstRow="0" w:lastRow="0" w:firstColumn="0" w:lastColumn="0" w:oddVBand="0" w:evenVBand="0" w:oddHBand="0" w:evenHBand="0" w:firstRowFirstColumn="0" w:firstRowLastColumn="0" w:lastRowFirstColumn="0" w:lastRowLastColumn="0"/>
            </w:pPr>
            <w:r w:rsidRPr="00AD34BF">
              <w:t xml:space="preserve">CMS SharePoint</w:t>
            </w:r>
          </w:p>
          <w:p w14:paraId="3059B198" w14:textId="77777777" w:rsidR="00AD34BF" w:rsidRDefault="00AD34BF" w:rsidP="00AD34BF">
            <w:pPr>
              <w:pStyle w:val="TableBody"/>
              <w:spacing w:after="0"/>
              <w:cnfStyle w:val="000000000000" w:firstRow="0" w:lastRow="0" w:firstColumn="0" w:lastColumn="0" w:oddVBand="0" w:evenVBand="0" w:oddHBand="0" w:evenHBand="0" w:firstRowFirstColumn="0" w:firstRowLastColumn="0" w:lastRowFirstColumn="0" w:lastRowLastColumn="0"/>
            </w:pPr>
            <w:r>
              <w:t xml:space="preserve">CMS Slack</w:t>
            </w:r>
          </w:p>
          <w:p w14:paraId="7BFEE164" w14:textId="77777777" w:rsidR="00AD34BF" w:rsidRDefault="00AD34BF" w:rsidP="00AD34BF">
            <w:pPr>
              <w:pStyle w:val="TableBody"/>
              <w:spacing w:after="0"/>
              <w:cnfStyle w:val="000000000000" w:firstRow="0" w:lastRow="0" w:firstColumn="0" w:lastColumn="0" w:oddVBand="0" w:evenVBand="0" w:oddHBand="0" w:evenHBand="0" w:firstRowFirstColumn="0" w:firstRowLastColumn="0" w:lastRowFirstColumn="0" w:lastRowLastColumn="0"/>
            </w:pPr>
            <w:r>
              <w:t>QA Checklist</w:t>
            </w:r>
          </w:p>
        </w:tc>
      </w:tr>
      <w:tr w:rsidR="00AD34BF" w14:paraId="40C33104" w14:textId="77777777">
        <w:tc>
          <w:tcPr>
            <w:cnfStyle w:val="001000000000" w:firstRow="0" w:lastRow="0" w:firstColumn="1" w:lastColumn="0" w:oddVBand="0" w:evenVBand="0" w:oddHBand="0" w:evenHBand="0" w:firstRowFirstColumn="0" w:firstRowLastColumn="0" w:lastRowFirstColumn="0" w:lastRowLastColumn="0"/>
            <w:tcW w:w="2337" w:type="dxa"/>
            <w:vMerge/>
          </w:tcPr>
          <w:p w14:paraId="0273A235" w14:textId="77777777" w:rsidR="00AD34BF" w:rsidRPr="00087006" w:rsidRDefault="00AD34BF" w:rsidP="00AD34BF">
            <w:pPr>
              <w:pStyle w:val="TableRowHeading"/>
              <w:spacing w:after="0"/>
            </w:pPr>
          </w:p>
        </w:tc>
        <w:tc>
          <w:tcPr>
            <w:tcW w:w="2337" w:type="dxa"/>
          </w:tcPr>
          <w:p w14:paraId="29228793" w14:textId="77777777" w:rsidR="00AD34BF" w:rsidRDefault="00AD34BF" w:rsidP="00AD34BF">
            <w:pPr>
              <w:pStyle w:val="TableBody"/>
              <w:spacing w:after="0"/>
              <w:cnfStyle w:val="000000000000" w:firstRow="0" w:lastRow="0" w:firstColumn="0" w:lastColumn="0" w:oddVBand="0" w:evenVBand="0" w:oddHBand="0" w:evenHBand="0" w:firstRowFirstColumn="0" w:firstRowLastColumn="0" w:lastRowFirstColumn="0" w:lastRowLastColumn="0"/>
            </w:pPr>
            <w:r w:rsidRPr="00016600">
              <w:t>Monthly: Program Management Team</w:t>
            </w:r>
          </w:p>
        </w:tc>
        <w:tc>
          <w:tcPr>
            <w:tcW w:w="2338" w:type="dxa"/>
          </w:tcPr>
          <w:p w14:paraId="2CB7CE59" w14:textId="77777777" w:rsidR="00AD34BF" w:rsidRDefault="00AD34BF" w:rsidP="00AD34BF">
            <w:pPr>
              <w:pStyle w:val="TableBody"/>
              <w:spacing w:after="0"/>
              <w:cnfStyle w:val="000000000000" w:firstRow="0" w:lastRow="0" w:firstColumn="0" w:lastColumn="0" w:oddVBand="0" w:evenVBand="0" w:oddHBand="0" w:evenHBand="0" w:firstRowFirstColumn="0" w:firstRowLastColumn="0" w:lastRowFirstColumn="0" w:lastRowLastColumn="0"/>
            </w:pPr>
            <w:r>
              <w:rPr>
                <w:rStyle w:val="eop"/>
              </w:rPr>
              <w:t>5</w:t>
            </w:r>
            <w:r>
              <w:rPr>
                <w:rStyle w:val="eop"/>
              </w:rPr>
              <w:tab/>
              <w:t xml:space="preserve">Revise, publish, inform </w:t>
            </w:r>
            <w:proofErr w:type="gramStart"/>
            <w:r>
              <w:rPr>
                <w:rStyle w:val="eop"/>
              </w:rPr>
              <w:t>user</w:t>
            </w:r>
            <w:proofErr w:type="gramEnd"/>
            <w:r>
              <w:rPr>
                <w:rStyle w:val="eop"/>
              </w:rPr>
              <w:t xml:space="preserve"> of updates to SOPs</w:t>
            </w:r>
          </w:p>
        </w:tc>
        <w:tc>
          <w:tcPr>
            <w:tcW w:w="2338" w:type="dxa"/>
          </w:tcPr>
          <w:p w14:paraId="227402CD" w14:textId="77777777" w:rsidR="00AD34BF" w:rsidRDefault="00AD34BF" w:rsidP="00AD34BF">
            <w:pPr>
              <w:pStyle w:val="TableBody"/>
              <w:spacing w:after="0"/>
              <w:cnfStyle w:val="000000000000" w:firstRow="0" w:lastRow="0" w:firstColumn="0" w:lastColumn="0" w:oddVBand="0" w:evenVBand="0" w:oddHBand="0" w:evenHBand="0" w:firstRowFirstColumn="0" w:firstRowLastColumn="0" w:lastRowFirstColumn="0" w:lastRowLastColumn="0"/>
            </w:pPr>
            <w:r>
              <w:t>CMS JIRA</w:t>
            </w:r>
          </w:p>
          <w:p w14:paraId="579C3D7A" w14:textId="77777777" w:rsidR="00AD34BF" w:rsidRPr="00AD34BF" w:rsidRDefault="00AD34BF" w:rsidP="00AD34BF">
            <w:pPr>
              <w:pStyle w:val="TableBody"/>
              <w:spacing w:after="0"/>
              <w:cnfStyle w:val="000000000000" w:firstRow="0" w:lastRow="0" w:firstColumn="0" w:lastColumn="0" w:oddVBand="0" w:evenVBand="0" w:oddHBand="0" w:evenHBand="0" w:firstRowFirstColumn="0" w:firstRowLastColumn="0" w:lastRowFirstColumn="0" w:lastRowLastColumn="0"/>
            </w:pPr>
            <w:r w:rsidRPr="00AD34BF">
              <w:t>CMS Box</w:t>
            </w:r>
          </w:p>
          <w:p w14:paraId="1FEF4458" w14:textId="77777777" w:rsidR="00AD34BF" w:rsidRDefault="00AD34BF" w:rsidP="00AD34BF">
            <w:pPr>
              <w:pStyle w:val="TableBody"/>
              <w:spacing w:after="0"/>
              <w:cnfStyle w:val="000000000000" w:firstRow="0" w:lastRow="0" w:firstColumn="0" w:lastColumn="0" w:oddVBand="0" w:evenVBand="0" w:oddHBand="0" w:evenHBand="0" w:firstRowFirstColumn="0" w:firstRowLastColumn="0" w:lastRowFirstColumn="0" w:lastRowLastColumn="0"/>
            </w:pPr>
            <w:r>
              <w:t>CMS Slack</w:t>
            </w:r>
          </w:p>
          <w:p w14:paraId="391DA156" w14:textId="77777777" w:rsidR="00AD34BF" w:rsidRDefault="00AD34BF" w:rsidP="00AD34BF">
            <w:pPr>
              <w:pStyle w:val="TableBody"/>
              <w:spacing w:after="0"/>
              <w:cnfStyle w:val="000000000000" w:firstRow="0" w:lastRow="0" w:firstColumn="0" w:lastColumn="0" w:oddVBand="0" w:evenVBand="0" w:oddHBand="0" w:evenHBand="0" w:firstRowFirstColumn="0" w:firstRowLastColumn="0" w:lastRowFirstColumn="0" w:lastRowLastColumn="0"/>
            </w:pPr>
            <w:r>
              <w:t>QA Checklist</w:t>
            </w:r>
          </w:p>
        </w:tc>
      </w:tr>
    </w:tbl>
    <w:p w14:paraId="70619B97" w14:textId="77777777" w:rsidR="00D13585" w:rsidRDefault="00D13585" w:rsidP="00D71EFD">
      <w:pPr>
        <w:pStyle w:val="BodyText"/>
      </w:pPr>
      <w:r>
        <w:t>The reporting cadence converts day-to-day execution into program intelligence rather than backward-looking metrics. The Quality Assurance Report monitors AQL conformance, sample-based defect rates, escalation patterns, and corrective action status. The Monthly Performance Report tracks every SOW SLA and AQL against the Performance Measurement Plan, with deviations flagged and corrective action plans attached. The Business Process Improvement Report identifies opportunities for SOP simplification, automation, training improvement, and cross-task coordination. The structure and outputs of these reports are summarized in Table 1.2.8-2.</w:t>
      </w:r>
    </w:p>
    <w:p w14:paraId="6B9ADD79" w14:textId="77777777" w:rsidR="00AD34BF" w:rsidRPr="00D71EFD" w:rsidRDefault="00D71EFD" w:rsidP="00D71EFD">
      <w:pPr>
        <w:pStyle w:val="TableTitle"/>
      </w:pPr>
      <w:r>
        <w:t>Table 1.2.8-2. Continuous Improvement Reporting Outputs.</w:t>
      </w:r>
    </w:p>
    <w:tbl>
      <w:tblPr>
        <w:tblStyle w:val="DeloitteTable2"/>
        <w:tblW w:w="0" w:type="auto"/>
        <w:tblLook w:val="06A0" w:firstRow="1" w:lastRow="0" w:firstColumn="1" w:lastColumn="0" w:noHBand="1" w:noVBand="1"/>
      </w:tblPr>
      <w:tblGrid>
        <w:gridCol w:w="2337"/>
        <w:gridCol w:w="2337"/>
        <w:gridCol w:w="2338"/>
        <w:gridCol w:w="2338"/>
      </w:tblGrid>
      <w:tr w:rsidR="00AD34BF" w14:paraId="24258DAB" w14:textId="77777777" w:rsidTr="003442A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337" w:type="dxa"/>
          </w:tcPr>
          <w:p w14:paraId="2F2F6145" w14:textId="77777777" w:rsidR="00AD34BF" w:rsidRDefault="00AD34BF">
            <w:pPr>
              <w:pStyle w:val="TableHeading"/>
            </w:pPr>
            <w:r w:rsidRPr="006D5AB5">
              <w:t xml:space="preserve">Deliverable</w:t>
            </w:r>
          </w:p>
        </w:tc>
        <w:tc>
          <w:tcPr>
            <w:tcW w:w="2337" w:type="dxa"/>
          </w:tcPr>
          <w:p w14:paraId="47B366B6" w14:textId="77777777" w:rsidR="00AD34BF" w:rsidRDefault="00AD34BF">
            <w:pPr>
              <w:pStyle w:val="TableHeading"/>
              <w:cnfStyle w:val="100000000000" w:firstRow="1" w:lastRow="0" w:firstColumn="0" w:lastColumn="0" w:oddVBand="0" w:evenVBand="0" w:oddHBand="0" w:evenHBand="0" w:firstRowFirstColumn="0" w:firstRowLastColumn="0" w:lastRowFirstColumn="0" w:lastRowLastColumn="0"/>
            </w:pPr>
            <w:r w:rsidRPr="006D5AB5">
              <w:t>Cadence &amp; Method</w:t>
            </w:r>
          </w:p>
        </w:tc>
        <w:tc>
          <w:tcPr>
            <w:tcW w:w="2338" w:type="dxa"/>
          </w:tcPr>
          <w:p w14:paraId="48783B5E" w14:textId="77777777" w:rsidR="00AD34BF" w:rsidRDefault="00AD34BF">
            <w:pPr>
              <w:pStyle w:val="TableHeading"/>
              <w:cnfStyle w:val="100000000000" w:firstRow="1" w:lastRow="0" w:firstColumn="0" w:lastColumn="0" w:oddVBand="0" w:evenVBand="0" w:oddHBand="0" w:evenHBand="0" w:firstRowFirstColumn="0" w:firstRowLastColumn="0" w:lastRowFirstColumn="0" w:lastRowLastColumn="0"/>
            </w:pPr>
            <w:r w:rsidRPr="006D5AB5">
              <w:t>Process</w:t>
            </w:r>
          </w:p>
        </w:tc>
        <w:tc>
          <w:tcPr>
            <w:tcW w:w="2338" w:type="dxa"/>
          </w:tcPr>
          <w:p w14:paraId="478A6A87" w14:textId="77777777" w:rsidR="00AD34BF" w:rsidRDefault="00AD34BF">
            <w:pPr>
              <w:pStyle w:val="TableHeading"/>
              <w:cnfStyle w:val="100000000000" w:firstRow="1" w:lastRow="0" w:firstColumn="0" w:lastColumn="0" w:oddVBand="0" w:evenVBand="0" w:oddHBand="0" w:evenHBand="0" w:firstRowFirstColumn="0" w:firstRowLastColumn="0" w:lastRowFirstColumn="0" w:lastRowLastColumn="0"/>
            </w:pPr>
            <w:r w:rsidRPr="006D5AB5">
              <w:t>Tools</w:t>
            </w:r>
          </w:p>
        </w:tc>
      </w:tr>
      <w:tr w:rsidR="00AD34BF" w14:paraId="058DC6CC" w14:textId="77777777">
        <w:tc>
          <w:tcPr>
            <w:cnfStyle w:val="001000000000" w:firstRow="0" w:lastRow="0" w:firstColumn="1" w:lastColumn="0" w:oddVBand="0" w:evenVBand="0" w:oddHBand="0" w:evenHBand="0" w:firstRowFirstColumn="0" w:firstRowLastColumn="0" w:lastRowFirstColumn="0" w:lastRowLastColumn="0"/>
            <w:tcW w:w="2337" w:type="dxa"/>
            <w:vMerge w:val="restart"/>
          </w:tcPr>
          <w:p w14:paraId="4FB89DAE" w14:textId="77777777" w:rsidR="00AD34BF" w:rsidRDefault="00AD34BF">
            <w:pPr>
              <w:pStyle w:val="TableRowHeading"/>
            </w:pPr>
            <w:r w:rsidRPr="00AD34BF">
              <w:t>Reports</w:t>
            </w:r>
          </w:p>
        </w:tc>
        <w:tc>
          <w:tcPr>
            <w:tcW w:w="2337" w:type="dxa"/>
          </w:tcPr>
          <w:p w14:paraId="7885FDC4" w14:textId="77777777" w:rsidR="00AD34BF" w:rsidRDefault="00C06B65">
            <w:pPr>
              <w:pStyle w:val="TableBody"/>
              <w:cnfStyle w:val="000000000000" w:firstRow="0" w:lastRow="0" w:firstColumn="0" w:lastColumn="0" w:oddVBand="0" w:evenVBand="0" w:oddHBand="0" w:evenHBand="0" w:firstRowFirstColumn="0" w:firstRowLastColumn="0" w:lastRowFirstColumn="0" w:lastRowLastColumn="0"/>
            </w:pPr>
            <w:r w:rsidRPr="00771C3D">
              <w:t>Quarterly: Virtual meeting with COR, BO, Business Operations Team and Program Management Team</w:t>
            </w:r>
          </w:p>
        </w:tc>
        <w:tc>
          <w:tcPr>
            <w:tcW w:w="2338" w:type="dxa"/>
          </w:tcPr>
          <w:p w14:paraId="47653513" w14:textId="77777777" w:rsidR="00AD34BF" w:rsidRDefault="00C06B65">
            <w:pPr>
              <w:pStyle w:val="TableBody"/>
              <w:cnfStyle w:val="000000000000" w:firstRow="0" w:lastRow="0" w:firstColumn="0" w:lastColumn="0" w:oddVBand="0" w:evenVBand="0" w:oddHBand="0" w:evenHBand="0" w:firstRowFirstColumn="0" w:firstRowLastColumn="0" w:lastRowFirstColumn="0" w:lastRowLastColumn="0"/>
            </w:pPr>
            <w:r>
              <w:rPr>
                <w:rStyle w:val="eop"/>
              </w:rPr>
              <w:t>1</w:t>
            </w:r>
            <w:r>
              <w:rPr>
                <w:rStyle w:val="eop"/>
              </w:rPr>
              <w:tab/>
              <w:t xml:space="preserve">Identify, record, and review user groups for each report</w:t>
            </w:r>
          </w:p>
        </w:tc>
        <w:tc>
          <w:tcPr>
            <w:tcW w:w="2338" w:type="dxa"/>
          </w:tcPr>
          <w:p w14:paraId="10B1F0E6" w14:textId="77777777" w:rsidR="00C06B65" w:rsidRDefault="00C06B65" w:rsidP="00C06B65">
            <w:pPr>
              <w:pStyle w:val="TableBody"/>
              <w:spacing w:after="0"/>
              <w:cnfStyle w:val="000000000000" w:firstRow="0" w:lastRow="0" w:firstColumn="0" w:lastColumn="0" w:oddVBand="0" w:evenVBand="0" w:oddHBand="0" w:evenHBand="0" w:firstRowFirstColumn="0" w:firstRowLastColumn="0" w:lastRowFirstColumn="0" w:lastRowLastColumn="0"/>
            </w:pPr>
            <w:r>
              <w:t xml:space="preserve">MS Teams</w:t>
            </w:r>
          </w:p>
          <w:p w14:paraId="1573569D" w14:textId="77777777" w:rsidR="00C06B65" w:rsidRDefault="00C06B65" w:rsidP="00C06B65">
            <w:pPr>
              <w:pStyle w:val="TableBody"/>
              <w:spacing w:after="0"/>
              <w:cnfStyle w:val="000000000000" w:firstRow="0" w:lastRow="0" w:firstColumn="0" w:lastColumn="0" w:oddVBand="0" w:evenVBand="0" w:oddHBand="0" w:evenHBand="0" w:firstRowFirstColumn="0" w:firstRowLastColumn="0" w:lastRowFirstColumn="0" w:lastRowLastColumn="0"/>
            </w:pPr>
            <w:r>
              <w:t>MS Excel</w:t>
            </w:r>
          </w:p>
          <w:p w14:paraId="04CE7B36" w14:textId="77777777" w:rsidR="00C06B65" w:rsidRDefault="00C06B65" w:rsidP="00C06B65">
            <w:pPr>
              <w:pStyle w:val="TableBody"/>
              <w:spacing w:after="0"/>
              <w:cnfStyle w:val="000000000000" w:firstRow="0" w:lastRow="0" w:firstColumn="0" w:lastColumn="0" w:oddVBand="0" w:evenVBand="0" w:oddHBand="0" w:evenHBand="0" w:firstRowFirstColumn="0" w:firstRowLastColumn="0" w:lastRowFirstColumn="0" w:lastRowLastColumn="0"/>
            </w:pPr>
            <w:r>
              <w:t xml:space="preserve">MS Co Pilot</w:t>
            </w:r>
          </w:p>
          <w:p w14:paraId="0059869C" w14:textId="77777777" w:rsidR="00AD34BF" w:rsidRDefault="00C06B65" w:rsidP="00C06B65">
            <w:pPr>
              <w:pStyle w:val="TableBody"/>
              <w:spacing w:after="0"/>
              <w:cnfStyle w:val="000000000000" w:firstRow="0" w:lastRow="0" w:firstColumn="0" w:lastColumn="0" w:oddVBand="0" w:evenVBand="0" w:oddHBand="0" w:evenHBand="0" w:firstRowFirstColumn="0" w:firstRowLastColumn="0" w:lastRowFirstColumn="0" w:lastRowLastColumn="0"/>
            </w:pPr>
            <w:r>
              <w:t>QA Checklist</w:t>
            </w:r>
          </w:p>
        </w:tc>
      </w:tr>
      <w:tr w:rsidR="00AD34BF" w14:paraId="4A0A2301" w14:textId="77777777">
        <w:tc>
          <w:tcPr>
            <w:cnfStyle w:val="001000000000" w:firstRow="0" w:lastRow="0" w:firstColumn="1" w:lastColumn="0" w:oddVBand="0" w:evenVBand="0" w:oddHBand="0" w:evenHBand="0" w:firstRowFirstColumn="0" w:firstRowLastColumn="0" w:lastRowFirstColumn="0" w:lastRowLastColumn="0"/>
            <w:tcW w:w="2337" w:type="dxa"/>
            <w:vMerge/>
          </w:tcPr>
          <w:p w14:paraId="2B103576" w14:textId="77777777" w:rsidR="00AD34BF" w:rsidRDefault="00AD34BF">
            <w:pPr>
              <w:pStyle w:val="TableRowHeading"/>
            </w:pPr>
          </w:p>
        </w:tc>
        <w:tc>
          <w:tcPr>
            <w:tcW w:w="2337" w:type="dxa"/>
          </w:tcPr>
          <w:p w14:paraId="27DFBE4E" w14:textId="77777777" w:rsidR="00AD34BF" w:rsidRDefault="00C06B65">
            <w:pPr>
              <w:pStyle w:val="TableBody"/>
              <w:cnfStyle w:val="000000000000" w:firstRow="0" w:lastRow="0" w:firstColumn="0" w:lastColumn="0" w:oddVBand="0" w:evenVBand="0" w:oddHBand="0" w:evenHBand="0" w:firstRowFirstColumn="0" w:firstRowLastColumn="0" w:lastRowFirstColumn="0" w:lastRowLastColumn="0"/>
            </w:pPr>
            <w:r w:rsidRPr="00771C3D">
              <w:t xml:space="preserve">Monthly: Draft written report, </w:t>
            </w:r>
            <w:r w:rsidRPr="00C06B65">
              <w:t>ETL, visualize data</w:t>
            </w:r>
            <w:r w:rsidRPr="00771C3D">
              <w:t xml:space="preserve"/>
            </w:r>
          </w:p>
        </w:tc>
        <w:tc>
          <w:tcPr>
            <w:tcW w:w="2338" w:type="dxa"/>
          </w:tcPr>
          <w:p w14:paraId="4D94801A" w14:textId="77777777" w:rsidR="00AD34BF" w:rsidRDefault="00C06B65">
            <w:pPr>
              <w:pStyle w:val="TableBody"/>
              <w:cnfStyle w:val="000000000000" w:firstRow="0" w:lastRow="0" w:firstColumn="0" w:lastColumn="0" w:oddVBand="0" w:evenVBand="0" w:oddHBand="0" w:evenHBand="0" w:firstRowFirstColumn="0" w:firstRowLastColumn="0" w:lastRowFirstColumn="0" w:lastRowLastColumn="0"/>
            </w:pPr>
            <w:r>
              <w:rPr>
                <w:rStyle w:val="eop"/>
              </w:rPr>
              <w:t>2</w:t>
            </w:r>
            <w:r>
              <w:rPr>
                <w:rStyle w:val="eop"/>
              </w:rPr>
              <w:tab/>
              <w:t xml:space="preserve">Produce reports </w:t>
            </w:r>
            <w:r w:rsidRPr="00C06B65">
              <w:rPr>
                <w:rStyle w:val="eop"/>
              </w:rPr>
              <w:t>or dashboards</w:t>
            </w:r>
          </w:p>
        </w:tc>
        <w:tc>
          <w:tcPr>
            <w:tcW w:w="2338" w:type="dxa"/>
          </w:tcPr>
          <w:p w14:paraId="55034BC2" w14:textId="77777777" w:rsidR="00C06B65" w:rsidRDefault="00C06B65" w:rsidP="00C06B65">
            <w:pPr>
              <w:pStyle w:val="TableBody"/>
              <w:spacing w:after="0"/>
              <w:cnfStyle w:val="000000000000" w:firstRow="0" w:lastRow="0" w:firstColumn="0" w:lastColumn="0" w:oddVBand="0" w:evenVBand="0" w:oddHBand="0" w:evenHBand="0" w:firstRowFirstColumn="0" w:firstRowLastColumn="0" w:lastRowFirstColumn="0" w:lastRowLastColumn="0"/>
            </w:pPr>
            <w:r>
              <w:t>MS Word</w:t>
            </w:r>
          </w:p>
          <w:p w14:paraId="7A7E3F9E" w14:textId="77777777" w:rsidR="00C06B65" w:rsidRDefault="00C06B65" w:rsidP="00C06B65">
            <w:pPr>
              <w:pStyle w:val="TableBody"/>
              <w:spacing w:after="0"/>
              <w:cnfStyle w:val="000000000000" w:firstRow="0" w:lastRow="0" w:firstColumn="0" w:lastColumn="0" w:oddVBand="0" w:evenVBand="0" w:oddHBand="0" w:evenHBand="0" w:firstRowFirstColumn="0" w:firstRowLastColumn="0" w:lastRowFirstColumn="0" w:lastRowLastColumn="0"/>
            </w:pPr>
            <w:r>
              <w:t>MS Excel</w:t>
            </w:r>
          </w:p>
          <w:p w14:paraId="585B910D" w14:textId="77777777" w:rsidR="00C06B65" w:rsidRDefault="00C06B65" w:rsidP="00C06B65">
            <w:pPr>
              <w:pStyle w:val="TableBody"/>
              <w:spacing w:after="0"/>
              <w:cnfStyle w:val="000000000000" w:firstRow="0" w:lastRow="0" w:firstColumn="0" w:lastColumn="0" w:oddVBand="0" w:evenVBand="0" w:oddHBand="0" w:evenHBand="0" w:firstRowFirstColumn="0" w:firstRowLastColumn="0" w:lastRowFirstColumn="0" w:lastRowLastColumn="0"/>
            </w:pPr>
            <w:r>
              <w:t>QA Checklist</w:t>
            </w:r>
          </w:p>
          <w:p w14:paraId="4BD874EA" w14:textId="77777777" w:rsidR="00AD34BF" w:rsidRDefault="00C06B65">
            <w:pPr>
              <w:pStyle w:val="TableBody"/>
              <w:spacing w:after="0"/>
              <w:cnfStyle w:val="000000000000" w:firstRow="0" w:lastRow="0" w:firstColumn="0" w:lastColumn="0" w:oddVBand="0" w:evenVBand="0" w:oddHBand="0" w:evenHBand="0" w:firstRowFirstColumn="0" w:firstRowLastColumn="0" w:lastRowFirstColumn="0" w:lastRowLastColumn="0"/>
            </w:pPr>
            <w:r w:rsidRPr="00C06B65">
              <w:t>BI Tool</w:t>
            </w:r>
          </w:p>
        </w:tc>
      </w:tr>
      <w:tr w:rsidR="00AD34BF" w14:paraId="48DAB16B" w14:textId="77777777">
        <w:tc>
          <w:tcPr>
            <w:cnfStyle w:val="001000000000" w:firstRow="0" w:lastRow="0" w:firstColumn="1" w:lastColumn="0" w:oddVBand="0" w:evenVBand="0" w:oddHBand="0" w:evenHBand="0" w:firstRowFirstColumn="0" w:firstRowLastColumn="0" w:lastRowFirstColumn="0" w:lastRowLastColumn="0"/>
            <w:tcW w:w="2337" w:type="dxa"/>
            <w:vMerge/>
          </w:tcPr>
          <w:p w14:paraId="01EDA9B8" w14:textId="77777777" w:rsidR="00AD34BF" w:rsidRDefault="00AD34BF">
            <w:pPr>
              <w:pStyle w:val="TableRowHeading"/>
            </w:pPr>
          </w:p>
        </w:tc>
        <w:tc>
          <w:tcPr>
            <w:tcW w:w="2337" w:type="dxa"/>
          </w:tcPr>
          <w:p w14:paraId="1594AED8" w14:textId="77777777" w:rsidR="00AD34BF" w:rsidRDefault="00C06B65">
            <w:pPr>
              <w:pStyle w:val="TableBody"/>
              <w:cnfStyle w:val="000000000000" w:firstRow="0" w:lastRow="0" w:firstColumn="0" w:lastColumn="0" w:oddVBand="0" w:evenVBand="0" w:oddHBand="0" w:evenHBand="0" w:firstRowFirstColumn="0" w:firstRowLastColumn="0" w:lastRowFirstColumn="0" w:lastRowLastColumn="0"/>
            </w:pPr>
            <w:r w:rsidRPr="00771C3D">
              <w:t>Quarterly: Interviews, Surveys</w:t>
            </w:r>
          </w:p>
        </w:tc>
        <w:tc>
          <w:tcPr>
            <w:tcW w:w="2338" w:type="dxa"/>
          </w:tcPr>
          <w:p w14:paraId="04045464" w14:textId="77777777" w:rsidR="00AD34BF" w:rsidRDefault="00C06B65">
            <w:pPr>
              <w:pStyle w:val="TableBody"/>
              <w:cnfStyle w:val="000000000000" w:firstRow="0" w:lastRow="0" w:firstColumn="0" w:lastColumn="0" w:oddVBand="0" w:evenVBand="0" w:oddHBand="0" w:evenHBand="0" w:firstRowFirstColumn="0" w:firstRowLastColumn="0" w:lastRowFirstColumn="0" w:lastRowLastColumn="0"/>
            </w:pPr>
            <w:r>
              <w:rPr>
                <w:rStyle w:val="eop"/>
              </w:rPr>
              <w:t>3</w:t>
            </w:r>
            <w:r>
              <w:rPr>
                <w:rStyle w:val="eop"/>
              </w:rPr>
              <w:tab/>
              <w:t>Request feedback on report utility and enhancements</w:t>
            </w:r>
          </w:p>
        </w:tc>
        <w:tc>
          <w:tcPr>
            <w:tcW w:w="2338" w:type="dxa"/>
          </w:tcPr>
          <w:p w14:paraId="3526221F" w14:textId="77777777" w:rsidR="00C06B65" w:rsidRDefault="00C06B65" w:rsidP="00C06B65">
            <w:pPr>
              <w:pStyle w:val="TableBody"/>
              <w:spacing w:after="0"/>
              <w:cnfStyle w:val="000000000000" w:firstRow="0" w:lastRow="0" w:firstColumn="0" w:lastColumn="0" w:oddVBand="0" w:evenVBand="0" w:oddHBand="0" w:evenHBand="0" w:firstRowFirstColumn="0" w:firstRowLastColumn="0" w:lastRowFirstColumn="0" w:lastRowLastColumn="0"/>
            </w:pPr>
            <w:r>
              <w:t xml:space="preserve">MS Teams</w:t>
            </w:r>
          </w:p>
          <w:p w14:paraId="12F7D608" w14:textId="77777777" w:rsidR="00AD34BF" w:rsidRDefault="00C06B65">
            <w:pPr>
              <w:pStyle w:val="TableBody"/>
              <w:spacing w:after="0"/>
              <w:cnfStyle w:val="000000000000" w:firstRow="0" w:lastRow="0" w:firstColumn="0" w:lastColumn="0" w:oddVBand="0" w:evenVBand="0" w:oddHBand="0" w:evenHBand="0" w:firstRowFirstColumn="0" w:firstRowLastColumn="0" w:lastRowFirstColumn="0" w:lastRowLastColumn="0"/>
            </w:pPr>
            <w:r>
              <w:t xml:space="preserve">BI Backlog</w:t>
            </w:r>
          </w:p>
        </w:tc>
      </w:tr>
    </w:tbl>
    <w:p w14:paraId="77D5F0CB" w14:textId="77777777" w:rsidR="000F742E" w:rsidRPr="000949F5" w:rsidRDefault="000F742E" w:rsidP="009F47CF">
      <w:pPr>
        <w:pStyle w:val="BodyText"/>
      </w:pPr>
      <w:r w:rsidRPr="00BB1E9A">
        <w:t>The most material risk under Task 9 is documentation drift in a dynamic ER&amp;R environment where policy, system, and operational changes are continuous. Left unaddressed, drift produces inconsistent execution, preventable errors, and audit findings. Deloitte mitigates drift through structured change triggers tied to the Federal Register, REGTAP, JIRA system change events, and recurring QA findings; SOP and job aid checkpoint reviews on a published quarterly schedule plus ad hoc review on any substantive change; version control with edit attribution; COR approval tracked against committed turnaround windows; and end-to-end traceability from each business or regulatory change to the corresponding documentation update.</w:t>
      </w:r>
    </w:p>
    <w:p w14:paraId="658384CB" w14:textId="77777777" w:rsidR="000F742E" w:rsidRPr="00BB1E9A" w:rsidRDefault="000F742E" w:rsidP="009F47CF">
      <w:pPr>
        <w:pStyle w:val="BodyText"/>
      </w:pPr>
      <w:r>
        <w:t xml:space="preserve">A second risk is the proliferation of well-intentioned but redundant or conflicting metrics. Deloitte mitigates this by ranking proposed measures against three </w:t>
      </w:r>
      <w:proofErr w:type="gramStart"/>
      <w:r>
        <w:t>criteria — (</w:t>
      </w:r>
      <w:proofErr w:type="gramEnd"/>
      <w:r>
        <w:t>1) does it tie to a specific SOW SLA, AQL, or required reporting element; (2) does it produce a CMS decision; (3) does the data exist or require new instrumentation — and presenting the prioritized library to the COR for approval before instrumentation. A third risk is QA cataloging defects without driving improvement; Deloitte mitigates this by integrating QA findings with root cause analysis, mitigation monitoring, and SOP/training updates so each finding measurably reduces recurrence.</w:t>
      </w:r>
    </w:p>
    <w:p w14:paraId="018A5311" w14:textId="77777777" w:rsidR="000F742E" w:rsidRPr="000F742E" w:rsidRDefault="000F742E" w:rsidP="009F47CF">
      <w:pPr>
        <w:pStyle w:val="BodyText"/>
      </w:pPr>
      <w:r w:rsidRPr="00BB1E9A">
        <w:t>Proof points: Deloitte applies this same governance model on Covered California (</w:t>
      </w:r>
      <w:proofErr w:type="spellStart"/>
      <w:r w:rsidRPr="00BB1E9A">
        <w:t>CalHEERS</w:t>
      </w:r>
      <w:proofErr w:type="spellEnd"/>
      <w:r w:rsidRPr="00BB1E9A">
        <w:t>) where structured documentation lifecycle, monthly performance reporting, and KPI-driven continuous improvement underpin operations for 1.5 million Marketplace enrollees; on Washington Healthplanfinder where 24/7 O&amp;M is governed by the same SOP and QA discipline; and on FinCEN BOI where audited 11,000+ cases averaged a 96% QA score and a 5,000-case backlog was eliminated within three months — directly relevant to the documentation-and-QA-driven operational improvement Task 9 requires.</w:t>
      </w:r>
    </w:p>
    <w:p w14:paraId="32A15532" w14:textId="77777777" w:rsidR="00A54BF5" w:rsidRDefault="003414BC" w:rsidP="00A54BF5">
      <w:pPr>
        <w:pStyle w:val="Heading3"/>
      </w:pPr>
      <w:bookmarkStart w:id="12" w:name="_Toc228252916"/>
      <w:r>
        <w:t>1.2.9</w:t>
      </w:r>
      <w:r>
        <w:tab/>
      </w:r>
      <w:r w:rsidR="00A54BF5">
        <w:t xml:space="preserve">Task 10: Ad Hoc Work and Special </w:t>
      </w:r>
      <w:proofErr w:type="gramStart"/>
      <w:r w:rsidR="00A54BF5">
        <w:t>Projects</w:t>
      </w:r>
      <w:r w:rsidR="006D0BF5" w:rsidRPr="006D0BF5">
        <w:rPr>
          <w:vertAlign w:val="superscript"/>
        </w:rPr>
        <w:t>(</w:t>
      </w:r>
      <w:proofErr w:type="gramEnd"/>
      <w:r w:rsidR="006D0BF5" w:rsidRPr="006D0BF5">
        <w:rPr>
          <w:vertAlign w:val="superscript"/>
        </w:rPr>
        <w:t>SOW 3.10)</w:t>
      </w:r>
      <w:r w:rsidR="004F360B">
        <w:t xml:space="preserve"> </w:t>
      </w:r>
      <w:r w:rsidR="004F360B" w:rsidRPr="00806273">
        <w:t>(</w:t>
      </w:r>
      <w:r w:rsidR="004F360B">
        <w:t>1</w:t>
      </w:r>
      <w:r w:rsidR="004F360B" w:rsidRPr="00806273">
        <w:t>.5 Pages)</w:t>
      </w:r>
      <w:bookmarkEnd w:id="12"/>
    </w:p>
    <w:p w14:paraId="724E2479" w14:textId="77777777" w:rsidR="003414BC" w:rsidRPr="005E1602" w:rsidRDefault="344C87A8" w:rsidP="003414BC">
      <w:pPr>
        <w:pStyle w:val="Subheading1"/>
        <w:rPr>
          <w:u w:val="single"/>
        </w:rPr>
      </w:pPr>
      <w:r w:rsidRPr="005E1602">
        <w:rPr>
          <w:u w:val="single"/>
        </w:rPr>
        <w:t>Our Understanding</w:t>
      </w:r>
    </w:p>
    <w:p w14:paraId="3ADA1BF9" w14:textId="77777777" w:rsidR="00795CAA" w:rsidRPr="00795CAA" w:rsidRDefault="00795CAA" w:rsidP="00750184">
      <w:pPr>
        <w:pStyle w:val="BodyText"/>
      </w:pPr>
      <w:r w:rsidRPr="00795CAA">
        <w:t xml:space="preserve">Task 10 is CMS' controlled activation lane for short studies, special projects, ad hoc training, the annual FFE Enrollment Manual revision, Death Periodic Data Matching (PDM) consumer response operations, and the Employer Notice Helpdesk. The work is heterogeneous — some is project-based and short-cycle, some is operational and ongoing — but the operating discipline is uniform: rapid activation against COR-confirmed scope, traceable issue handling, dependable reporting, and clean coordination with CMS, federal and state partners, and the broader ER&amp;R contractor ecosystem (Data Services Hub, Eligibility Support, FMPS, MSI, Operations Analytics, Operations Support, Federal Exchange Call Center, Federal Exchange Print, and Stakeholder Engagement). Every Task 10 engagement passes through the same intake </w:t>
      </w:r>
      <w:proofErr w:type="gramStart"/>
      <w:r w:rsidRPr="00795CAA">
        <w:t>protocol</w:t>
      </w:r>
      <w:proofErr w:type="gramEnd"/>
      <w:r w:rsidRPr="00795CAA">
        <w:t xml:space="preserve"> so scope, success criteria, deliverable format, and timeline are confirmed in writing before work begins.</w:t>
      </w:r>
    </w:p>
    <w:p w14:paraId="5C6FF1CD" w14:textId="77777777" w:rsidR="00795CAA" w:rsidRPr="00795CAA" w:rsidRDefault="003D5F85" w:rsidP="00750184">
      <w:pPr>
        <w:pStyle w:val="Subheading1"/>
      </w:pPr>
      <w:r>
        <w:t>Our Approach</w:t>
      </w:r>
    </w:p>
    <w:p w14:paraId="7CFF087A" w14:textId="77777777" w:rsidR="00CA4C3D" w:rsidRPr="00795CAA" w:rsidRDefault="00CA4C3D" w:rsidP="00750184">
      <w:pPr>
        <w:pStyle w:val="Subheading1"/>
      </w:pPr>
      <w:r w:rsidRPr="00CA4C3D">
        <w:t>Task 10.1 — Short Studies, Special Projects, and Data Analyses</w:t>
      </w:r>
    </w:p>
    <w:p w14:paraId="7DB848D7" w14:textId="77777777" w:rsidR="004C1628" w:rsidRPr="003414BC" w:rsidRDefault="004C1628" w:rsidP="004C1628">
      <w:pPr>
        <w:pStyle w:val="Subheading1"/>
      </w:pPr>
      <w:r w:rsidRPr="004C1628">
        <w:lastRenderedPageBreak/>
        <w:t>Task 10.2 — Ad Hoc Trainings</w:t>
      </w:r>
    </w:p>
    <w:p w14:paraId="21CF6DB9" w14:textId="77777777" w:rsidR="00750184" w:rsidRDefault="00750184" w:rsidP="00750184">
      <w:pPr>
        <w:pStyle w:val="FigureTitle"/>
      </w:pPr>
      <w:r>
        <w:t xml:space="preserve">Figure 1.2.9-1. [Deloitte to </w:t>
      </w:r>
      <w:proofErr w:type="gramStart"/>
      <w:r>
        <w:t>populate:</w:t>
      </w:r>
      <w:proofErr w:type="gramEnd"/>
      <w:r>
        <w:t xml:space="preserve"> figure title and graphic].</w:t>
      </w:r>
    </w:p>
    <w:p w14:paraId="2DB1115F" w14:textId="77777777" w:rsidR="00750184" w:rsidRPr="00750184" w:rsidRDefault="00750184" w:rsidP="00750184">
      <w:pPr>
        <w:pStyle w:val="FigureGraphic"/>
      </w:pPr>
      <w:r>
        <w:rPr>
          <w:noProof/>
        </w:rPr>
        <w:drawing>
          <wp:inline distT="0" distB="0" distL="0" distR="0" wp14:anchorId="3DFA0812" wp14:editId="6A91E6E2">
            <wp:extent cx="5105400" cy="5853430"/>
            <wp:effectExtent l="0" t="0" r="0" b="0"/>
            <wp:docPr id="2928745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3">
                      <a:extLst>
                        <a:ext uri="{28A0092B-C50C-407E-A947-70E740481C1C}">
                          <a14:useLocalDpi xmlns:a14="http://schemas.microsoft.com/office/drawing/2010/main" val="0"/>
                        </a:ext>
                      </a:extLst>
                    </a:blip>
                    <a:srcRect l="6943" t="6964" r="7168"/>
                    <a:stretch>
                      <a:fillRect/>
                    </a:stretch>
                  </pic:blipFill>
                  <pic:spPr bwMode="auto">
                    <a:xfrm>
                      <a:off x="0" y="0"/>
                      <a:ext cx="5105400" cy="5853430"/>
                    </a:xfrm>
                    <a:prstGeom prst="rect">
                      <a:avLst/>
                    </a:prstGeom>
                    <a:noFill/>
                    <a:ln>
                      <a:noFill/>
                    </a:ln>
                    <a:extLst>
                      <a:ext uri="{53640926-AAD7-44D8-BBD7-CCE9431645EC}">
                        <a14:shadowObscured xmlns:a14="http://schemas.microsoft.com/office/drawing/2010/main"/>
                      </a:ext>
                    </a:extLst>
                  </pic:spPr>
                </pic:pic>
              </a:graphicData>
            </a:graphic>
          </wp:inline>
        </w:drawing>
      </w:r>
    </w:p>
    <w:p w14:paraId="62972EA2" w14:textId="77777777" w:rsidR="00796F9F" w:rsidRPr="00796F9F" w:rsidRDefault="00796F9F" w:rsidP="004E4D55">
      <w:pPr>
        <w:pStyle w:val="Subheading1"/>
      </w:pPr>
      <w:r w:rsidRPr="00796F9F">
        <w:t>Task 10.5 — Employer Notice Helpdesk</w:t>
      </w:r>
    </w:p>
    <w:p w14:paraId="5CE4DD23" w14:textId="77777777" w:rsidR="00796F9F" w:rsidRPr="00796F9F" w:rsidRDefault="00796F9F" w:rsidP="004E4D55">
      <w:pPr>
        <w:pStyle w:val="BodyText"/>
      </w:pPr>
      <w:r w:rsidRPr="00796F9F">
        <w:t xml:space="preserve">Deloitte will operate the Employer Notice Helpdesk on existing ER&amp;R contact center infrastructure (meeting the SOW preference for an existing system solution) with a dedicated toll-free line and TTY supporting real-time inbound, voicemail, outbound </w:t>
      </w:r>
      <w:proofErr w:type="spellStart"/>
      <w:r w:rsidRPr="00796F9F">
        <w:t>callback</w:t>
      </w:r>
      <w:proofErr w:type="spellEnd"/>
      <w:r w:rsidRPr="00796F9F">
        <w:t xml:space="preserve">, and warm transfer to the OHI employer appeals call center, M-F 8 AM–8 PM ET excluding federal holidays. A CMS-approved script anchors current Employer Notice content and the underlying policy framework (employer-coverage affordability, minimum value, ICHRA/QSEHRA, appeals pathways) with a structured update cycle on notice changes, regulatory updates, or recurring caller patterns. An organized triage protocol classifies every contact, routes </w:t>
      </w:r>
      <w:proofErr w:type="gramStart"/>
      <w:r w:rsidRPr="00796F9F">
        <w:t>appeals</w:t>
      </w:r>
      <w:proofErr w:type="gramEnd"/>
      <w:r w:rsidRPr="00796F9F">
        <w:t xml:space="preserve"> to OHI, </w:t>
      </w:r>
      <w:proofErr w:type="gramStart"/>
      <w:r w:rsidRPr="00796F9F">
        <w:t>escalates</w:t>
      </w:r>
      <w:proofErr w:type="gramEnd"/>
      <w:r w:rsidRPr="00796F9F">
        <w:t xml:space="preserve"> suspected notice or data issues to CMS, and resolves informational inquiries at first contact. A single tracking system captures every call and voicemail with timestamp, employer identifier, inquiry category, disposition, transfer/escalation path, and resolution notes — providing audit-ready traceability and the data foundation </w:t>
      </w:r>
      <w:proofErr w:type="gramStart"/>
      <w:r w:rsidRPr="00796F9F">
        <w:t>for required</w:t>
      </w:r>
      <w:proofErr w:type="gramEnd"/>
      <w:r w:rsidRPr="00796F9F">
        <w:t xml:space="preserve"> weekly, monthly, and annual reports. Recurring caller themes surface to CMS as actionable feedback so the Helpdesk informs notice and policy refinement, not just inbound resolution.</w:t>
      </w:r>
    </w:p>
    <w:p w14:paraId="530461DA" w14:textId="77777777" w:rsidR="00796F9F" w:rsidRPr="00796F9F" w:rsidRDefault="00796F9F" w:rsidP="004E4D55">
      <w:pPr>
        <w:pStyle w:val="Subheading1"/>
      </w:pPr>
      <w:r w:rsidRPr="00796F9F">
        <w:t>Task 10.6 — Projects Related to the Scope of the SOW Inclusive of All Tasks</w:t>
      </w:r>
    </w:p>
    <w:p w14:paraId="6A2AD5BD" w14:textId="77777777" w:rsidR="00796F9F" w:rsidRPr="00796F9F" w:rsidRDefault="00796F9F" w:rsidP="004E4D55">
      <w:pPr>
        <w:pStyle w:val="BodyText"/>
      </w:pPr>
      <w:r w:rsidRPr="00796F9F">
        <w:t xml:space="preserve">Deloitte will treat the catch-all clause as a structured intake channel rather than unbounded scope. Every request applies the Ad Hoc Request Intake and Scoping Protocol from Task 10.1, rolls into the Special </w:t>
      </w:r>
      <w:r w:rsidRPr="00796F9F">
        <w:lastRenderedPageBreak/>
        <w:t>Projects Tracker for unified COR visibility, draws on the cross-task SME bench from Tasks 1–9, and applies Deloitte's surge-support model to scale resources up for short-duration projects without disrupting steady-state operations. Recurring requests convert to right-sized operational capabilities under Task 9 (dashboards, SOPs, task-level enhancements) so repeat work is institutionalized rather than re-executed.</w:t>
      </w:r>
    </w:p>
    <w:p w14:paraId="0856A2EF" w14:textId="77777777" w:rsidR="00796F9F" w:rsidRPr="00796F9F" w:rsidRDefault="00796F9F" w:rsidP="004E4D55">
      <w:pPr>
        <w:pStyle w:val="Subheading1"/>
      </w:pPr>
      <w:r w:rsidRPr="00796F9F">
        <w:t>Proof Point</w:t>
      </w:r>
    </w:p>
    <w:p w14:paraId="7EB5542E" w14:textId="77777777" w:rsidR="00796F9F" w:rsidRPr="00796F9F" w:rsidRDefault="00796F9F" w:rsidP="004E4D55">
      <w:pPr>
        <w:pStyle w:val="BodyText"/>
      </w:pPr>
      <w:r w:rsidRPr="00796F9F">
        <w:t>Rapid activation of targeted federal support operations: Deloitte rapidly deployed a targeted contact center for CDC's Vaccine Administration Management System (VAMS) on AWS Connect to support end users, jurisdictions, and clinics during high-volume rollout, backed by training, QA, reporting, SLA monitoring, and knowledge management — supporting the administration of 9.5 million vaccines. The same activation discipline, structure, and reporting cadence apply to every Task 10 sub-lane.</w:t>
      </w:r>
    </w:p>
    <w:p w14:paraId="64ED37AD" w14:textId="77777777" w:rsidR="00396C18" w:rsidRDefault="00396C18" w:rsidP="00602CDA">
      <w:pPr>
        <w:pStyle w:val="ParagraphSpacer"/>
      </w:pPr>
    </w:p>
    <w:p w14:paraId="234B454D" w14:textId="77777777" w:rsidR="002F76CB" w:rsidRDefault="00664E97" w:rsidP="004C7234">
      <w:pPr>
        <w:pStyle w:val="Heading2"/>
      </w:pPr>
      <w:bookmarkStart w:id="13" w:name="_Toc228252917"/>
      <w:r>
        <w:t>1.3</w:t>
      </w:r>
      <w:r>
        <w:tab/>
      </w:r>
      <w:r w:rsidRPr="00664E97">
        <w:t>Sub-Section 1C: Understanding and Mitigation of Risks</w:t>
      </w:r>
      <w:r w:rsidR="004F360B">
        <w:t xml:space="preserve"> </w:t>
      </w:r>
      <w:r w:rsidR="004F360B" w:rsidRPr="00806273">
        <w:t>(2 Pages)</w:t>
      </w:r>
      <w:bookmarkEnd w:id="13"/>
    </w:p>
    <w:p w14:paraId="19AE5857" w14:textId="77777777" w:rsidR="00582CBA" w:rsidRPr="00802C4A" w:rsidRDefault="00582CBA" w:rsidP="0097533B">
      <w:pPr>
        <w:pStyle w:val="BodyText"/>
      </w:pPr>
      <w:r w:rsidRPr="00802C4A">
        <w:t>Taking over a highly complex, mission-critical IT ecosystem from an incumbent vendor is inherently risky—yet it is a challenge Deloitte has successfully navigated for the nation’s largest federal and state health agencies. We recognize that the Enrollment Resolution &amp; Reconciliation (ER&amp;R) program operates in a highly visible, zero-fail environment. Disruptions in data reconciliation, Form 1095-A generation, or Complex Case Help Center (CCHC) operations directly impact the financial security and healthcare</w:t>
      </w:r>
      <w:r w:rsidR="00A81971" w:rsidRPr="00396F3C">
        <w:t xml:space="preserve"> </w:t>
      </w:r>
      <w:r w:rsidRPr="00802C4A">
        <w:t>access of over 24 million Americans.</w:t>
      </w:r>
    </w:p>
    <w:p w14:paraId="507FD261" w14:textId="77777777" w:rsidR="00582CBA" w:rsidRDefault="00582CBA" w:rsidP="0097533B">
      <w:pPr>
        <w:pStyle w:val="BodyText"/>
        <w:rPr>
          <w:b/>
        </w:rPr>
      </w:pPr>
      <w:r w:rsidRPr="00802C4A">
        <w:t xml:space="preserve">Deloitte brings a </w:t>
      </w:r>
      <w:r>
        <w:t>proven</w:t>
      </w:r>
      <w:r w:rsidRPr="00802C4A">
        <w:t xml:space="preserve"> "Zero Disruption" transition methodology, forged through our experience executing seamless takeovers and system rescues across the government health sector. For example, when Covered California (</w:t>
      </w:r>
      <w:proofErr w:type="spellStart"/>
      <w:r w:rsidRPr="00802C4A">
        <w:t>CalHEERS</w:t>
      </w:r>
      <w:proofErr w:type="spellEnd"/>
      <w:r w:rsidRPr="00802C4A">
        <w:t xml:space="preserve">) faced critical monolithic system failures and contact center outages during peak Open Enrollment, Deloitte successfully took over the infrastructure, rapidly migrating the exchange to a resilient cloud architecture without interrupting consumer access for its 1.75 million </w:t>
      </w:r>
      <w:proofErr w:type="gramStart"/>
      <w:r w:rsidRPr="00802C4A">
        <w:t>enrollees</w:t>
      </w:r>
      <w:proofErr w:type="gramEnd"/>
      <w:r w:rsidRPr="00802C4A">
        <w:t xml:space="preserve">. Similarly, we manage the continuous operation and modernization of the Washington Healthplanfinder—recently supporting a record 28% surge in open enrollment sign-ups—and </w:t>
      </w:r>
      <w:proofErr w:type="gramStart"/>
      <w:r w:rsidRPr="00802C4A">
        <w:t>lead</w:t>
      </w:r>
      <w:proofErr w:type="gramEnd"/>
      <w:r w:rsidRPr="00802C4A">
        <w:t xml:space="preserve"> the transition of complex Medicaid Enterprise Systems (MES) across states like Tennessee, Ohio, and Virginia.</w:t>
      </w:r>
    </w:p>
    <w:tbl>
      <w:tblPr>
        <w:tblStyle w:val="TableGrid"/>
        <w:tblpPr w:leftFromText="288" w:rightFromText="288" w:vertAnchor="text" w:horzAnchor="page" w:tblpX="1518" w:tblpY="-13"/>
        <w:tblOverlap w:val="never"/>
        <w:tblW w:w="0" w:type="auto"/>
        <w:tblBorders>
          <w:top w:val="single" w:sz="18" w:space="0" w:color="007CB0" w:themeColor="accent6"/>
          <w:left w:val="none" w:sz="0" w:space="0" w:color="auto"/>
          <w:bottom w:val="single" w:sz="18" w:space="0" w:color="007CB0" w:themeColor="accent6"/>
          <w:right w:val="none" w:sz="0" w:space="0" w:color="auto"/>
          <w:insideH w:val="none" w:sz="0" w:space="0" w:color="auto"/>
          <w:insideV w:val="none" w:sz="0" w:space="0" w:color="auto"/>
        </w:tblBorders>
        <w:tblLook w:val="04A0" w:firstRow="1" w:lastRow="0" w:firstColumn="1" w:lastColumn="0" w:noHBand="0" w:noVBand="1"/>
      </w:tblPr>
      <w:tblGrid>
        <w:gridCol w:w="1200"/>
        <w:gridCol w:w="8070"/>
      </w:tblGrid>
      <w:tr w:rsidR="00F550A7" w14:paraId="7401AC4A" w14:textId="77777777" w:rsidTr="00256D59">
        <w:trPr>
          <w:trHeight w:val="1215"/>
        </w:trPr>
        <w:tc>
          <w:tcPr>
            <w:tcW w:w="1200" w:type="dxa"/>
            <w:tcBorders>
              <w:top w:val="single" w:sz="18" w:space="0" w:color="005587"/>
              <w:bottom w:val="single" w:sz="18" w:space="0" w:color="005587"/>
            </w:tcBorders>
            <w:vAlign w:val="center"/>
          </w:tcPr>
          <w:p w14:paraId="52B6A5BC" w14:textId="77777777" w:rsidR="00F550A7" w:rsidRPr="00F744EE" w:rsidRDefault="00F550A7" w:rsidP="00F550A7">
            <w:pPr>
              <w:pStyle w:val="CalloutTitle12pt"/>
              <w:framePr w:hSpace="0" w:wrap="auto" w:vAnchor="margin" w:hAnchor="text" w:yAlign="inline"/>
              <w:suppressOverlap w:val="0"/>
            </w:pPr>
            <w:r w:rsidRPr="00F550A7">
              <w:lastRenderedPageBreak/>
              <w:t>Our Approach:</w:t>
            </w:r>
          </w:p>
        </w:tc>
        <w:tc>
          <w:tcPr>
            <w:tcW w:w="8070" w:type="dxa"/>
            <w:tcBorders>
              <w:top w:val="single" w:sz="18" w:space="0" w:color="005587"/>
              <w:bottom w:val="single" w:sz="18" w:space="0" w:color="005587"/>
            </w:tcBorders>
            <w:vAlign w:val="center"/>
          </w:tcPr>
          <w:p w14:paraId="4400F69D" w14:textId="77777777" w:rsidR="00F550A7" w:rsidRPr="00256D59" w:rsidRDefault="00F550A7" w:rsidP="00256D59">
            <w:pPr>
              <w:pStyle w:val="Callout2Body"/>
              <w:framePr w:hSpace="0" w:wrap="auto" w:vAnchor="margin" w:hAnchor="text" w:xAlign="left" w:yAlign="inline"/>
              <w:spacing w:after="0"/>
              <w:suppressOverlap w:val="0"/>
              <w:rPr>
                <w:spacing w:val="-2"/>
              </w:rPr>
            </w:pPr>
            <w:r w:rsidRPr="00256D59">
              <w:rPr>
                <w:spacing w:val="-2"/>
              </w:rPr>
              <w:t>Effective risk and issue management is a core part of Deloitte’s project management principles. One of our key strengths is our vast network of professionals across different domains, industries, and geographies. We leverage this network to share knowledge and best practices from our diverse portfolio of projects. This enables us to proactively apply lessons learned and bring together the firm's strengths when our clients are faced with new external risks. Our culture of client excellence makes us focus on the success of our clients, not just the technology project we are running. We consider each situation and the ecosystem holistically and strategically, allowing us to identify potential risks and enabling a comprehensive risk</w:t>
            </w:r>
            <w:r w:rsidR="00256D59" w:rsidRPr="00256D59">
              <w:rPr>
                <w:spacing w:val="-2"/>
              </w:rPr>
              <w:t xml:space="preserve"> </w:t>
            </w:r>
            <w:r w:rsidRPr="00256D59">
              <w:rPr>
                <w:spacing w:val="-2"/>
              </w:rPr>
              <w:t>mitigation/response. An example of this collaboration and holistic risk response and mitigation is the recent Public Health Emergency and the corresponding unwinding efforts.</w:t>
            </w:r>
          </w:p>
        </w:tc>
      </w:tr>
    </w:tbl>
    <w:p w14:paraId="2A083604" w14:textId="77777777" w:rsidR="00582CBA" w:rsidRPr="00396F3C" w:rsidRDefault="002C7021" w:rsidP="00396F3C">
      <w:pPr>
        <w:pStyle w:val="BodyText"/>
        <w:rPr>
          <w:i/>
        </w:rPr>
      </w:pPr>
      <w:r>
        <w:t xml:space="preserve">For ERR, </w:t>
      </w:r>
      <w:r w:rsidRPr="002C7021">
        <w:rPr>
          <w:iCs/>
        </w:rPr>
        <w:t>Deloitte has identified the ten most vital, high-level program risks spanning the full scope of this task order — covering enrollment data integrity, consumer experience, IT systems, security, program management, and transition operations. Our risk assessment is informed by Deloitte's direct experience managing similar Marketplace enrollment, reconciliation, and consumer support programs in other states, where we have encountered and resolved the same operational pressures, seasonal volume surges, and data alignment challenges that define this program. That state-level experience — combined with our deep understanding of the CMS operational environment — allows us to anticipate where this program is most likely to face disruption, not simply list theoretical risks. For each risk, we provide a targeted mitigation strategy grounded in what has worked in comparable program environments and aligned to the specific requirements of this SOW. Following the risk register, we describe the continuous risk identification and management discipline we will apply throughout the life of this contract.</w:t>
      </w:r>
      <w:r w:rsidRPr="002C7021" w:rsidDel="00582CBA">
        <w:rPr>
          <w:iCs/>
        </w:rPr>
        <w:t xml:space="preserve"/>
      </w:r>
    </w:p>
    <w:p w14:paraId="180D0382" w14:textId="77777777" w:rsidR="00A733EE" w:rsidRPr="00B85496" w:rsidRDefault="00A733EE" w:rsidP="00BE38A0">
      <w:pPr>
        <w:pStyle w:val="TableTitle"/>
      </w:pPr>
      <w:r w:rsidRPr="00B85496">
        <w:t>Table 1.3-1. Risk</w:t>
      </w:r>
      <w:r w:rsidR="00D72F9D" w:rsidRPr="00B85496">
        <w:t xml:space="preserve"> and Mitigation </w:t>
      </w:r>
      <w:r w:rsidR="00BE38A0" w:rsidRPr="00B85496">
        <w:t>Strategies</w:t>
      </w:r>
      <w:r w:rsidR="006065FF" w:rsidRPr="00B85496">
        <w:t>.</w:t>
      </w:r>
    </w:p>
    <w:tbl>
      <w:tblPr>
        <w:tblStyle w:val="DeloitteTable2"/>
        <w:tblW w:w="5000" w:type="pct"/>
        <w:tblLook w:val="06A0" w:firstRow="1" w:lastRow="0" w:firstColumn="1" w:lastColumn="0" w:noHBand="1" w:noVBand="1"/>
      </w:tblPr>
      <w:tblGrid>
        <w:gridCol w:w="1825"/>
        <w:gridCol w:w="2581"/>
        <w:gridCol w:w="4944"/>
      </w:tblGrid>
      <w:tr w:rsidR="00BE38A0" w14:paraId="1839CE09" w14:textId="77777777" w:rsidTr="0036747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76" w:type="pct"/>
          </w:tcPr>
          <w:p w14:paraId="464C53B7" w14:textId="77777777" w:rsidR="00BE38A0" w:rsidRDefault="00C729C1" w:rsidP="00EC785A">
            <w:pPr>
              <w:pStyle w:val="TableHeading"/>
            </w:pPr>
            <w:r>
              <w:t>Risk Area</w:t>
            </w:r>
            <w:r w:rsidR="00BE38A0">
              <w:t xml:space="preserve"/>
            </w:r>
          </w:p>
        </w:tc>
        <w:tc>
          <w:tcPr>
            <w:tcW w:w="1380" w:type="pct"/>
          </w:tcPr>
          <w:p w14:paraId="793463E0" w14:textId="77777777" w:rsidR="00BE38A0" w:rsidRDefault="0005087A" w:rsidP="00EC785A">
            <w:pPr>
              <w:pStyle w:val="TableHeading"/>
              <w:cnfStyle w:val="100000000000" w:firstRow="1" w:lastRow="0" w:firstColumn="0" w:lastColumn="0" w:oddVBand="0" w:evenVBand="0" w:oddHBand="0" w:evenHBand="0" w:firstRowFirstColumn="0" w:firstRowLastColumn="0" w:lastRowFirstColumn="0" w:lastRowLastColumn="0"/>
            </w:pPr>
            <w:r>
              <w:t>Description &amp; Impact</w:t>
            </w:r>
          </w:p>
        </w:tc>
        <w:tc>
          <w:tcPr>
            <w:tcW w:w="2644" w:type="pct"/>
          </w:tcPr>
          <w:p w14:paraId="69E884C1" w14:textId="77777777" w:rsidR="00444CDD" w:rsidRDefault="00444CDD" w:rsidP="00EC785A">
            <w:pPr>
              <w:pStyle w:val="TableHeading"/>
              <w:cnfStyle w:val="100000000000" w:firstRow="1" w:lastRow="0" w:firstColumn="0" w:lastColumn="0" w:oddVBand="0" w:evenVBand="0" w:oddHBand="0" w:evenHBand="0" w:firstRowFirstColumn="0" w:firstRowLastColumn="0" w:lastRowFirstColumn="0" w:lastRowLastColumn="0"/>
            </w:pPr>
            <w:r>
              <w:t>Mitigation Strategy</w:t>
            </w:r>
          </w:p>
        </w:tc>
      </w:tr>
      <w:tr w:rsidR="00BE38A0" w14:paraId="2A2AA1BD" w14:textId="77777777" w:rsidTr="00B85496">
        <w:tc>
          <w:tcPr>
            <w:cnfStyle w:val="001000000000" w:firstRow="0" w:lastRow="0" w:firstColumn="1" w:lastColumn="0" w:oddVBand="0" w:evenVBand="0" w:oddHBand="0" w:evenHBand="0" w:firstRowFirstColumn="0" w:firstRowLastColumn="0" w:lastRowFirstColumn="0" w:lastRowLastColumn="0"/>
            <w:tcW w:w="976" w:type="pct"/>
          </w:tcPr>
          <w:p w14:paraId="7CA1F4A6" w14:textId="77777777" w:rsidR="004C2D9A" w:rsidRDefault="00000000">
            <w:r>
              <w:t>Transition-In &amp; Knowledge Transfer</w:t>
            </w:r>
          </w:p>
        </w:tc>
        <w:tc>
          <w:tcPr>
            <w:tcW w:w="1380" w:type="pct"/>
          </w:tcPr>
          <w:p w14:paraId="6C338C26" w14:textId="77777777" w:rsidR="004C2D9A" w:rsidRDefault="00000000">
            <w:pPr>
              <w:cnfStyle w:val="000000000000" w:firstRow="0" w:lastRow="0" w:firstColumn="0" w:lastColumn="0" w:oddVBand="0" w:evenVBand="0" w:oddHBand="0" w:evenHBand="0" w:firstRowFirstColumn="0" w:firstRowLastColumn="0" w:lastRowFirstColumn="0" w:lastRowLastColumn="0"/>
            </w:pPr>
            <w:r>
              <w:t>Incomplete or delayed transfer of institutional knowledge from the incumbent contractor — including undocumented business rules, system configurations, and SOPs — could degrade performance during the 3-month transition-in window and produce missed SLAs, unresolved disputes, and consumer-facing errors immediately after takeover.</w:t>
            </w:r>
          </w:p>
        </w:tc>
        <w:tc>
          <w:tcPr>
            <w:tcW w:w="2644" w:type="pct"/>
          </w:tcPr>
          <w:p w14:paraId="109473C9" w14:textId="77777777" w:rsidR="004C2D9A" w:rsidRDefault="00000000">
            <w:pPr>
              <w:cnfStyle w:val="000000000000" w:firstRow="0" w:lastRow="0" w:firstColumn="0" w:lastColumn="0" w:oddVBand="0" w:evenVBand="0" w:oddHBand="0" w:evenHBand="0" w:firstRowFirstColumn="0" w:firstRowLastColumn="0" w:lastRowFirstColumn="0" w:lastRowLastColumn="0"/>
            </w:pPr>
            <w:r>
              <w:t xml:space="preserve">Execute a structured Transition-In Plan submitted within 8 business days of award, with a Joint Operating Agreement signed with the incumbent within 7 calendar days. Deloitte will: (1) deploy </w:t>
            </w:r>
            <w:proofErr w:type="spellStart"/>
            <w:r>
              <w:t>TruNorth</w:t>
            </w:r>
            <w:proofErr w:type="spellEnd"/>
            <w:r>
              <w:t xml:space="preserve"> GenAI to capture rule logic, routing rules, and classification behavior directly from CERRS, HICS, SEED, and EDA CORE source code, supplementing what the incumbent shares through SOPs and KT; (2) shadow incumbent operations for issuer disputes, 1095-A casework, and CCHC; (3) validate every workflow, data pipeline, and intake channel against live production behavior through structured readiness gates before any case transfer; and (4) report progress through a daily cross-task readiness dashboard to the COR.</w:t>
            </w:r>
          </w:p>
        </w:tc>
      </w:tr>
      <w:tr w:rsidR="00B17E66" w14:paraId="615A42F8" w14:textId="77777777" w:rsidTr="00B85496">
        <w:tc>
          <w:tcPr>
            <w:cnfStyle w:val="001000000000" w:firstRow="0" w:lastRow="0" w:firstColumn="1" w:lastColumn="0" w:oddVBand="0" w:evenVBand="0" w:oddHBand="0" w:evenHBand="0" w:firstRowFirstColumn="0" w:firstRowLastColumn="0" w:lastRowFirstColumn="0" w:lastRowLastColumn="0"/>
            <w:tcW w:w="976" w:type="pct"/>
          </w:tcPr>
          <w:p w14:paraId="408BA095" w14:textId="77777777" w:rsidR="004C2D9A" w:rsidRDefault="00000000">
            <w:r>
              <w:t>Seasonal Volume Surges &amp; Workforce Scalability</w:t>
            </w:r>
          </w:p>
        </w:tc>
        <w:tc>
          <w:tcPr>
            <w:tcW w:w="1380" w:type="pct"/>
          </w:tcPr>
          <w:p w14:paraId="479C5490" w14:textId="77777777" w:rsidR="004C2D9A" w:rsidRDefault="00000000">
            <w:pPr>
              <w:cnfStyle w:val="000000000000" w:firstRow="0" w:lastRow="0" w:firstColumn="0" w:lastColumn="0" w:oddVBand="0" w:evenVBand="0" w:oddHBand="0" w:evenHBand="0" w:firstRowFirstColumn="0" w:firstRowLastColumn="0" w:lastRowFirstColumn="0" w:lastRowLastColumn="0"/>
            </w:pPr>
            <w:r>
              <w:t xml:space="preserve">Form 1095-A consumer dispute volumes triple during tax season (January–May), and ER&amp;R volumes peak for 120 days after Open Enrollment close. Failure to recruit, onboard, clear, and train </w:t>
            </w:r>
            <w:r>
              <w:lastRenderedPageBreak/>
              <w:t xml:space="preserve">the SOW-required ~100–120 temporary case analysts and 4 temporary team </w:t>
            </w:r>
            <w:proofErr w:type="gramStart"/>
            <w:r>
              <w:t>leads</w:t>
            </w:r>
            <w:proofErr w:type="gramEnd"/>
            <w:r>
              <w:t xml:space="preserve"> on time will breach the 2/5/10 business-day SLAs in SOW Table 4 and generate consumer harm during the highest-stakes period of the year.</w:t>
            </w:r>
          </w:p>
        </w:tc>
        <w:tc>
          <w:tcPr>
            <w:tcW w:w="2644" w:type="pct"/>
          </w:tcPr>
          <w:p w14:paraId="5364E962" w14:textId="77777777" w:rsidR="004C2D9A" w:rsidRDefault="00000000">
            <w:pPr>
              <w:cnfStyle w:val="000000000000" w:firstRow="0" w:lastRow="0" w:firstColumn="0" w:lastColumn="0" w:oddVBand="0" w:evenVBand="0" w:oddHBand="0" w:evenHBand="0" w:firstRowFirstColumn="0" w:firstRowLastColumn="0" w:lastRowFirstColumn="0" w:lastRowLastColumn="0"/>
            </w:pPr>
            <w:r>
              <w:lastRenderedPageBreak/>
              <w:t xml:space="preserve">Maintain a pre-qualified surge staffing pipeline refreshed annually. Begin recruitment in November and start CMS background investigations at offer acceptance so the first wave is cleared, system-trained, and shadow-certified before.</w:t>
            </w:r>
            <w:proofErr w:type="gramStart"/>
            <w:r>
              <w:t>caseworkers</w:t>
            </w:r>
            <w:proofErr w:type="gramEnd"/>
            <w:r>
              <w:t xml:space="preserve"> reach full productivity from day one. New hires train on prior-year root-cause case types under peer </w:t>
            </w:r>
            <w:r>
              <w:lastRenderedPageBreak/>
              <w:t>certification by returners. Release surge capacity in phases as volumes decline through June. Monthly tax-season readiness reports are submitted to the COR beginning in October.</w:t>
            </w:r>
          </w:p>
        </w:tc>
      </w:tr>
      <w:tr w:rsidR="00B17E66" w14:paraId="1A6A330F" w14:textId="77777777" w:rsidTr="00B85496">
        <w:tc>
          <w:tcPr>
            <w:cnfStyle w:val="001000000000" w:firstRow="0" w:lastRow="0" w:firstColumn="1" w:lastColumn="0" w:oddVBand="0" w:evenVBand="0" w:oddHBand="0" w:evenHBand="0" w:firstRowFirstColumn="0" w:firstRowLastColumn="0" w:lastRowFirstColumn="0" w:lastRowLastColumn="0"/>
            <w:tcW w:w="976" w:type="pct"/>
          </w:tcPr>
          <w:p w14:paraId="5EC81349" w14:textId="77777777" w:rsidR="004C2D9A" w:rsidRDefault="00000000">
            <w:r>
              <w:t>PII / PHI / FTI Data Breach</w:t>
            </w:r>
          </w:p>
        </w:tc>
        <w:tc>
          <w:tcPr>
            <w:tcW w:w="1380" w:type="pct"/>
          </w:tcPr>
          <w:p w14:paraId="3C98C6A4" w14:textId="77777777" w:rsidR="004C2D9A" w:rsidRDefault="00000000">
            <w:pPr>
              <w:cnfStyle w:val="000000000000" w:firstRow="0" w:lastRow="0" w:firstColumn="0" w:lastColumn="0" w:oddVBand="0" w:evenVBand="0" w:oddHBand="0" w:evenHBand="0" w:firstRowFirstColumn="0" w:firstRowLastColumn="0" w:lastRowFirstColumn="0" w:lastRowLastColumn="0"/>
            </w:pPr>
            <w:r>
              <w:t>ER&amp;R systems process Personally Identifiable Information, Protected Health Information, and Federal Tax Information for ~24 million Marketplace consumers. A breach — whether through credential compromise, misconfigured cloud storage, exfiltration via subcontractor access, or insider misuse — triggers HHS/CMS one-hour incident reporting, OMB M-17-12 breach response, IRS Safeguards review for FTI, congressional notification, and lasting reputational impact.</w:t>
            </w:r>
          </w:p>
        </w:tc>
        <w:tc>
          <w:tcPr>
            <w:tcW w:w="2644" w:type="pct"/>
          </w:tcPr>
          <w:p w14:paraId="4C09435D" w14:textId="77777777" w:rsidR="004C2D9A" w:rsidRDefault="00000000">
            <w:pPr>
              <w:cnfStyle w:val="000000000000" w:firstRow="0" w:lastRow="0" w:firstColumn="0" w:lastColumn="0" w:oddVBand="0" w:evenVBand="0" w:oddHBand="0" w:evenHBand="0" w:firstRowFirstColumn="0" w:firstRowLastColumn="0" w:lastRowFirstColumn="0" w:lastRowLastColumn="0"/>
            </w:pPr>
            <w:r>
              <w:t xml:space="preserve">Implement HHS/CMS-approved encryption with current FIPS 140 </w:t>
            </w:r>
            <w:proofErr w:type="gramStart"/>
            <w:r>
              <w:t>validation</w:t>
            </w:r>
            <w:proofErr w:type="gramEnd"/>
            <w:r>
              <w:t xml:space="preserve"> in transit and at rest for every system component. Apply role-based access control with field-level masking for PII fields in CERRS and HICS. Conduct quarterly third-party (3PAO) penetration testing against the FedRAMP-compliant Azure Government enclave. Maintain a documented Incident and Breach Response Plan tested twice per year, with one-hour reporting to the CMS IRT pre-staged through CMS Help Desk and IT Service Desk channels. Continuous monitoring is operated by a CISSP-certified Security &amp; Privacy Officer with SOC integration.</w:t>
            </w:r>
          </w:p>
        </w:tc>
      </w:tr>
      <w:tr w:rsidR="00B17E66" w14:paraId="26AB25F8" w14:textId="77777777" w:rsidTr="00B85496">
        <w:tc>
          <w:tcPr>
            <w:cnfStyle w:val="001000000000" w:firstRow="0" w:lastRow="0" w:firstColumn="1" w:lastColumn="0" w:oddVBand="0" w:evenVBand="0" w:oddHBand="0" w:evenHBand="0" w:firstRowFirstColumn="0" w:firstRowLastColumn="0" w:lastRowFirstColumn="0" w:lastRowLastColumn="0"/>
            <w:tcW w:w="976" w:type="pct"/>
          </w:tcPr>
          <w:p w14:paraId="77358BFB" w14:textId="77777777" w:rsidR="004C2D9A" w:rsidRDefault="00000000">
            <w:r>
              <w:t>Regulatory &amp; Policy Changes Mid-Contract</w:t>
            </w:r>
          </w:p>
        </w:tc>
        <w:tc>
          <w:tcPr>
            <w:tcW w:w="1380" w:type="pct"/>
          </w:tcPr>
          <w:p w14:paraId="5C480B9A" w14:textId="77777777" w:rsidR="004C2D9A" w:rsidRDefault="00000000">
            <w:pPr>
              <w:cnfStyle w:val="000000000000" w:firstRow="0" w:lastRow="0" w:firstColumn="0" w:lastColumn="0" w:oddVBand="0" w:evenVBand="0" w:oddHBand="0" w:evenHBand="0" w:firstRowFirstColumn="0" w:firstRowLastColumn="0" w:lastRowFirstColumn="0" w:lastRowLastColumn="0"/>
            </w:pPr>
            <w:r>
              <w:t xml:space="preserve">ACA regulations, IRS guidance, CMS policy updates, the annual Payment Notice, and Marketplace integrity rules can alter dispute processing rules, Form 1095-A content, SOP requirements, and system logic mid-contract. A delayed response generates downstream consumer disputes, issuer complaints, and </w:t>
            </w:r>
            <w:r>
              <w:lastRenderedPageBreak/>
              <w:t>Enrollment Manual misalignment.</w:t>
            </w:r>
          </w:p>
        </w:tc>
        <w:tc>
          <w:tcPr>
            <w:tcW w:w="2644" w:type="pct"/>
          </w:tcPr>
          <w:p w14:paraId="52F1F0AE" w14:textId="77777777" w:rsidR="004C2D9A" w:rsidRDefault="00000000">
            <w:pPr>
              <w:cnfStyle w:val="000000000000" w:firstRow="0" w:lastRow="0" w:firstColumn="0" w:lastColumn="0" w:oddVBand="0" w:evenVBand="0" w:oddHBand="0" w:evenHBand="0" w:firstRowFirstColumn="0" w:firstRowLastColumn="0" w:lastRowFirstColumn="0" w:lastRowLastColumn="0"/>
            </w:pPr>
            <w:r>
              <w:lastRenderedPageBreak/>
              <w:t>Designate a Policy Watch function within the program management team that monitors the Federal Register, CMS guidance releases, REGTAP updates, and the Letter to Issuers continuously.</w:t>
            </w:r>
          </w:p>
        </w:tc>
      </w:tr>
      <w:tr w:rsidR="00277A49" w14:paraId="7F9B5E38" w14:textId="77777777" w:rsidTr="00B85496">
        <w:tc>
          <w:tcPr>
            <w:cnfStyle w:val="001000000000" w:firstRow="0" w:lastRow="0" w:firstColumn="1" w:lastColumn="0" w:oddVBand="0" w:evenVBand="0" w:oddHBand="0" w:evenHBand="0" w:firstRowFirstColumn="0" w:firstRowLastColumn="0" w:lastRowFirstColumn="0" w:lastRowLastColumn="0"/>
            <w:tcW w:w="976" w:type="pct"/>
          </w:tcPr>
          <w:p w14:paraId="0EDC5E02" w14:textId="77777777" w:rsidR="004C2D9A" w:rsidRDefault="00000000">
            <w:r>
              <w:t>Fraud, Unauthorized Enrollments &amp; Program Integrity</w:t>
            </w:r>
          </w:p>
        </w:tc>
        <w:tc>
          <w:tcPr>
            <w:tcW w:w="1380" w:type="pct"/>
          </w:tcPr>
          <w:p w14:paraId="370F2E12" w14:textId="77777777" w:rsidR="004C2D9A" w:rsidRDefault="00000000">
            <w:pPr>
              <w:cnfStyle w:val="000000000000" w:firstRow="0" w:lastRow="0" w:firstColumn="0" w:lastColumn="0" w:oddVBand="0" w:evenVBand="0" w:oddHBand="0" w:evenHBand="0" w:firstRowFirstColumn="0" w:firstRowLastColumn="0" w:lastRowFirstColumn="0" w:lastRowLastColumn="0"/>
            </w:pPr>
            <w:r>
              <w:t>Unauthorized plan switches (UPS), unauthorized enrollments (UE), demographic data obfuscation patterns, and improper APTC payments create undetected overlapping coverage, incorrect tax statements, and program-integrity vulnerabilities at the intersection of Tasks 2, 3, 4, and 8.</w:t>
            </w:r>
          </w:p>
        </w:tc>
        <w:tc>
          <w:tcPr>
            <w:tcW w:w="2644" w:type="pct"/>
          </w:tcPr>
          <w:p w14:paraId="5C673CFB" w14:textId="77777777" w:rsidR="004C2D9A" w:rsidRDefault="00000000">
            <w:pPr>
              <w:cnfStyle w:val="000000000000" w:firstRow="0" w:lastRow="0" w:firstColumn="0" w:lastColumn="0" w:oddVBand="0" w:evenVBand="0" w:oddHBand="0" w:evenHBand="0" w:firstRowFirstColumn="0" w:firstRowLastColumn="0" w:lastRowFirstColumn="0" w:lastRowLastColumn="0"/>
            </w:pPr>
            <w:r>
              <w:t>Analyze every new Marketplace enrollment for data anomalies consistent with UPS and UE patterns on a daily cadence.</w:t>
            </w:r>
          </w:p>
        </w:tc>
      </w:tr>
      <w:tr w:rsidR="001936A5" w14:paraId="0E253D70" w14:textId="77777777" w:rsidTr="00B85496">
        <w:tc>
          <w:tcPr>
            <w:cnfStyle w:val="001000000000" w:firstRow="0" w:lastRow="0" w:firstColumn="1" w:lastColumn="0" w:oddVBand="0" w:evenVBand="0" w:oddHBand="0" w:evenHBand="0" w:firstRowFirstColumn="0" w:firstRowLastColumn="0" w:lastRowFirstColumn="0" w:lastRowLastColumn="0"/>
            <w:tcW w:w="976" w:type="pct"/>
          </w:tcPr>
          <w:p w14:paraId="067A7FE9" w14:textId="77777777" w:rsidR="004C2D9A" w:rsidRDefault="00000000">
            <w:r>
              <w:t>Automated Business Rule Failures</w:t>
            </w:r>
          </w:p>
        </w:tc>
        <w:tc>
          <w:tcPr>
            <w:tcW w:w="1380" w:type="pct"/>
          </w:tcPr>
          <w:p w14:paraId="2489C0F9" w14:textId="77777777" w:rsidR="004C2D9A" w:rsidRDefault="00000000">
            <w:pPr>
              <w:cnfStyle w:val="000000000000" w:firstRow="0" w:lastRow="0" w:firstColumn="0" w:lastColumn="0" w:oddVBand="0" w:evenVBand="0" w:oddHBand="0" w:evenHBand="0" w:firstRowFirstColumn="0" w:firstRowLastColumn="0" w:lastRowFirstColumn="0" w:lastRowLastColumn="0"/>
            </w:pPr>
            <w:r>
              <w:t>ER&amp;R relies on automated rules to resolve approximately 99% of payment disputes, 95% of enrollment disputes, and 100% of SBE disputes (~6.1 million automated resolutions in 2024). A defective, outdated, or misconfigured rule could incorrectly resolve large volumes of disputes within hours, producing incorrect 1095-A forms and improper APTC payments at scale.</w:t>
            </w:r>
          </w:p>
        </w:tc>
        <w:tc>
          <w:tcPr>
            <w:tcW w:w="2644" w:type="pct"/>
          </w:tcPr>
          <w:p w14:paraId="53BCD431" w14:textId="77777777" w:rsidR="004C2D9A" w:rsidRDefault="00000000">
            <w:pPr>
              <w:cnfStyle w:val="000000000000" w:firstRow="0" w:lastRow="0" w:firstColumn="0" w:lastColumn="0" w:oddVBand="0" w:evenVBand="0" w:oddHBand="0" w:evenHBand="0" w:firstRowFirstColumn="0" w:firstRowLastColumn="0" w:lastRowFirstColumn="0" w:lastRowLastColumn="0"/>
            </w:pPr>
            <w:r>
              <w:t>Operate the rule library through a governed lifecycle: every change moves through peer review, sandbox testing on prior-year case data, COR notification, and parallel-run validation against existing rule output before promotion.</w:t>
            </w:r>
          </w:p>
        </w:tc>
      </w:tr>
      <w:tr w:rsidR="001936A5" w14:paraId="3D2193F7" w14:textId="77777777" w:rsidTr="00B85496">
        <w:tc>
          <w:tcPr>
            <w:cnfStyle w:val="001000000000" w:firstRow="0" w:lastRow="0" w:firstColumn="1" w:lastColumn="0" w:oddVBand="0" w:evenVBand="0" w:oddHBand="0" w:evenHBand="0" w:firstRowFirstColumn="0" w:firstRowLastColumn="0" w:lastRowFirstColumn="0" w:lastRowLastColumn="0"/>
            <w:tcW w:w="976" w:type="pct"/>
          </w:tcPr>
          <w:p w14:paraId="45B298CD" w14:textId="77777777" w:rsidR="004C2D9A" w:rsidRDefault="00000000">
            <w:r>
              <w:t>Service Level Agreement Performance Under Concurrent Peak Load</w:t>
            </w:r>
          </w:p>
        </w:tc>
        <w:tc>
          <w:tcPr>
            <w:tcW w:w="1380" w:type="pct"/>
          </w:tcPr>
          <w:p w14:paraId="6F9CC344" w14:textId="77777777" w:rsidR="004C2D9A" w:rsidRDefault="00000000">
            <w:pPr>
              <w:cnfStyle w:val="000000000000" w:firstRow="0" w:lastRow="0" w:firstColumn="0" w:lastColumn="0" w:oddVBand="0" w:evenVBand="0" w:oddHBand="0" w:evenHBand="0" w:firstRowFirstColumn="0" w:firstRowLastColumn="0" w:lastRowFirstColumn="0" w:lastRowLastColumn="0"/>
            </w:pPr>
            <w:r>
              <w:t xml:space="preserve">SOW Tables 3 and 4 require 95% of high-complexity issuer disputes resolved in 10 days and 1095-A consumer disputes resolved in 2/5/10 business days by complexity tier. During February–March, when 1095-A volume peaks concurrently with Open Enrollment close-out and the BUU correction cycle, simultaneous SLA </w:t>
            </w:r>
            <w:r>
              <w:lastRenderedPageBreak/>
              <w:t>pressure across Tasks 2, 3, 4, and 5 creates compounding breach risk.</w:t>
            </w:r>
          </w:p>
        </w:tc>
        <w:tc>
          <w:tcPr>
            <w:tcW w:w="2644" w:type="pct"/>
          </w:tcPr>
          <w:p w14:paraId="6BFBFCE3" w14:textId="77777777" w:rsidR="004C2D9A" w:rsidRDefault="00000000">
            <w:pPr>
              <w:cnfStyle w:val="000000000000" w:firstRow="0" w:lastRow="0" w:firstColumn="0" w:lastColumn="0" w:oddVBand="0" w:evenVBand="0" w:oddHBand="0" w:evenHBand="0" w:firstRowFirstColumn="0" w:firstRowLastColumn="0" w:lastRowFirstColumn="0" w:lastRowLastColumn="0"/>
            </w:pPr>
            <w:r>
              <w:lastRenderedPageBreak/>
              <w:t xml:space="preserve">Apply a unified case-routing dashboard that starts the SLA clock at intake and triggers early intervention when any case trends toward 70% of its SLA window. </w:t>
            </w:r>
            <w:proofErr w:type="gramStart"/>
            <w:r>
              <w:t>Cross-train</w:t>
            </w:r>
            <w:proofErr w:type="gramEnd"/>
            <w:r>
              <w:t xml:space="preserve"> the surge workforce so a 1095-A medium-complexity caseworker can absorb high-complexity overflow under supervisor escalation. Maintain a published peak-load capacity matrix covering supervisory ratios, QA coverage, and reserve activation thresholds at three concurrent volume scenarios so capacity does not degrade when caseload spikes.</w:t>
            </w:r>
          </w:p>
        </w:tc>
      </w:tr>
      <w:tr w:rsidR="001936A5" w14:paraId="23C18BBE" w14:textId="77777777" w:rsidTr="00B85496">
        <w:tc>
          <w:tcPr>
            <w:cnfStyle w:val="001000000000" w:firstRow="0" w:lastRow="0" w:firstColumn="1" w:lastColumn="0" w:oddVBand="0" w:evenVBand="0" w:oddHBand="0" w:evenHBand="0" w:firstRowFirstColumn="0" w:firstRowLastColumn="0" w:lastRowFirstColumn="0" w:lastRowLastColumn="0"/>
            <w:tcW w:w="976" w:type="pct"/>
          </w:tcPr>
          <w:p w14:paraId="4C363C2D" w14:textId="77777777" w:rsidR="004C2D9A" w:rsidRDefault="00000000">
            <w:r>
              <w:t>FFE Update Sequencing &amp; BUU Cycle Errors</w:t>
            </w:r>
          </w:p>
        </w:tc>
        <w:tc>
          <w:tcPr>
            <w:tcW w:w="1380" w:type="pct"/>
          </w:tcPr>
          <w:p w14:paraId="57AF7532" w14:textId="77777777" w:rsidR="004C2D9A" w:rsidRDefault="00000000">
            <w:pPr>
              <w:cnfStyle w:val="000000000000" w:firstRow="0" w:lastRow="0" w:firstColumn="0" w:lastColumn="0" w:oddVBand="0" w:evenVBand="0" w:oddHBand="0" w:evenHBand="0" w:firstRowFirstColumn="0" w:firstRowLastColumn="0" w:lastRowFirstColumn="0" w:lastRowLastColumn="0"/>
            </w:pPr>
            <w:r>
              <w:t>Task 5 BUU submissions, Update Policy API calls, and Hard Case updates must be sequenced correctly relative to the ~22 annual 1095-A correction cycles and the monthly Recon Run Calendar. A sequencing error or a missed pre-validation does not 'fail' visibly — it creates a new data problem that surfaces weeks later as a downstream dispute or a corrected/voided 1095-A.</w:t>
            </w:r>
          </w:p>
        </w:tc>
        <w:tc>
          <w:tcPr>
            <w:tcW w:w="2644" w:type="pct"/>
          </w:tcPr>
          <w:p w14:paraId="012FD9C2" w14:textId="77777777" w:rsidR="004C2D9A" w:rsidRDefault="00000000">
            <w:pPr>
              <w:cnfStyle w:val="000000000000" w:firstRow="0" w:lastRow="0" w:firstColumn="0" w:lastColumn="0" w:oddVBand="0" w:evenVBand="0" w:oddHBand="0" w:evenHBand="0" w:firstRowFirstColumn="0" w:firstRowLastColumn="0" w:lastRowFirstColumn="0" w:lastRowLastColumn="0"/>
            </w:pPr>
            <w:r>
              <w:t>Treat FFE submissions as a precision execution function with full pipeline visibility to CMS at every stage.</w:t>
            </w:r>
          </w:p>
        </w:tc>
      </w:tr>
      <w:tr w:rsidR="001936A5" w14:paraId="4CE84247" w14:textId="77777777" w:rsidTr="00B85496">
        <w:tc>
          <w:tcPr>
            <w:cnfStyle w:val="001000000000" w:firstRow="0" w:lastRow="0" w:firstColumn="1" w:lastColumn="0" w:oddVBand="0" w:evenVBand="0" w:oddHBand="0" w:evenHBand="0" w:firstRowFirstColumn="0" w:firstRowLastColumn="0" w:lastRowFirstColumn="0" w:lastRowLastColumn="0"/>
            <w:tcW w:w="976" w:type="pct"/>
          </w:tcPr>
          <w:p w14:paraId="531ACE91" w14:textId="77777777" w:rsidR="004C2D9A" w:rsidRDefault="00000000">
            <w:r>
              <w:t>FedRAMP / ATO Authorization &amp; Continuous Monitoring</w:t>
            </w:r>
          </w:p>
        </w:tc>
        <w:tc>
          <w:tcPr>
            <w:tcW w:w="1380" w:type="pct"/>
          </w:tcPr>
          <w:p w14:paraId="46736E26" w14:textId="77777777" w:rsidR="004C2D9A" w:rsidRDefault="00000000">
            <w:pPr>
              <w:cnfStyle w:val="000000000000" w:firstRow="0" w:lastRow="0" w:firstColumn="0" w:lastColumn="0" w:oddVBand="0" w:evenVBand="0" w:oddHBand="0" w:evenHBand="0" w:firstRowFirstColumn="0" w:firstRowLastColumn="0" w:lastRowFirstColumn="0" w:lastRowLastColumn="0"/>
            </w:pPr>
            <w:r>
              <w:t>CERRS, HICS, SEED, and EDA CORE operate inside the CMS Microsoft Azure Government (MAG) enclave with the Snowflake EDA CORE deployment requiring FedRAMP sponsorship. Lapses in continuous monitoring artifacts, POA&amp;M discipline, or 3PAO assessment cadence could suspend or revoke an ATO and force operational restrictions during a period of mission-critical casework.</w:t>
            </w:r>
          </w:p>
        </w:tc>
        <w:tc>
          <w:tcPr>
            <w:tcW w:w="2644" w:type="pct"/>
          </w:tcPr>
          <w:p w14:paraId="55558550" w14:textId="77777777" w:rsidR="004C2D9A" w:rsidRDefault="00000000">
            <w:pPr>
              <w:cnfStyle w:val="000000000000" w:firstRow="0" w:lastRow="0" w:firstColumn="0" w:lastColumn="0" w:oddVBand="0" w:evenVBand="0" w:oddHBand="0" w:evenHBand="0" w:firstRowFirstColumn="0" w:firstRowLastColumn="0" w:lastRowFirstColumn="0" w:lastRowLastColumn="0"/>
            </w:pPr>
            <w:r>
              <w:t>Maintain ATO continuity through a Security &amp; Privacy Officer-led continuous monitoring program with monthly OS/database/web/network vulnerability scan delivery, POA&amp;M updates against the HHS standard (15-day critical / 30-day high /.</w:t>
            </w:r>
          </w:p>
        </w:tc>
      </w:tr>
      <w:tr w:rsidR="001936A5" w14:paraId="0772F52E" w14:textId="77777777" w:rsidTr="00B85496">
        <w:tc>
          <w:tcPr>
            <w:cnfStyle w:val="001000000000" w:firstRow="0" w:lastRow="0" w:firstColumn="1" w:lastColumn="0" w:oddVBand="0" w:evenVBand="0" w:oddHBand="0" w:evenHBand="0" w:firstRowFirstColumn="0" w:firstRowLastColumn="0" w:lastRowFirstColumn="0" w:lastRowLastColumn="0"/>
            <w:tcW w:w="976" w:type="pct"/>
          </w:tcPr>
          <w:p w14:paraId="05436D12" w14:textId="77777777" w:rsidR="004C2D9A" w:rsidRDefault="00000000">
            <w:r>
              <w:t>Cross-Contractor Coordination Dependencies</w:t>
            </w:r>
          </w:p>
        </w:tc>
        <w:tc>
          <w:tcPr>
            <w:tcW w:w="1380" w:type="pct"/>
          </w:tcPr>
          <w:p w14:paraId="06BC05C3" w14:textId="77777777" w:rsidR="004C2D9A" w:rsidRDefault="00000000">
            <w:pPr>
              <w:cnfStyle w:val="000000000000" w:firstRow="0" w:lastRow="0" w:firstColumn="0" w:lastColumn="0" w:oddVBand="0" w:evenVBand="0" w:oddHBand="0" w:evenHBand="0" w:firstRowFirstColumn="0" w:firstRowLastColumn="0" w:lastRowFirstColumn="0" w:lastRowLastColumn="0"/>
            </w:pPr>
            <w:r>
              <w:t xml:space="preserve">ER&amp;R cannot be delivered in isolation — performance depends on continuous coordination with the CMS Data Services Hub (DSH), Eligibility Support, Federal Exchange Call Center, FMPS, Marketplace System Integrator (MSI), </w:t>
            </w:r>
            <w:r>
              <w:lastRenderedPageBreak/>
              <w:t>Operations Analytics, Operations Support, Federal Exchange Print, and Stakeholder Engagement contractors. A misaligned interface, an undocumented schedule change, or a transition gap at any of those boundaries creates downstream casework volume Deloitte cannot prevent unilaterally.</w:t>
            </w:r>
          </w:p>
        </w:tc>
        <w:tc>
          <w:tcPr>
            <w:tcW w:w="2644" w:type="pct"/>
          </w:tcPr>
          <w:p w14:paraId="7635C27C" w14:textId="77777777" w:rsidR="004C2D9A" w:rsidRDefault="00000000">
            <w:pPr>
              <w:cnfStyle w:val="000000000000" w:firstRow="0" w:lastRow="0" w:firstColumn="0" w:lastColumn="0" w:oddVBand="0" w:evenVBand="0" w:oddHBand="0" w:evenHBand="0" w:firstRowFirstColumn="0" w:firstRowLastColumn="0" w:lastRowFirstColumn="0" w:lastRowLastColumn="0"/>
            </w:pPr>
            <w:r>
              <w:lastRenderedPageBreak/>
              <w:t xml:space="preserve">Establish a standing cross-contractor coordination cadence anchored to the SOW interfaces: weekly CMS issuer calls, monthly SBE calls, daily operational reconciliation workgroup participation, and structured handoff protocols documented in the Project Implementation and Oversight Plan.</w:t>
            </w:r>
            <w:r>
              <w:lastRenderedPageBreak/>
              <w:t>exchange) with alerts when latency or error rates breach thresholds — surfacing other-contractor issues to CMS through the COR with root-cause analysis rather than absorbing them silently.</w:t>
            </w:r>
          </w:p>
        </w:tc>
      </w:tr>
    </w:tbl>
    <w:p>
      <w:pPr>
        <w:pStyle w:val="BodyText"/>
      </w:pPr>
      <w:r>
        <w:t>Deloitte applies a continuous six-phase risk lifecycle — Identification, Scoring, Mitigation Planning, Execution, Escalation, and Quarterly Review — governed through the monthly risk register, COR reporting cadence, and an annual lessons-learned cycle that feeds findings into SOP updates and the Task Order Summary Report.</w:t>
      </w:r>
    </w:p>
    <w:p w14:paraId="520572AC" w14:textId="77777777" w:rsidR="004C7234" w:rsidRDefault="004C7234" w:rsidP="00775066">
      <w:pPr>
        <w:pStyle w:val="Heading1"/>
      </w:pPr>
      <w:bookmarkStart w:id="14" w:name="_Toc228252918"/>
      <w:r>
        <w:lastRenderedPageBreak/>
        <w:t>2.0</w:t>
      </w:r>
      <w:r>
        <w:tab/>
      </w:r>
      <w:r w:rsidRPr="004C7234">
        <w:t>Section 2: Management Approach, Quality Assurance and Surveillance Plan, and Staffing Plan</w:t>
      </w:r>
      <w:r w:rsidR="00A10BAA">
        <w:t xml:space="preserve"> </w:t>
      </w:r>
      <w:r w:rsidR="00A10BAA" w:rsidRPr="00806273">
        <w:t>(</w:t>
      </w:r>
      <w:r w:rsidR="003D0CAF">
        <w:t>Total 11</w:t>
      </w:r>
      <w:r w:rsidR="00A10BAA" w:rsidRPr="00806273">
        <w:t xml:space="preserve"> Pages)</w:t>
      </w:r>
      <w:bookmarkEnd w:id="14"/>
    </w:p>
    <w:p w14:paraId="360D18A3" w14:textId="77777777" w:rsidR="00775066" w:rsidRDefault="00775066" w:rsidP="00775066">
      <w:pPr>
        <w:pStyle w:val="Heading2"/>
      </w:pPr>
      <w:bookmarkStart w:id="15" w:name="_Toc228252919"/>
      <w:r>
        <w:t>2.1</w:t>
      </w:r>
      <w:r>
        <w:tab/>
      </w:r>
      <w:r w:rsidRPr="00775066">
        <w:t>Sub-Section 2A: Management Approach</w:t>
      </w:r>
      <w:r w:rsidR="003D0CAF">
        <w:t xml:space="preserve"> </w:t>
      </w:r>
      <w:r w:rsidR="003D0CAF" w:rsidRPr="00806273">
        <w:t>(</w:t>
      </w:r>
      <w:r w:rsidR="003D0CAF">
        <w:t>6</w:t>
      </w:r>
      <w:r w:rsidR="003D0CAF" w:rsidRPr="00806273">
        <w:t xml:space="preserve"> Pages)</w:t>
      </w:r>
      <w:bookmarkEnd w:id="15"/>
    </w:p>
    <w:p w14:paraId="2F76EB20" w14:textId="77777777" w:rsidR="00775066" w:rsidRDefault="00BC43A6" w:rsidP="00BC43A6">
      <w:pPr>
        <w:pStyle w:val="Heading3"/>
      </w:pPr>
      <w:bookmarkStart w:id="16" w:name="_Toc228252920"/>
      <w:r>
        <w:t>2.1.1</w:t>
      </w:r>
      <w:r>
        <w:tab/>
      </w:r>
      <w:r w:rsidR="00036443" w:rsidRPr="00036443">
        <w:t>Task 1: Program Implementation and Oversight (PI&amp;O)</w:t>
      </w:r>
      <w:r w:rsidR="000306D0" w:rsidRPr="000306D0">
        <w:t xml:space="preserve"> </w:t>
      </w:r>
      <w:r w:rsidR="000306D0" w:rsidRPr="000306D0">
        <w:rPr>
          <w:vertAlign w:val="superscript"/>
        </w:rPr>
        <w:t>(SOW 3.1)</w:t>
      </w:r>
      <w:bookmarkEnd w:id="16"/>
    </w:p>
    <w:p w14:paraId="70D81DF2" w14:textId="77777777" w:rsidR="009F2DA5" w:rsidRDefault="009F2DA5" w:rsidP="009F2DA5">
      <w:pPr>
        <w:pStyle w:val="BodyText"/>
      </w:pPr>
      <w:r>
        <w:t xml:space="preserve">The PIOP is the primary management instrument and Deloitte's commitment of record to CMS. The PIOP will document Deloitte's approach across every project management knowledge area required by Attachment 2 §2A — scope management, time management, cost management, communication management, information security and privacy management, subcontractor monitoring, and risk and issue management — and will incorporate the work breakdown structure (WBS), schedule, milestones, key personnel, technology and AI transparency, and the structured collaboration model with CMS staff and other CMS contractors. The PIOP will be updated quarterly and ad hoc as conditions change, and Deloitte will not commit to any major staffing or ODC action without prior COR approval. Tooling discipline reinforces the plan: an integrated RAID log, a decision log, a milestone dashboard, and a JIRA-based change request backlog all maintained in a CMS-accessible </w:t>
      </w:r>
      <w:proofErr w:type="gramStart"/>
      <w:r>
        <w:t>workspace</w:t>
      </w:r>
      <w:proofErr w:type="gramEnd"/>
      <w:r>
        <w:t xml:space="preserve"> so the COR has continuous visibility, not periodic snapshots.</w:t>
      </w:r>
    </w:p>
    <w:p w14:paraId="633EBF05" w14:textId="77777777" w:rsidR="0081163E" w:rsidRDefault="0081163E" w:rsidP="0081163E">
      <w:pPr>
        <w:pStyle w:val="TableTitle"/>
      </w:pPr>
      <w:r>
        <w:t>Table 2.1.1-1. Approach Summary.</w:t>
      </w:r>
    </w:p>
    <w:tbl>
      <w:tblPr>
        <w:tblStyle w:val="DeloitteTable2"/>
        <w:tblW w:w="5000" w:type="pct"/>
        <w:tblLook w:val="06A0" w:firstRow="1" w:lastRow="0" w:firstColumn="1" w:lastColumn="0" w:noHBand="1" w:noVBand="1"/>
      </w:tblPr>
      <w:tblGrid>
        <w:gridCol w:w="1547"/>
        <w:gridCol w:w="7803"/>
      </w:tblGrid>
      <w:tr w:rsidR="0081163E" w14:paraId="350DBD01" w14:textId="77777777" w:rsidTr="008313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7" w:type="pct"/>
          </w:tcPr>
          <w:p w14:paraId="79331288" w14:textId="77777777" w:rsidR="0081163E" w:rsidRDefault="009237B3">
            <w:pPr>
              <w:pStyle w:val="TableHeading"/>
            </w:pPr>
            <w:r>
              <w:t>Column Heading</w:t>
            </w:r>
          </w:p>
        </w:tc>
        <w:tc>
          <w:tcPr>
            <w:tcW w:w="4233" w:type="pct"/>
          </w:tcPr>
          <w:p w14:paraId="375AE4F1" w14:textId="77777777" w:rsidR="0081163E" w:rsidRDefault="009237B3">
            <w:pPr>
              <w:pStyle w:val="TableHeading"/>
              <w:cnfStyle w:val="100000000000" w:firstRow="1" w:lastRow="0" w:firstColumn="0" w:lastColumn="0" w:oddVBand="0" w:evenVBand="0" w:oddHBand="0" w:evenHBand="0" w:firstRowFirstColumn="0" w:firstRowLastColumn="0" w:lastRowFirstColumn="0" w:lastRowLastColumn="0"/>
            </w:pPr>
            <w:r>
              <w:t>Description</w:t>
            </w:r>
          </w:p>
        </w:tc>
      </w:tr>
      <w:tr w:rsidR="0081163E" w14:paraId="1C19B905" w14:textId="77777777" w:rsidTr="008313B5">
        <w:tc>
          <w:tcPr>
            <w:cnfStyle w:val="001000000000" w:firstRow="0" w:lastRow="0" w:firstColumn="1" w:lastColumn="0" w:oddVBand="0" w:evenVBand="0" w:oddHBand="0" w:evenHBand="0" w:firstRowFirstColumn="0" w:firstRowLastColumn="0" w:lastRowFirstColumn="0" w:lastRowLastColumn="0"/>
            <w:tcW w:w="767" w:type="pct"/>
          </w:tcPr>
          <w:p w14:paraId="6B18A5D4" w14:textId="77777777" w:rsidR="0081163E" w:rsidRPr="00C669B5" w:rsidRDefault="0081163E" w:rsidP="00C669B5">
            <w:pPr>
              <w:pStyle w:val="TableRowHeading"/>
              <w:rPr>
                <w:rStyle w:val="CharacterBold"/>
                <w:b/>
              </w:rPr>
            </w:pPr>
            <w:r w:rsidRPr="00C669B5">
              <w:t>Project Implementation and Oversight</w:t>
            </w:r>
          </w:p>
        </w:tc>
        <w:tc>
          <w:tcPr>
            <w:tcW w:w="4233" w:type="pct"/>
          </w:tcPr>
          <w:p w14:paraId="2B9EA762" w14:textId="77777777" w:rsidR="0081163E" w:rsidRPr="00A54353" w:rsidRDefault="009527C9">
            <w:pPr>
              <w:pStyle w:val="TableBody"/>
              <w:cnfStyle w:val="000000000000" w:firstRow="0" w:lastRow="0" w:firstColumn="0" w:lastColumn="0" w:oddVBand="0" w:evenVBand="0" w:oddHBand="0" w:evenHBand="0" w:firstRowFirstColumn="0" w:firstRowLastColumn="0" w:lastRowFirstColumn="0" w:lastRowLastColumn="0"/>
              <w:rPr>
                <w:rStyle w:val="CharacterBold"/>
              </w:rPr>
            </w:pPr>
            <w:r w:rsidRPr="009237B3">
              <w:rPr>
                <w:rStyle w:val="CharacterBold"/>
              </w:rPr>
              <w:t xml:space="preserve">Scope </w:t>
            </w:r>
            <w:r w:rsidR="002E47A4">
              <w:rPr>
                <w:rStyle w:val="CharacterBold"/>
              </w:rPr>
              <w:t>M</w:t>
            </w:r>
            <w:r w:rsidRPr="009237B3">
              <w:rPr>
                <w:rStyle w:val="CharacterBold"/>
              </w:rPr>
              <w:t>anagement</w:t>
            </w:r>
            <w:r w:rsidR="009237B3" w:rsidRPr="009237B3">
              <w:rPr>
                <w:rStyle w:val="CharacterBold"/>
              </w:rPr>
              <w:t>.</w:t>
            </w:r>
            <w:r w:rsidR="00752DAE">
              <w:t xml:space="preserve"> </w:t>
            </w:r>
            <w:r w:rsidR="00752DAE" w:rsidRPr="00DD7489">
              <w:t>The PIOP will include a clear task-to-scope alignment that maps implementation and oversight activities directly to the SOW. This will demonstrate how startup, governance, staffing, technical readiness, reporting coordination, and management oversight support performance of the ER&amp;R scope rather than functioning as disconnected administrative efforts. By structuring the PIOP this way, we will provide CMS with traceability from contract requirements to implementation activities, milestones, and management controls. The PIOP will also establish the baseline for scope management by defining how clarifications, adjustments, or requested changes will be reviewed, approved, and incorporated in a controlled manner.</w:t>
            </w:r>
          </w:p>
          <w:p w14:paraId="00882DB4" w14:textId="77777777" w:rsidR="0081163E" w:rsidRPr="00A54353" w:rsidRDefault="009527C9">
            <w:pPr>
              <w:pStyle w:val="TableBody"/>
              <w:cnfStyle w:val="000000000000" w:firstRow="0" w:lastRow="0" w:firstColumn="0" w:lastColumn="0" w:oddVBand="0" w:evenVBand="0" w:oddHBand="0" w:evenHBand="0" w:firstRowFirstColumn="0" w:firstRowLastColumn="0" w:lastRowFirstColumn="0" w:lastRowLastColumn="0"/>
              <w:rPr>
                <w:rStyle w:val="CharacterBold"/>
                <w:b w:val="0"/>
                <w:bCs/>
              </w:rPr>
            </w:pPr>
            <w:r w:rsidRPr="009237B3">
              <w:rPr>
                <w:rStyle w:val="CharacterBold"/>
              </w:rPr>
              <w:t xml:space="preserve">Time </w:t>
            </w:r>
            <w:r w:rsidR="002E47A4">
              <w:rPr>
                <w:rStyle w:val="CharacterBold"/>
              </w:rPr>
              <w:t>M</w:t>
            </w:r>
            <w:r w:rsidRPr="009237B3">
              <w:rPr>
                <w:rStyle w:val="CharacterBold"/>
              </w:rPr>
              <w:t>anagement</w:t>
            </w:r>
            <w:r w:rsidR="009237B3" w:rsidRPr="009237B3">
              <w:rPr>
                <w:rStyle w:val="CharacterBold"/>
              </w:rPr>
              <w:t>.</w:t>
            </w:r>
            <w:r w:rsidR="009237B3" w:rsidRPr="00A54353">
              <w:rPr>
                <w:rStyle w:val="CharacterBold"/>
              </w:rPr>
              <w:t xml:space="preserve"> </w:t>
            </w:r>
            <w:r w:rsidR="00B7056C" w:rsidRPr="00DD7489">
              <w:t>Our PIOP will include an integrated implementation roadmap with detailed milestones and workstream-level sequencing. The schedule will be built around the activities required to establish operational control and readiness, including knowledge transfer, access and environment readiness, documentation review, systems and interface setup, testing, cutover, stabilization, and transition to steady-state operations. We will account for operationally sensitive periods, workload peaks, and business-critical cycles so implementation activities are aligned to the realities of ER&amp;R performance and do not create avoidable operational risk. Because transition, stabilization, casework readiness, technical setup, reporting coordination, and operational support activities must often proceed in parallel, the PIOP will define the sequencing logic, dependency controls, and management checkpoints needed to keep simultaneous workstreams aligned</w:t>
            </w:r>
            <w:r w:rsidR="00E85FF4" w:rsidRPr="00DD7489">
              <w:t>.</w:t>
            </w:r>
          </w:p>
          <w:p w14:paraId="034DF05E" w14:textId="77777777" w:rsidR="00242F02" w:rsidRPr="00A54353" w:rsidRDefault="00242F02">
            <w:pPr>
              <w:pStyle w:val="TableBody"/>
              <w:cnfStyle w:val="000000000000" w:firstRow="0" w:lastRow="0" w:firstColumn="0" w:lastColumn="0" w:oddVBand="0" w:evenVBand="0" w:oddHBand="0" w:evenHBand="0" w:firstRowFirstColumn="0" w:firstRowLastColumn="0" w:lastRowFirstColumn="0" w:lastRowLastColumn="0"/>
              <w:rPr>
                <w:rStyle w:val="CharacterBold"/>
                <w:b w:val="0"/>
                <w:bCs/>
              </w:rPr>
            </w:pPr>
            <w:r w:rsidRPr="00DD7489">
              <w:t>ER&amp;R workloads are affected by</w:t>
            </w:r>
            <w:r w:rsidRPr="00242F02">
              <w:rPr>
                <w:rStyle w:val="CharacterBold"/>
                <w:b w:val="0"/>
                <w:bCs/>
              </w:rPr>
              <w:t xml:space="preserve"> </w:t>
            </w:r>
            <w:r w:rsidRPr="009A2A60">
              <w:rPr>
                <w:rStyle w:val="CharacterBold"/>
              </w:rPr>
              <w:t>seasonal peaks, dispute spikes, and time-sensitive processing cycles</w:t>
            </w:r>
            <w:r w:rsidRPr="00242F02">
              <w:rPr>
                <w:rStyle w:val="CharacterBold"/>
                <w:b w:val="0"/>
                <w:bCs/>
              </w:rPr>
              <w:t xml:space="preserve">. </w:t>
            </w:r>
            <w:r w:rsidRPr="00DD7489">
              <w:t>Our management approach includes proactive planning for these periods through readiness reviews, volume forecasting, resource flexing, temporary staffing strategies, and surge-specific oversight controls. We will distinguish between casework surge and contact center surge, since each requires different staffing models, leadership controls, and quality approaches. This ensures the program remains prepared ahead of high-volume periods rather than reacting only after workloads increase. This is particularly important around Form 1095-A and tax-season activity, which are recurring pressure points for consumer volume and casework intensity. Known business-cycle peaks should therefore be managed as expected operational conditions, not as exceptions.</w:t>
            </w:r>
          </w:p>
          <w:p w14:paraId="600AEC70" w14:textId="77777777" w:rsidR="00CA624C" w:rsidRPr="00A54353" w:rsidRDefault="00CA624C" w:rsidP="00CA624C">
            <w:pPr>
              <w:pStyle w:val="TableBody"/>
              <w:cnfStyle w:val="000000000000" w:firstRow="0" w:lastRow="0" w:firstColumn="0" w:lastColumn="0" w:oddVBand="0" w:evenVBand="0" w:oddHBand="0" w:evenHBand="0" w:firstRowFirstColumn="0" w:firstRowLastColumn="0" w:lastRowFirstColumn="0" w:lastRowLastColumn="0"/>
              <w:rPr>
                <w:rStyle w:val="CharacterBold"/>
              </w:rPr>
            </w:pPr>
            <w:r w:rsidRPr="00455B46">
              <w:rPr>
                <w:rStyle w:val="CharacterBold"/>
              </w:rPr>
              <w:t>Key Milestones and Target Dates.</w:t>
            </w:r>
            <w:r w:rsidRPr="00A54353">
              <w:rPr>
                <w:rStyle w:val="CharacterBold"/>
              </w:rPr>
              <w:t xml:space="preserve"> </w:t>
            </w:r>
            <w:r w:rsidRPr="00A54353">
              <w:rPr>
                <w:rStyle w:val="CharacterBold"/>
                <w:b w:val="0"/>
                <w:bCs/>
              </w:rPr>
              <w:t>XXX</w:t>
            </w:r>
            <w:r w:rsidR="009E3168">
              <w:rPr>
                <w:rStyle w:val="CharacterBold"/>
                <w:b w:val="0"/>
                <w:bCs/>
              </w:rPr>
              <w:t xml:space="preserve"/>
            </w:r>
          </w:p>
          <w:p w14:paraId="1E1D630F" w14:textId="77777777" w:rsidR="00280008" w:rsidRPr="00C83BB4" w:rsidRDefault="00280008">
            <w:pPr>
              <w:pStyle w:val="TableBody"/>
              <w:cnfStyle w:val="000000000000" w:firstRow="0" w:lastRow="0" w:firstColumn="0" w:lastColumn="0" w:oddVBand="0" w:evenVBand="0" w:oddHBand="0" w:evenHBand="0" w:firstRowFirstColumn="0" w:firstRowLastColumn="0" w:lastRowFirstColumn="0" w:lastRowLastColumn="0"/>
              <w:rPr>
                <w:rStyle w:val="CharacterBold"/>
                <w:b w:val="0"/>
              </w:rPr>
            </w:pPr>
            <w:r>
              <w:rPr>
                <w:rStyle w:val="CharacterBold"/>
              </w:rPr>
              <w:t>I</w:t>
            </w:r>
            <w:r w:rsidRPr="00280008">
              <w:rPr>
                <w:rStyle w:val="CharacterBold"/>
              </w:rPr>
              <w:t xml:space="preserve">nformation Security and Privacy </w:t>
            </w:r>
            <w:r>
              <w:rPr>
                <w:rStyle w:val="CharacterBold"/>
              </w:rPr>
              <w:t>M</w:t>
            </w:r>
            <w:r w:rsidRPr="00280008">
              <w:rPr>
                <w:rStyle w:val="CharacterBold"/>
              </w:rPr>
              <w:t>anagement</w:t>
            </w:r>
            <w:r>
              <w:rPr>
                <w:rStyle w:val="CharacterBold"/>
              </w:rPr>
              <w:t xml:space="preserve">. </w:t>
            </w:r>
            <w:r w:rsidR="00546BBA" w:rsidRPr="00DD7489">
              <w:t>To safeguard sensitive data such as Personally Identifiable Information (PII), Protected Health Information (PHI), and CMS financial data, strict controls must be implemented across physical, technical, and administrative domains. These measures ensure compliance with regulatory requirements such as HIPAA, HITECH, and CMS security standards while securing data integrity, confidentiality, and availability.</w:t>
            </w:r>
            <w:r w:rsidR="00A8516F" w:rsidRPr="00DD7489">
              <w:t xml:space="preserve"> </w:t>
            </w:r>
            <w:r w:rsidR="00546BBA" w:rsidRPr="00257D77">
              <w:rPr>
                <w:rStyle w:val="CharacterBold"/>
              </w:rPr>
              <w:t>Data encryption</w:t>
            </w:r>
            <w:r w:rsidR="00546BBA" w:rsidRPr="00DD7489">
              <w:t xml:space="preserve"> is a cornerstone of data security, protecting information both in transit and at rest. Advanced Encryption Standard (AES-256), recognized for its robustness, should be utilized with Federal Information Processing Standards (FIPS) 140-2 compliant algorithms. Sensitive data such as PII and PHI can benefit from a multi-layered encryption approach that combines AES-256 for data protection and RSA encryption for secure key management. Furthermore, Transport Layer Security (TLS), Virtual Private Networks (VPNs), and </w:t>
            </w:r>
            <w:r w:rsidR="00546BBA" w:rsidRPr="00DD7489">
              <w:lastRenderedPageBreak/>
              <w:t>Internet Protocol Security (IPSec) protocols should be employed for secure communications across network components</w:t>
            </w:r>
            <w:r w:rsidR="00015AF2" w:rsidRPr="00DD7489">
              <w:t>.</w:t>
            </w:r>
            <w:r w:rsidR="00C83BB4" w:rsidRPr="00DD7489">
              <w:t xml:space="preserve"> </w:t>
            </w:r>
            <w:r w:rsidR="00546BBA" w:rsidRPr="00257D77">
              <w:rPr>
                <w:rStyle w:val="CharacterBold"/>
              </w:rPr>
              <w:t>User authentication and access controls</w:t>
            </w:r>
            <w:r w:rsidR="00546BBA" w:rsidRPr="00546BBA">
              <w:rPr>
                <w:rStyle w:val="CharacterBold"/>
                <w:b w:val="0"/>
                <w:bCs/>
              </w:rPr>
              <w:t xml:space="preserve"> </w:t>
            </w:r>
            <w:r w:rsidR="00546BBA" w:rsidRPr="00DD7489">
              <w:t xml:space="preserve">are critical for securing sensitive data. Implementing Multi-Factor Authentication (MFA), Single Sign-On (SSO), and Role-Based Access Controls (RBAC) ensures access is granted based on the principles of Least Privilege Access (LPA). These mechanisms restrict unauthorized access and enhance operational efficiency. </w:t>
            </w:r>
            <w:r w:rsidR="00546BBA" w:rsidRPr="00257D77">
              <w:rPr>
                <w:rStyle w:val="CharacterBold"/>
              </w:rPr>
              <w:t>Routine security audits and vulnerability assessments</w:t>
            </w:r>
            <w:r w:rsidR="00546BBA" w:rsidRPr="00546BBA">
              <w:rPr>
                <w:rStyle w:val="CharacterBold"/>
                <w:b w:val="0"/>
                <w:bCs/>
              </w:rPr>
              <w:t xml:space="preserve"> </w:t>
            </w:r>
            <w:r w:rsidR="00546BBA" w:rsidRPr="00DD7489">
              <w:t>should be conducted to identify and address potential risks. Vulnerability scanning tools, penetration testing, and security audits are vital for evaluating the security posture of networks, systems, databases, and applications. System hardening measures like patch management and continuous monitoring help proactively remediate vulnerabilities and protect against malicious actors. To further protect sensitive data,</w:t>
            </w:r>
            <w:r w:rsidR="00546BBA" w:rsidRPr="00546BBA">
              <w:rPr>
                <w:rStyle w:val="CharacterBold"/>
                <w:b w:val="0"/>
                <w:bCs/>
              </w:rPr>
              <w:t xml:space="preserve"> </w:t>
            </w:r>
            <w:r w:rsidR="00546BBA" w:rsidRPr="00257D77">
              <w:rPr>
                <w:rStyle w:val="CharacterBold"/>
              </w:rPr>
              <w:t>physical safeguards</w:t>
            </w:r>
            <w:r w:rsidR="00546BBA" w:rsidRPr="00546BBA">
              <w:rPr>
                <w:rStyle w:val="CharacterBold"/>
                <w:b w:val="0"/>
                <w:bCs/>
              </w:rPr>
              <w:t xml:space="preserve"> </w:t>
            </w:r>
            <w:r w:rsidR="00546BBA" w:rsidRPr="00DD7489">
              <w:t xml:space="preserve">should secure facilities housing data from environmental hazards and unauthorized intrusion. By integrating these stringent controls, </w:t>
            </w:r>
            <w:r w:rsidR="00C83BB4" w:rsidRPr="00DD7489">
              <w:t>we</w:t>
            </w:r>
            <w:r w:rsidR="00546BBA" w:rsidRPr="00DD7489">
              <w:t xml:space="preserve"> can effectively safeguard sensitive data while adhering to CMS security guidelines and other regulatory requirements.</w:t>
            </w:r>
          </w:p>
          <w:p w14:paraId="686E03EC" w14:textId="77777777" w:rsidR="00974C46" w:rsidRPr="00A54353" w:rsidRDefault="00974C46">
            <w:pPr>
              <w:pStyle w:val="TableBody"/>
              <w:cnfStyle w:val="000000000000" w:firstRow="0" w:lastRow="0" w:firstColumn="0" w:lastColumn="0" w:oddVBand="0" w:evenVBand="0" w:oddHBand="0" w:evenHBand="0" w:firstRowFirstColumn="0" w:firstRowLastColumn="0" w:lastRowFirstColumn="0" w:lastRowLastColumn="0"/>
              <w:rPr>
                <w:rStyle w:val="CharacterBold"/>
              </w:rPr>
            </w:pPr>
            <w:r w:rsidRPr="002E47A4">
              <w:rPr>
                <w:rStyle w:val="CharacterBold"/>
              </w:rPr>
              <w:t>Subcontract</w:t>
            </w:r>
            <w:r w:rsidR="002E47A4" w:rsidRPr="002E47A4">
              <w:rPr>
                <w:rStyle w:val="CharacterBold"/>
              </w:rPr>
              <w:t>or Management.</w:t>
            </w:r>
            <w:r w:rsidR="002E47A4" w:rsidRPr="00A54353">
              <w:rPr>
                <w:rStyle w:val="CharacterBold"/>
              </w:rPr>
              <w:t xml:space="preserve"> </w:t>
            </w:r>
            <w:r w:rsidR="00E767F3" w:rsidRPr="00E767F3">
              <w:rPr>
                <w:rStyle w:val="CharacterBold"/>
                <w:b w:val="0"/>
                <w:bCs/>
              </w:rPr>
              <w:t>Ensuring seamless integration of subcontractor activities into the overall project plan necessitates clearly defined processes, robust monitoring, and active collaboration. Deloitte employs a comprehensive approach to managing subcontractors, integrating them as part of a unified team while maintaining accountability through performance metrics and reporting.</w:t>
            </w:r>
            <w:r w:rsidR="00636861">
              <w:rPr>
                <w:rStyle w:val="CharacterBold"/>
                <w:b w:val="0"/>
                <w:bCs/>
              </w:rPr>
              <w:t xml:space="preserve"> </w:t>
            </w:r>
            <w:r w:rsidR="00636861">
              <w:t>Deloitte requires subcontractors to submit regular status reports, typically monthly, detailing their progress, plans for upcoming tasks, issue and risk statuses, and budget updates. These reports are closely monitored to ensure alignment with project milestones and quality standards</w:t>
            </w:r>
            <w:r w:rsidR="0099255A">
              <w:t>.</w:t>
            </w:r>
            <w:r w:rsidR="00A41A48">
              <w:t xml:space="preserve"> Should performance gaps arise, Deloitte implements a proactive mitigation process, requiring subcontractors to develop a Remedy Action Plan that proposes corrective measures to address identified challenges.</w:t>
            </w:r>
          </w:p>
          <w:p w14:paraId="5F996DE4" w14:textId="77777777" w:rsidR="00AA7CA0" w:rsidRPr="00A54353" w:rsidRDefault="00A54353">
            <w:pPr>
              <w:pStyle w:val="TableBody"/>
              <w:cnfStyle w:val="000000000000" w:firstRow="0" w:lastRow="0" w:firstColumn="0" w:lastColumn="0" w:oddVBand="0" w:evenVBand="0" w:oddHBand="0" w:evenHBand="0" w:firstRowFirstColumn="0" w:firstRowLastColumn="0" w:lastRowFirstColumn="0" w:lastRowLastColumn="0"/>
              <w:rPr>
                <w:rStyle w:val="CharacterBold"/>
              </w:rPr>
            </w:pPr>
            <w:r w:rsidRPr="00A54353">
              <w:rPr>
                <w:rStyle w:val="CharacterBold"/>
              </w:rPr>
              <w:t xml:space="preserve">Organizational Chart. </w:t>
            </w:r>
            <w:r w:rsidRPr="00A54353">
              <w:rPr>
                <w:rStyle w:val="CharacterBold"/>
                <w:b w:val="0"/>
                <w:bCs/>
              </w:rPr>
              <w:t>X</w:t>
            </w:r>
          </w:p>
        </w:tc>
      </w:tr>
      <w:tr w:rsidR="0081163E" w14:paraId="119A41F4" w14:textId="77777777" w:rsidTr="008313B5">
        <w:tc>
          <w:tcPr>
            <w:cnfStyle w:val="001000000000" w:firstRow="0" w:lastRow="0" w:firstColumn="1" w:lastColumn="0" w:oddVBand="0" w:evenVBand="0" w:oddHBand="0" w:evenHBand="0" w:firstRowFirstColumn="0" w:firstRowLastColumn="0" w:lastRowFirstColumn="0" w:lastRowLastColumn="0"/>
            <w:tcW w:w="767" w:type="pct"/>
          </w:tcPr>
          <w:p w14:paraId="21DBAB97" w14:textId="77777777" w:rsidR="0081163E" w:rsidRDefault="009527C9">
            <w:pPr>
              <w:pStyle w:val="TableRowHeading"/>
            </w:pPr>
            <w:r w:rsidRPr="009527C9">
              <w:t>Financial Planning and Management</w:t>
            </w:r>
          </w:p>
        </w:tc>
        <w:tc>
          <w:tcPr>
            <w:tcW w:w="4233" w:type="pct"/>
          </w:tcPr>
          <w:p w14:paraId="0352913B" w14:textId="77777777" w:rsidR="0081163E" w:rsidRDefault="009527C9" w:rsidP="009527C9">
            <w:pPr>
              <w:pStyle w:val="TableBody"/>
              <w:cnfStyle w:val="000000000000" w:firstRow="0" w:lastRow="0" w:firstColumn="0" w:lastColumn="0" w:oddVBand="0" w:evenVBand="0" w:oddHBand="0" w:evenHBand="0" w:firstRowFirstColumn="0" w:firstRowLastColumn="0" w:lastRowFirstColumn="0" w:lastRowLastColumn="0"/>
            </w:pPr>
            <w:r w:rsidRPr="009237B3">
              <w:rPr>
                <w:rStyle w:val="CharacterBold"/>
              </w:rPr>
              <w:t xml:space="preserve">Cost </w:t>
            </w:r>
            <w:r w:rsidR="002E47A4">
              <w:rPr>
                <w:rStyle w:val="CharacterBold"/>
              </w:rPr>
              <w:t>M</w:t>
            </w:r>
            <w:r w:rsidRPr="009237B3">
              <w:rPr>
                <w:rStyle w:val="CharacterBold"/>
              </w:rPr>
              <w:t>anagement</w:t>
            </w:r>
            <w:r w:rsidR="009237B3" w:rsidRPr="009237B3">
              <w:rPr>
                <w:rStyle w:val="CharacterBold"/>
              </w:rPr>
              <w:t>.</w:t>
            </w:r>
            <w:r w:rsidR="009237B3">
              <w:t xml:space="preserve"> </w:t>
            </w:r>
            <w:r w:rsidR="00984E86" w:rsidRPr="00984E86">
              <w:t xml:space="preserve">We will closely manage costs and integrate efficiencies into our work to drive the highest possible return on CMS’ investment. Internally, our </w:t>
            </w:r>
            <w:r w:rsidR="00995A07" w:rsidRPr="00995A07">
              <w:t xml:space="preserve">XX </w:t>
            </w:r>
            <w:proofErr w:type="gramStart"/>
            <w:r w:rsidR="00995A07" w:rsidRPr="00995A07">
              <w:t>Lead</w:t>
            </w:r>
            <w:r w:rsidR="00984E86" w:rsidRPr="00984E86">
              <w:t>,</w:t>
            </w:r>
            <w:proofErr w:type="gramEnd"/>
            <w:r w:rsidR="00984E86" w:rsidRPr="00984E86">
              <w:t xml:space="preserve"> will manage and monitor the project budget and conduct regular forecasting exercises using our established financial management system and a detailed spend plan that aligns to schedules, resources, and milestones for each model, task and the project overall. We will closely monitor </w:t>
            </w:r>
            <w:proofErr w:type="gramStart"/>
            <w:r w:rsidR="00984E86" w:rsidRPr="00984E86">
              <w:t>spend</w:t>
            </w:r>
            <w:proofErr w:type="gramEnd"/>
            <w:r w:rsidR="00984E86" w:rsidRPr="00984E86">
              <w:t xml:space="preserve">, especially as it relates to </w:t>
            </w:r>
            <w:r w:rsidR="00540B46">
              <w:t>surge and peak-period readiness</w:t>
            </w:r>
            <w:r w:rsidR="00984E86" w:rsidRPr="00984E86">
              <w:t xml:space="preserve">. We will build on our experience creating tailored financial reports including </w:t>
            </w:r>
            <w:r w:rsidR="0069297A" w:rsidRPr="0069297A">
              <w:t>XX example</w:t>
            </w:r>
            <w:r w:rsidR="00984E86" w:rsidRPr="0069297A">
              <w:t>.</w:t>
            </w:r>
          </w:p>
        </w:tc>
      </w:tr>
      <w:tr w:rsidR="0081163E" w14:paraId="0BFC6AE1" w14:textId="77777777" w:rsidTr="008313B5">
        <w:tc>
          <w:tcPr>
            <w:cnfStyle w:val="001000000000" w:firstRow="0" w:lastRow="0" w:firstColumn="1" w:lastColumn="0" w:oddVBand="0" w:evenVBand="0" w:oddHBand="0" w:evenHBand="0" w:firstRowFirstColumn="0" w:firstRowLastColumn="0" w:lastRowFirstColumn="0" w:lastRowLastColumn="0"/>
            <w:tcW w:w="767" w:type="pct"/>
          </w:tcPr>
          <w:p w14:paraId="65E0E5FD" w14:textId="77777777" w:rsidR="0081163E" w:rsidRDefault="009527C9">
            <w:pPr>
              <w:pStyle w:val="TableRowHeading"/>
            </w:pPr>
            <w:r w:rsidRPr="009527C9">
              <w:t>Risk Planning and Mitigation</w:t>
            </w:r>
          </w:p>
        </w:tc>
        <w:tc>
          <w:tcPr>
            <w:tcW w:w="4233" w:type="pct"/>
          </w:tcPr>
          <w:p w14:paraId="7FE3FC2A" w14:textId="77777777" w:rsidR="0081163E" w:rsidRPr="00DD7489" w:rsidRDefault="00A056D3" w:rsidP="009527C9">
            <w:pPr>
              <w:pStyle w:val="TableBody"/>
              <w:cnfStyle w:val="000000000000" w:firstRow="0" w:lastRow="0" w:firstColumn="0" w:lastColumn="0" w:oddVBand="0" w:evenVBand="0" w:oddHBand="0" w:evenHBand="0" w:firstRowFirstColumn="0" w:firstRowLastColumn="0" w:lastRowFirstColumn="0" w:lastRowLastColumn="0"/>
            </w:pPr>
            <w:r w:rsidRPr="00DD7489">
              <w:t>The PIOP will also establish our approach to Risk Planning and Mitigation. It will define how risks will be identified, assessed, scored, monitored, mitigated, escalated, and retired over time. It will also describe how contingencies, alternate work strategies, schedule buffers, and management decision points will be used to protect continuity of operations and respond to unexpected challenges. Risk management will be integrated into the normal management cadence so emerging threats to schedule, staffing, technical readiness, performance, or stakeholder coordination are addressed in a timely and visible manner.</w:t>
            </w:r>
          </w:p>
          <w:p w14:paraId="684DCE9E" w14:textId="77777777" w:rsidR="0081163E" w:rsidRPr="007A6221" w:rsidRDefault="00A415F5" w:rsidP="009527C9">
            <w:pPr>
              <w:pStyle w:val="TableBody"/>
              <w:cnfStyle w:val="000000000000" w:firstRow="0" w:lastRow="0" w:firstColumn="0" w:lastColumn="0" w:oddVBand="0" w:evenVBand="0" w:oddHBand="0" w:evenHBand="0" w:firstRowFirstColumn="0" w:firstRowLastColumn="0" w:lastRowFirstColumn="0" w:lastRowLastColumn="0"/>
              <w:rPr>
                <w:b/>
                <w:bCs/>
              </w:rPr>
            </w:pPr>
            <w:r>
              <w:rPr>
                <w:b/>
                <w:bCs/>
              </w:rPr>
              <w:t>Example Risk and Mitigation Strategy:</w:t>
            </w:r>
          </w:p>
        </w:tc>
      </w:tr>
      <w:tr w:rsidR="0081163E" w14:paraId="487ABAC5" w14:textId="77777777" w:rsidTr="008313B5">
        <w:tc>
          <w:tcPr>
            <w:cnfStyle w:val="001000000000" w:firstRow="0" w:lastRow="0" w:firstColumn="1" w:lastColumn="0" w:oddVBand="0" w:evenVBand="0" w:oddHBand="0" w:evenHBand="0" w:firstRowFirstColumn="0" w:firstRowLastColumn="0" w:lastRowFirstColumn="0" w:lastRowLastColumn="0"/>
            <w:tcW w:w="767" w:type="pct"/>
          </w:tcPr>
          <w:p w14:paraId="6D9CE74B" w14:textId="77777777" w:rsidR="0081163E" w:rsidRDefault="009527C9">
            <w:pPr>
              <w:pStyle w:val="TableRowHeading"/>
            </w:pPr>
            <w:r w:rsidRPr="009527C9">
              <w:t>Issue Resolution</w:t>
            </w:r>
          </w:p>
        </w:tc>
        <w:tc>
          <w:tcPr>
            <w:tcW w:w="4233" w:type="pct"/>
          </w:tcPr>
          <w:p w14:paraId="376212DF" w14:textId="77777777" w:rsidR="0081163E" w:rsidRDefault="000817B9" w:rsidP="009527C9">
            <w:pPr>
              <w:pStyle w:val="TableBody"/>
              <w:cnfStyle w:val="000000000000" w:firstRow="0" w:lastRow="0" w:firstColumn="0" w:lastColumn="0" w:oddVBand="0" w:evenVBand="0" w:oddHBand="0" w:evenHBand="0" w:firstRowFirstColumn="0" w:firstRowLastColumn="0" w:lastRowFirstColumn="0" w:lastRowLastColumn="0"/>
            </w:pPr>
            <w:r>
              <w:t>T</w:t>
            </w:r>
            <w:r w:rsidRPr="000817B9">
              <w:t>he PIOP will define our approach to Issue Resolution. It will document how operational, technical, and programmatic issues will be identified, logged, triaged, assigned, escalated, tracked to closure, and incorporated into management decisions and corrective action processes. This includes both day-to-day operational issues and more complex enrollment and reconciliation issues that require structured coordination across teams. By defining issue management within the PIOP, we will ensure that issue resolution is disciplined, visible, and directly connected to the broader oversight model rather than being handled informally.</w:t>
            </w:r>
          </w:p>
        </w:tc>
      </w:tr>
      <w:tr w:rsidR="009527C9" w14:paraId="7DAF6DC8" w14:textId="77777777" w:rsidTr="008313B5">
        <w:tc>
          <w:tcPr>
            <w:cnfStyle w:val="001000000000" w:firstRow="0" w:lastRow="0" w:firstColumn="1" w:lastColumn="0" w:oddVBand="0" w:evenVBand="0" w:oddHBand="0" w:evenHBand="0" w:firstRowFirstColumn="0" w:firstRowLastColumn="0" w:lastRowFirstColumn="0" w:lastRowLastColumn="0"/>
            <w:tcW w:w="767" w:type="pct"/>
          </w:tcPr>
          <w:p w14:paraId="275BF587" w14:textId="77777777" w:rsidR="009527C9" w:rsidRPr="009527C9" w:rsidRDefault="009527C9">
            <w:pPr>
              <w:pStyle w:val="TableRowHeading"/>
            </w:pPr>
            <w:r w:rsidRPr="009527C9">
              <w:t xml:space="preserve">Communications with all </w:t>
            </w:r>
            <w:r w:rsidRPr="009527C9">
              <w:lastRenderedPageBreak/>
              <w:t>stakeholders, including CMS</w:t>
            </w:r>
          </w:p>
        </w:tc>
        <w:tc>
          <w:tcPr>
            <w:tcW w:w="4233" w:type="pct"/>
          </w:tcPr>
          <w:p w14:paraId="0DE70D58" w14:textId="77777777" w:rsidR="009527C9" w:rsidRDefault="009527C9" w:rsidP="009527C9">
            <w:pPr>
              <w:pStyle w:val="TableBody"/>
              <w:cnfStyle w:val="000000000000" w:firstRow="0" w:lastRow="0" w:firstColumn="0" w:lastColumn="0" w:oddVBand="0" w:evenVBand="0" w:oddHBand="0" w:evenHBand="0" w:firstRowFirstColumn="0" w:firstRowLastColumn="0" w:lastRowFirstColumn="0" w:lastRowLastColumn="0"/>
            </w:pPr>
            <w:r w:rsidRPr="009237B3">
              <w:rPr>
                <w:rStyle w:val="CharacterBold"/>
              </w:rPr>
              <w:lastRenderedPageBreak/>
              <w:t xml:space="preserve">Communication </w:t>
            </w:r>
            <w:r w:rsidR="00744312">
              <w:rPr>
                <w:rStyle w:val="CharacterBold"/>
              </w:rPr>
              <w:t>M</w:t>
            </w:r>
            <w:r w:rsidRPr="009237B3">
              <w:rPr>
                <w:rStyle w:val="CharacterBold"/>
              </w:rPr>
              <w:t>anagement</w:t>
            </w:r>
            <w:r w:rsidR="009237B3">
              <w:t xml:space="preserve">. </w:t>
            </w:r>
            <w:r w:rsidR="006017BB">
              <w:t>Deloitte</w:t>
            </w:r>
            <w:r w:rsidR="008A7A4B" w:rsidRPr="008A7A4B">
              <w:t xml:space="preserve"> will be responsive to the many stakeholders, internal and external, crucial to this project. Our Communications Plan, part of our P</w:t>
            </w:r>
            <w:r w:rsidR="00970C2C">
              <w:t>IO</w:t>
            </w:r>
            <w:r w:rsidR="008A7A4B" w:rsidRPr="008A7A4B">
              <w:t>P, will clearly define communication channels across our team, and with stakeholders we interact with during delivery</w:t>
            </w:r>
            <w:r w:rsidR="007C7D8E">
              <w:t>.</w:t>
            </w:r>
            <w:r w:rsidR="00881FF0">
              <w:t xml:space="preserve"> </w:t>
            </w:r>
            <w:r w:rsidR="00881FF0" w:rsidRPr="00881FF0">
              <w:t xml:space="preserve">It will define the forums, cadences, reporting pathways, agendas, milestone updates, escalation channels, and </w:t>
            </w:r>
            <w:r w:rsidR="00881FF0" w:rsidRPr="00881FF0">
              <w:lastRenderedPageBreak/>
              <w:t>collaboration mechanisms that will be used to maintain alignment with CMS, the COR, and other stakeholders throughout performance. It will also document how we will support kickoff materials, weekly meeting preparation, periodic in-person meetings, stakeholder coordination points, and communication needed to sustain visibility, transparency, and decision-making across the program.</w:t>
            </w:r>
          </w:p>
          <w:p w14:paraId="73F79F84" w14:textId="77777777" w:rsidR="009527C9" w:rsidRDefault="006323A5" w:rsidP="009527C9">
            <w:pPr>
              <w:pStyle w:val="TableBody"/>
              <w:cnfStyle w:val="000000000000" w:firstRow="0" w:lastRow="0" w:firstColumn="0" w:lastColumn="0" w:oddVBand="0" w:evenVBand="0" w:oddHBand="0" w:evenHBand="0" w:firstRowFirstColumn="0" w:firstRowLastColumn="0" w:lastRowFirstColumn="0" w:lastRowLastColumn="0"/>
            </w:pPr>
            <w:r w:rsidRPr="006323A5">
              <w:t>We will present the draft PIOP, our overall implementation approach, and our Implementation and Oversight Team during the contract kickoff meeting. Following kickoff, we will update the PIOP to incorporate CMS decisions, clarified priorities, agreed timeline changes, and any management adjustments identified during startup discussions. After adjudicating CMS feedback, we will finalize the PIOP and maintain the CMS-approved version throughout the period of performance as a living management document</w:t>
            </w:r>
          </w:p>
        </w:tc>
      </w:tr>
    </w:tbl>
    <w:p w14:paraId="5D6E1216" w14:textId="77777777" w:rsidR="00187EDF" w:rsidRPr="00C4326E" w:rsidRDefault="00A8308B" w:rsidP="00DD7489">
      <w:pPr>
        <w:pStyle w:val="FigureTitle"/>
      </w:pPr>
      <w:r w:rsidRPr="00DD7489">
        <w:t xml:space="preserve">Figure 2.1.1-1. [Deloitte to </w:t>
      </w:r>
      <w:proofErr w:type="gramStart"/>
      <w:r w:rsidRPr="00DD7489">
        <w:t>populate:</w:t>
      </w:r>
      <w:proofErr w:type="gramEnd"/>
      <w:r w:rsidRPr="00DD7489">
        <w:t xml:space="preserve"> figure title and graphic].</w:t>
      </w:r>
    </w:p>
    <w:p w14:paraId="62B8ADA8" w14:textId="77777777" w:rsidR="00DD7489" w:rsidRPr="00DD7489" w:rsidRDefault="00DD7489" w:rsidP="00DD7489">
      <w:pPr>
        <w:pStyle w:val="FigureGraphic"/>
      </w:pPr>
      <w:r>
        <w:rPr>
          <w:noProof/>
        </w:rPr>
        <w:drawing>
          <wp:inline distT="0" distB="0" distL="0" distR="0" wp14:anchorId="7058F19A" wp14:editId="7DB4D624">
            <wp:extent cx="5932170" cy="3956685"/>
            <wp:effectExtent l="0" t="0" r="0" b="5715"/>
            <wp:docPr id="13932387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32170" cy="3956685"/>
                    </a:xfrm>
                    <a:prstGeom prst="rect">
                      <a:avLst/>
                    </a:prstGeom>
                    <a:noFill/>
                  </pic:spPr>
                </pic:pic>
              </a:graphicData>
            </a:graphic>
          </wp:inline>
        </w:drawing>
      </w:r>
    </w:p>
    <w:bookmarkEnd w:id="17"/>
    <w:p w14:paraId="0D97DD49" w14:textId="77777777" w:rsidR="00A8308B" w:rsidRPr="00DA6753" w:rsidRDefault="00A8308B" w:rsidP="00A8308B">
      <w:pPr>
        <w:pStyle w:val="TableTitle"/>
      </w:pPr>
      <w:r>
        <w:t>Table 2.1.1-2. Illustrative Milestone Measures by Task.</w:t>
      </w:r>
    </w:p>
    <w:tbl>
      <w:tblPr>
        <w:tblStyle w:val="DeloitteTable2"/>
        <w:tblW w:w="5000" w:type="pct"/>
        <w:tblLook w:val="06A0" w:firstRow="1" w:lastRow="0" w:firstColumn="1" w:lastColumn="0" w:noHBand="1" w:noVBand="1"/>
      </w:tblPr>
      <w:tblGrid>
        <w:gridCol w:w="2065"/>
        <w:gridCol w:w="7285"/>
      </w:tblGrid>
      <w:tr w:rsidR="00890D0E" w14:paraId="47A794E9"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065" w:type="dxa"/>
          </w:tcPr>
          <w:p w14:paraId="1610FCE2" w14:textId="77777777" w:rsidR="00890D0E" w:rsidRPr="009F5EDF" w:rsidRDefault="00890D0E">
            <w:pPr>
              <w:pStyle w:val="TableHeading"/>
            </w:pPr>
            <w:r w:rsidRPr="003B1BA6">
              <w:t>Task</w:t>
            </w:r>
          </w:p>
        </w:tc>
        <w:tc>
          <w:tcPr>
            <w:tcW w:w="7285" w:type="dxa"/>
          </w:tcPr>
          <w:p w14:paraId="24C228E5" w14:textId="77777777" w:rsidR="00890D0E" w:rsidRPr="009F5EDF" w:rsidRDefault="00890D0E">
            <w:pPr>
              <w:pStyle w:val="TableHeading"/>
              <w:cnfStyle w:val="100000000000" w:firstRow="1" w:lastRow="0" w:firstColumn="0" w:lastColumn="0" w:oddVBand="0" w:evenVBand="0" w:oddHBand="0" w:evenHBand="0" w:firstRowFirstColumn="0" w:firstRowLastColumn="0" w:lastRowFirstColumn="0" w:lastRowLastColumn="0"/>
            </w:pPr>
            <w:r w:rsidRPr="00D524F5">
              <w:t>Illustrative Measures</w:t>
            </w:r>
          </w:p>
        </w:tc>
      </w:tr>
      <w:tr w:rsidR="00890D0E" w14:paraId="55B394F8" w14:textId="77777777">
        <w:tc>
          <w:tcPr>
            <w:cnfStyle w:val="001000000000" w:firstRow="0" w:lastRow="0" w:firstColumn="1" w:lastColumn="0" w:oddVBand="0" w:evenVBand="0" w:oddHBand="0" w:evenHBand="0" w:firstRowFirstColumn="0" w:firstRowLastColumn="0" w:lastRowFirstColumn="0" w:lastRowLastColumn="0"/>
            <w:tcW w:w="2065" w:type="dxa"/>
          </w:tcPr>
          <w:p w14:paraId="03087F92" w14:textId="77777777" w:rsidR="00890D0E" w:rsidRDefault="00890D0E">
            <w:pPr>
              <w:pStyle w:val="TableRowHeading"/>
            </w:pPr>
            <w:r w:rsidRPr="00A112B6">
              <w:t>Task 1:</w:t>
            </w:r>
            <w:r w:rsidRPr="00521071">
              <w:t xml:space="preserve"> National Learning Approach</w:t>
            </w:r>
          </w:p>
        </w:tc>
        <w:tc>
          <w:tcPr>
            <w:tcW w:w="7285" w:type="dxa"/>
          </w:tcPr>
          <w:p w14:paraId="7812BE1B" w14:textId="77777777" w:rsidR="00890D0E" w:rsidRDefault="00890D0E">
            <w:pPr>
              <w:pStyle w:val="TableBullet1"/>
              <w:cnfStyle w:val="000000000000" w:firstRow="0" w:lastRow="0" w:firstColumn="0" w:lastColumn="0" w:oddVBand="0" w:evenVBand="0" w:oddHBand="0" w:evenHBand="0" w:firstRowFirstColumn="0" w:firstRowLastColumn="0" w:lastRowFirstColumn="0" w:lastRowLastColumn="0"/>
            </w:pPr>
            <w:r>
              <w:t>Connect download rates of materials supporting care delivery requirements</w:t>
            </w:r>
          </w:p>
          <w:p w14:paraId="02140940" w14:textId="77777777" w:rsidR="00890D0E" w:rsidRDefault="00890D0E">
            <w:pPr>
              <w:pStyle w:val="TableBullet1"/>
              <w:cnfStyle w:val="000000000000" w:firstRow="0" w:lastRow="0" w:firstColumn="0" w:lastColumn="0" w:oddVBand="0" w:evenVBand="0" w:oddHBand="0" w:evenHBand="0" w:firstRowFirstColumn="0" w:firstRowLastColumn="0" w:lastRowFirstColumn="0" w:lastRowLastColumn="0"/>
            </w:pPr>
            <w:r>
              <w:t>% of participants engaging in peer-to-peer learning events and other webinars</w:t>
            </w:r>
          </w:p>
        </w:tc>
      </w:tr>
      <w:tr w:rsidR="00890D0E" w14:paraId="296C5BD0" w14:textId="77777777">
        <w:tc>
          <w:tcPr>
            <w:cnfStyle w:val="001000000000" w:firstRow="0" w:lastRow="0" w:firstColumn="1" w:lastColumn="0" w:oddVBand="0" w:evenVBand="0" w:oddHBand="0" w:evenHBand="0" w:firstRowFirstColumn="0" w:firstRowLastColumn="0" w:lastRowFirstColumn="0" w:lastRowLastColumn="0"/>
            <w:tcW w:w="2065" w:type="dxa"/>
          </w:tcPr>
          <w:p w14:paraId="6566DB31" w14:textId="77777777" w:rsidR="00890D0E" w:rsidRDefault="00890D0E">
            <w:pPr>
              <w:pStyle w:val="TableRowHeading"/>
            </w:pPr>
            <w:r w:rsidRPr="00A112B6">
              <w:t>Task 2:</w:t>
            </w:r>
            <w:r w:rsidRPr="00CA59E2">
              <w:t xml:space="preserve"> Accelerate Multi Payer Alignment</w:t>
            </w:r>
          </w:p>
        </w:tc>
        <w:tc>
          <w:tcPr>
            <w:tcW w:w="7285" w:type="dxa"/>
          </w:tcPr>
          <w:p w14:paraId="35F3C343" w14:textId="77777777" w:rsidR="00890D0E" w:rsidRPr="007743D5" w:rsidRDefault="00890D0E">
            <w:pPr>
              <w:pStyle w:val="TableBullet1"/>
              <w:cnfStyle w:val="000000000000" w:firstRow="0" w:lastRow="0" w:firstColumn="0" w:lastColumn="0" w:oddVBand="0" w:evenVBand="0" w:oddHBand="0" w:evenHBand="0" w:firstRowFirstColumn="0" w:firstRowLastColumn="0" w:lastRowFirstColumn="0" w:lastRowLastColumn="0"/>
            </w:pPr>
            <w:r>
              <w:t>Meeting agendas regularly</w:t>
            </w:r>
            <w:r w:rsidRPr="007743D5">
              <w:t xml:space="preserve"> include alignment discussion and priority items</w:t>
            </w:r>
          </w:p>
          <w:p w14:paraId="6396C0B9" w14:textId="77777777" w:rsidR="00890D0E" w:rsidRPr="007743D5" w:rsidRDefault="00890D0E">
            <w:pPr>
              <w:pStyle w:val="TableBullet1"/>
              <w:cnfStyle w:val="000000000000" w:firstRow="0" w:lastRow="0" w:firstColumn="0" w:lastColumn="0" w:oddVBand="0" w:evenVBand="0" w:oddHBand="0" w:evenHBand="0" w:firstRowFirstColumn="0" w:firstRowLastColumn="0" w:lastRowFirstColumn="0" w:lastRowLastColumn="0"/>
            </w:pPr>
            <w:r>
              <w:t xml:space="preserve">Two or more payers (other than CMS) engaged for </w:t>
            </w:r>
            <w:r w:rsidRPr="007743D5">
              <w:t>each state</w:t>
            </w:r>
          </w:p>
        </w:tc>
      </w:tr>
      <w:tr w:rsidR="00890D0E" w14:paraId="16305DBF" w14:textId="77777777">
        <w:tc>
          <w:tcPr>
            <w:cnfStyle w:val="001000000000" w:firstRow="0" w:lastRow="0" w:firstColumn="1" w:lastColumn="0" w:oddVBand="0" w:evenVBand="0" w:oddHBand="0" w:evenHBand="0" w:firstRowFirstColumn="0" w:firstRowLastColumn="0" w:lastRowFirstColumn="0" w:lastRowLastColumn="0"/>
            <w:tcW w:w="2065" w:type="dxa"/>
          </w:tcPr>
          <w:p w14:paraId="3D0B15E7" w14:textId="77777777" w:rsidR="00890D0E" w:rsidRDefault="00890D0E">
            <w:pPr>
              <w:pStyle w:val="TableRowHeading"/>
            </w:pPr>
            <w:r w:rsidRPr="00A112B6">
              <w:lastRenderedPageBreak/>
              <w:t>Task 3:</w:t>
            </w:r>
            <w:r w:rsidRPr="00816C7D">
              <w:t xml:space="preserve"> State-level Stakeholder Convenings</w:t>
            </w:r>
          </w:p>
        </w:tc>
        <w:tc>
          <w:tcPr>
            <w:tcW w:w="7285" w:type="dxa"/>
          </w:tcPr>
          <w:p w14:paraId="6D540280" w14:textId="77777777" w:rsidR="00890D0E" w:rsidRPr="007743D5" w:rsidRDefault="00890D0E">
            <w:pPr>
              <w:pStyle w:val="TableBullet1"/>
              <w:cnfStyle w:val="000000000000" w:firstRow="0" w:lastRow="0" w:firstColumn="0" w:lastColumn="0" w:oddVBand="0" w:evenVBand="0" w:oddHBand="0" w:evenHBand="0" w:firstRowFirstColumn="0" w:firstRowLastColumn="0" w:lastRowFirstColumn="0" w:lastRowLastColumn="0"/>
            </w:pPr>
            <w:r>
              <w:t xml:space="preserve">Meeting agendas regularly </w:t>
            </w:r>
            <w:r w:rsidRPr="007743D5">
              <w:t>include discussion of the agreed upon priority health outcomes</w:t>
            </w:r>
          </w:p>
          <w:p w14:paraId="4AF0E28F" w14:textId="77777777" w:rsidR="00890D0E" w:rsidRPr="007743D5" w:rsidRDefault="00890D0E">
            <w:pPr>
              <w:pStyle w:val="TableBullet1"/>
              <w:cnfStyle w:val="000000000000" w:firstRow="0" w:lastRow="0" w:firstColumn="0" w:lastColumn="0" w:oddVBand="0" w:evenVBand="0" w:oddHBand="0" w:evenHBand="0" w:firstRowFirstColumn="0" w:firstRowLastColumn="0" w:lastRowFirstColumn="0" w:lastRowLastColumn="0"/>
            </w:pPr>
            <w:r>
              <w:t>Participants agree upon mea</w:t>
            </w:r>
            <w:r w:rsidRPr="007743D5">
              <w:t xml:space="preserve">sures used to </w:t>
            </w:r>
            <w:proofErr w:type="gramStart"/>
            <w:r w:rsidRPr="007743D5">
              <w:t>report out</w:t>
            </w:r>
            <w:proofErr w:type="gramEnd"/>
            <w:r w:rsidRPr="007743D5">
              <w:t xml:space="preserve"> on progress towards priority health outcomes</w:t>
            </w:r>
          </w:p>
        </w:tc>
      </w:tr>
      <w:tr w:rsidR="00890D0E" w14:paraId="6BB0B823" w14:textId="77777777">
        <w:tc>
          <w:tcPr>
            <w:cnfStyle w:val="001000000000" w:firstRow="0" w:lastRow="0" w:firstColumn="1" w:lastColumn="0" w:oddVBand="0" w:evenVBand="0" w:oddHBand="0" w:evenHBand="0" w:firstRowFirstColumn="0" w:firstRowLastColumn="0" w:lastRowFirstColumn="0" w:lastRowLastColumn="0"/>
            <w:tcW w:w="2065" w:type="dxa"/>
          </w:tcPr>
          <w:p w14:paraId="58891B09" w14:textId="77777777" w:rsidR="00890D0E" w:rsidRDefault="00890D0E">
            <w:pPr>
              <w:pStyle w:val="TableRowHeading"/>
            </w:pPr>
            <w:r w:rsidRPr="00A112B6">
              <w:t>Task 4:</w:t>
            </w:r>
            <w:r w:rsidRPr="009A369A">
              <w:t xml:space="preserve"> Dissemination and Diffusion of Learning to Participants</w:t>
            </w:r>
          </w:p>
        </w:tc>
        <w:tc>
          <w:tcPr>
            <w:tcW w:w="7285" w:type="dxa"/>
          </w:tcPr>
          <w:p w14:paraId="1EDF2062" w14:textId="77777777" w:rsidR="00890D0E" w:rsidRPr="007743D5" w:rsidRDefault="00890D0E">
            <w:pPr>
              <w:pStyle w:val="TableBullet1"/>
              <w:cnfStyle w:val="000000000000" w:firstRow="0" w:lastRow="0" w:firstColumn="0" w:lastColumn="0" w:oddVBand="0" w:evenVBand="0" w:oddHBand="0" w:evenHBand="0" w:firstRowFirstColumn="0" w:firstRowLastColumn="0" w:lastRowFirstColumn="0" w:lastRowLastColumn="0"/>
            </w:pPr>
            <w:r>
              <w:t># of shared learnings diss</w:t>
            </w:r>
            <w:r w:rsidRPr="007743D5">
              <w:t>eminated</w:t>
            </w:r>
          </w:p>
          <w:p w14:paraId="70EA0998" w14:textId="77777777" w:rsidR="00890D0E" w:rsidRPr="007743D5" w:rsidRDefault="00890D0E">
            <w:pPr>
              <w:pStyle w:val="TableBullet1"/>
              <w:cnfStyle w:val="000000000000" w:firstRow="0" w:lastRow="0" w:firstColumn="0" w:lastColumn="0" w:oddVBand="0" w:evenVBand="0" w:oddHBand="0" w:evenHBand="0" w:firstRowFirstColumn="0" w:firstRowLastColumn="0" w:lastRowFirstColumn="0" w:lastRowLastColumn="0"/>
            </w:pPr>
            <w:r>
              <w:t>Download/</w:t>
            </w:r>
            <w:r w:rsidRPr="007743D5">
              <w:t>view rates of webinars, podcasts, guides, etc.</w:t>
            </w:r>
          </w:p>
          <w:p w14:paraId="5D7EFCAF" w14:textId="77777777" w:rsidR="00890D0E" w:rsidRPr="007743D5" w:rsidRDefault="00890D0E">
            <w:pPr>
              <w:pStyle w:val="TableBullet1"/>
              <w:cnfStyle w:val="000000000000" w:firstRow="0" w:lastRow="0" w:firstColumn="0" w:lastColumn="0" w:oddVBand="0" w:evenVBand="0" w:oddHBand="0" w:evenHBand="0" w:firstRowFirstColumn="0" w:firstRowLastColumn="0" w:lastRowFirstColumn="0" w:lastRowLastColumn="0"/>
            </w:pPr>
            <w:r>
              <w:t>% of states engaged</w:t>
            </w:r>
            <w:r w:rsidRPr="007743D5">
              <w:t xml:space="preserve"> in dissemination activities</w:t>
            </w:r>
          </w:p>
        </w:tc>
      </w:tr>
      <w:tr w:rsidR="00890D0E" w14:paraId="394299F4" w14:textId="77777777">
        <w:tc>
          <w:tcPr>
            <w:cnfStyle w:val="001000000000" w:firstRow="0" w:lastRow="0" w:firstColumn="1" w:lastColumn="0" w:oddVBand="0" w:evenVBand="0" w:oddHBand="0" w:evenHBand="0" w:firstRowFirstColumn="0" w:firstRowLastColumn="0" w:lastRowFirstColumn="0" w:lastRowLastColumn="0"/>
            <w:tcW w:w="2065" w:type="dxa"/>
          </w:tcPr>
          <w:p w14:paraId="75950C80" w14:textId="77777777" w:rsidR="00890D0E" w:rsidRPr="009A369A" w:rsidRDefault="00890D0E">
            <w:pPr>
              <w:pStyle w:val="TableRowHeading"/>
            </w:pPr>
            <w:r w:rsidRPr="00A112B6">
              <w:t>Task 5:</w:t>
            </w:r>
            <w:r w:rsidRPr="00B517B7">
              <w:t xml:space="preserve"> Participant Coaching and facilitation</w:t>
            </w:r>
          </w:p>
        </w:tc>
        <w:tc>
          <w:tcPr>
            <w:tcW w:w="7285" w:type="dxa"/>
          </w:tcPr>
          <w:p w14:paraId="720D7904" w14:textId="77777777" w:rsidR="00890D0E" w:rsidRPr="007743D5" w:rsidRDefault="00890D0E">
            <w:pPr>
              <w:pStyle w:val="TableBullet1"/>
              <w:cnfStyle w:val="000000000000" w:firstRow="0" w:lastRow="0" w:firstColumn="0" w:lastColumn="0" w:oddVBand="0" w:evenVBand="0" w:oddHBand="0" w:evenHBand="0" w:firstRowFirstColumn="0" w:firstRowLastColumn="0" w:lastRowFirstColumn="0" w:lastRowLastColumn="0"/>
            </w:pPr>
            <w:r>
              <w:t xml:space="preserve"># of </w:t>
            </w:r>
            <w:r w:rsidRPr="007743D5">
              <w:t>participants assessed for coaching needs</w:t>
            </w:r>
          </w:p>
          <w:p w14:paraId="09E88BA9" w14:textId="77777777" w:rsidR="00890D0E" w:rsidRPr="007743D5" w:rsidRDefault="00890D0E">
            <w:pPr>
              <w:pStyle w:val="TableBullet1"/>
              <w:cnfStyle w:val="000000000000" w:firstRow="0" w:lastRow="0" w:firstColumn="0" w:lastColumn="0" w:oddVBand="0" w:evenVBand="0" w:oddHBand="0" w:evenHBand="0" w:firstRowFirstColumn="0" w:firstRowLastColumn="0" w:lastRowFirstColumn="0" w:lastRowLastColumn="0"/>
            </w:pPr>
            <w:r>
              <w:t># of local coaches/ facilit</w:t>
            </w:r>
            <w:r w:rsidRPr="007743D5">
              <w:t>ators available in each state</w:t>
            </w:r>
          </w:p>
        </w:tc>
      </w:tr>
      <w:tr w:rsidR="00890D0E" w14:paraId="2741C9A6" w14:textId="77777777">
        <w:tc>
          <w:tcPr>
            <w:cnfStyle w:val="001000000000" w:firstRow="0" w:lastRow="0" w:firstColumn="1" w:lastColumn="0" w:oddVBand="0" w:evenVBand="0" w:oddHBand="0" w:evenHBand="0" w:firstRowFirstColumn="0" w:firstRowLastColumn="0" w:lastRowFirstColumn="0" w:lastRowLastColumn="0"/>
            <w:tcW w:w="2065" w:type="dxa"/>
          </w:tcPr>
          <w:p w14:paraId="4B18EB06" w14:textId="77777777" w:rsidR="00890D0E" w:rsidRPr="009A369A" w:rsidRDefault="00890D0E">
            <w:pPr>
              <w:pStyle w:val="TableRowHeading"/>
            </w:pPr>
            <w:r w:rsidRPr="00A112B6">
              <w:t>Task 6:</w:t>
            </w:r>
            <w:r w:rsidRPr="00B47159">
              <w:t xml:space="preserve"> </w:t>
            </w:r>
            <w:r>
              <w:t>Performance Requirements</w:t>
            </w:r>
          </w:p>
        </w:tc>
        <w:tc>
          <w:tcPr>
            <w:tcW w:w="7285" w:type="dxa"/>
          </w:tcPr>
          <w:p w14:paraId="15FD26AA" w14:textId="77777777" w:rsidR="00890D0E" w:rsidRPr="008F2381" w:rsidRDefault="00890D0E">
            <w:pPr>
              <w:pStyle w:val="TableBullet1"/>
              <w:cnfStyle w:val="000000000000" w:firstRow="0" w:lastRow="0" w:firstColumn="0" w:lastColumn="0" w:oddVBand="0" w:evenVBand="0" w:oddHBand="0" w:evenHBand="0" w:firstRowFirstColumn="0" w:firstRowLastColumn="0" w:lastRowFirstColumn="0" w:lastRowLastColumn="0"/>
            </w:pPr>
            <w:r w:rsidRPr="00112857">
              <w:t>On time submission rate of report</w:t>
            </w:r>
            <w:r w:rsidRPr="008F2381">
              <w:t>s</w:t>
            </w:r>
          </w:p>
          <w:p w14:paraId="2BC1074C" w14:textId="77777777" w:rsidR="00890D0E" w:rsidRDefault="00890D0E">
            <w:pPr>
              <w:pStyle w:val="TableBullet1"/>
              <w:cnfStyle w:val="000000000000" w:firstRow="0" w:lastRow="0" w:firstColumn="0" w:lastColumn="0" w:oddVBand="0" w:evenVBand="0" w:oddHBand="0" w:evenHBand="0" w:firstRowFirstColumn="0" w:firstRowLastColumn="0" w:lastRowFirstColumn="0" w:lastRowLastColumn="0"/>
            </w:pPr>
            <w:r>
              <w:t>Consiste</w:t>
            </w:r>
            <w:r w:rsidRPr="008F2381">
              <w:t>nt meeting schedule with CMS</w:t>
            </w:r>
          </w:p>
        </w:tc>
      </w:tr>
    </w:tbl>
    <w:p w14:paraId="21E1B362" w14:textId="77777777" w:rsidR="00890D0E" w:rsidRPr="00C4326E" w:rsidRDefault="00890D0E" w:rsidP="00ED26DC">
      <w:pPr>
        <w:pStyle w:val="ParagraphSpacer"/>
      </w:pPr>
    </w:p>
    <w:p w14:paraId="6AAB746A" w14:textId="77777777" w:rsidR="000B59AA" w:rsidRDefault="00BC43A6" w:rsidP="00BC43A6">
      <w:pPr>
        <w:pStyle w:val="Heading3"/>
      </w:pPr>
      <w:bookmarkStart w:id="18" w:name="_Toc228252921"/>
      <w:r>
        <w:t>2.1.2</w:t>
      </w:r>
      <w:r>
        <w:tab/>
      </w:r>
      <w:r w:rsidR="000B59AA" w:rsidRPr="000B59AA">
        <w:t>Task 11: Transition-Out (Optional)</w:t>
      </w:r>
      <w:r w:rsidR="0077610A" w:rsidRPr="0077610A">
        <w:t xml:space="preserve"> </w:t>
      </w:r>
      <w:r w:rsidR="0077610A" w:rsidRPr="0077610A">
        <w:rPr>
          <w:vertAlign w:val="superscript"/>
        </w:rPr>
        <w:t>(SOW 3.1</w:t>
      </w:r>
      <w:r w:rsidR="0077610A">
        <w:rPr>
          <w:vertAlign w:val="superscript"/>
        </w:rPr>
        <w:t>1</w:t>
      </w:r>
      <w:r w:rsidR="0077610A" w:rsidRPr="0077610A">
        <w:rPr>
          <w:vertAlign w:val="superscript"/>
        </w:rPr>
        <w:t>)</w:t>
      </w:r>
      <w:bookmarkEnd w:id="18"/>
    </w:p>
    <w:p w14:paraId="4E9E0117" w14:textId="77777777" w:rsidR="00DC167C" w:rsidRPr="00ED26DC" w:rsidRDefault="001F629B" w:rsidP="00DC167C">
      <w:pPr>
        <w:pStyle w:val="BodyText"/>
      </w:pPr>
      <w:r w:rsidRPr="00ED26DC">
        <w:rPr>
          <w:rStyle w:val="CharacterBold"/>
        </w:rPr>
        <w:t>Our Understanding:</w:t>
      </w:r>
      <w:r w:rsidR="008F6218" w:rsidRPr="00ED26DC">
        <w:t xml:space="preserve"> </w:t>
      </w:r>
      <w:r w:rsidR="00DC167C" w:rsidRPr="00DC167C">
        <w:t>We understand that supporting a transition-out to a new vendor is a high-visibility, time-bound effort that must balance rapid execution with uninterrupted mission support, clear accountability, and strict compliance. Success depends on establishing a COR-approved operating framework quickly, coordinating closely with the incoming vendor while managing dual operations during the overlap period, and transferring in-flight work, documentation, and operational knowledge in a complete, orderly, and verifiable manner. We also understand that transition-out introduces heightened risk around ownership of work products, version control across repositories, and cutover sequencing, particularly when security, ATO, PII, GFE, GFI, and access approvals are on the critical path. In this environment, CMS needs a transition partner that can maintain continuity, reduce rework and service disruption, and provide the governance, transparency, and discipline required to enable a smooth, compliant handoff to the successor vendor.</w:t>
      </w:r>
    </w:p>
    <w:p w14:paraId="1E9CAF7E" w14:textId="77777777" w:rsidR="00BC43A6" w:rsidRPr="005B1A72" w:rsidRDefault="167ACF0F" w:rsidP="00BC43A6">
      <w:pPr>
        <w:pStyle w:val="BodyText"/>
      </w:pPr>
      <w:r w:rsidRPr="00ED26DC">
        <w:rPr>
          <w:rStyle w:val="CharacterBold"/>
        </w:rPr>
        <w:t>Our Approach</w:t>
      </w:r>
      <w:r w:rsidR="008F6218" w:rsidRPr="00ED26DC">
        <w:rPr>
          <w:rStyle w:val="CharacterBold"/>
        </w:rPr>
        <w:t>:</w:t>
      </w:r>
      <w:r w:rsidR="005B1A72" w:rsidRPr="005B1A72">
        <w:t xml:space="preserve"> </w:t>
      </w:r>
      <w:r w:rsidR="005B1A72">
        <w:t>We create</w:t>
      </w:r>
      <w:r w:rsidR="005B1A72" w:rsidRPr="005B1A72">
        <w:t xml:space="preserve"> a detailed Transition-Out Plan to ensure a seamless handover of responsibilities to the incoming contractor or CMS is essential to prevent </w:t>
      </w:r>
      <w:proofErr w:type="gramStart"/>
      <w:r w:rsidR="005B1A72" w:rsidRPr="005B1A72">
        <w:t>disruptions</w:t>
      </w:r>
      <w:proofErr w:type="gramEnd"/>
      <w:r w:rsidR="005B1A72" w:rsidRPr="005B1A72">
        <w:t xml:space="preserve"> and maintain operational excellence. This plan will focus on documentation, knowledge transfer, and alignment of operational priorities, ensuring the continuity of services and adherence to CMS objectives.</w:t>
      </w:r>
    </w:p>
    <w:p w14:paraId="7C0529F8" w14:textId="77777777" w:rsidR="00BC43A6" w:rsidRPr="00ED26DC" w:rsidRDefault="008F6218" w:rsidP="67059926">
      <w:pPr>
        <w:pStyle w:val="BodyText"/>
      </w:pPr>
      <w:r w:rsidRPr="00ED26DC">
        <w:rPr>
          <w:rStyle w:val="CharacterBold"/>
        </w:rPr>
        <w:t>Potential Roadblocks:</w:t>
      </w:r>
      <w:r w:rsidR="00862E73" w:rsidRPr="00ED26DC">
        <w:t xml:space="preserve"> </w:t>
      </w:r>
      <w:r w:rsidR="00862E73" w:rsidRPr="00862E73">
        <w:t xml:space="preserve">When supporting a transition-out </w:t>
      </w:r>
      <w:r w:rsidR="00862E73">
        <w:t>of</w:t>
      </w:r>
      <w:r w:rsidR="00862E73" w:rsidRPr="00862E73">
        <w:t xml:space="preserve"> another vendor, Deloitte recognizes that the most common challenges are compressed transition timelines, the need to coordinate dual operations while maintaining service continuity, incomplete or uneven transfer of in-flight work and operational artifacts, and security and ATO constraints tied to PII, GFE, GFI, and access changes. We mitigate these risks through a disciplined, transparent transition approach that begins with Day 1 governance, a JOA-ready operating framework, and an integrated RAID log, decision log, and milestone-based transition plan to keep all parties aligned and issues escalated quickly. To enable an orderly handoff, we use a structured artifact transfer register with defined completeness criteria, version control, owner-of-record accountability, and formal handoff thresholds, reinforced through knowledge transfer sessions, shadow operations, and phased cutover readiness reviews to reduce rework and avoid disruption. In parallel, we establish a dedicated security and privacy workstream to baseline sensitive assets, map approval dependencies, </w:t>
      </w:r>
      <w:r w:rsidR="00862E73" w:rsidRPr="00862E73">
        <w:lastRenderedPageBreak/>
        <w:t>maintain POA&amp;M discipline, and enforce security readiness gates so that access changes, cutovers, and final turnover occur in a controlled, compliant, and low-risk manner.</w:t>
      </w:r>
    </w:p>
    <w:p w14:paraId="6D280DF2" w14:textId="77777777" w:rsidR="00BC43A6" w:rsidRPr="00BC43A6" w:rsidRDefault="001F629B" w:rsidP="00BC43A6">
      <w:pPr>
        <w:pStyle w:val="BodyText"/>
      </w:pPr>
      <w:r w:rsidRPr="00ED26DC">
        <w:rPr>
          <w:rStyle w:val="CharacterBold"/>
        </w:rPr>
        <w:t>Our Successes:</w:t>
      </w:r>
      <w:r>
        <w:t xml:space="preserve"> </w:t>
      </w:r>
      <w:r w:rsidR="00171BF9">
        <w:t xml:space="preserve">Deloitte successfully </w:t>
      </w:r>
      <w:r w:rsidR="00450D21">
        <w:t xml:space="preserve">supported the transition-out of the previous system integrator vendor on California </w:t>
      </w:r>
      <w:r w:rsidR="00B15F2D">
        <w:t>state-based marketplace project in 2020</w:t>
      </w:r>
      <w:r w:rsidR="00EE7996">
        <w:t xml:space="preserve"> in less time than expected and during a global pandemic. The successful transition-out of the previous vendor is </w:t>
      </w:r>
      <w:r w:rsidR="00A94F6A">
        <w:t xml:space="preserve">a testament to the dedication Deloitte has to </w:t>
      </w:r>
      <w:r w:rsidR="0015739E">
        <w:t>close collaboration, coordination, and knowledge transfer with the outgoing vendor.</w:t>
      </w:r>
    </w:p>
    <w:p w14:paraId="34ABEAAF" w14:textId="77777777" w:rsidR="001677A6" w:rsidRPr="00BC43A6" w:rsidRDefault="001677A6" w:rsidP="001677A6">
      <w:pPr>
        <w:pStyle w:val="BodyText"/>
      </w:pPr>
      <w:r>
        <w:t xml:space="preserve">The Transition-Out Plan will begin with comprehensive documentation of all processes, workflows, and system configurations. This includes maintaining and continuously updating project documentation throughout the contract period to provide a solid foundation for the incoming contractor. The documentation will encompass Tier 2 Help Desk processes, key points of contact, the location of relevant documentation, the status of ongoing tickets and initiatives, and a comprehensive inventory of technical and project management artifacts. Knowledge transfer will be supported through shadowing, reverse shadowing, and walkthrough sessions. The Transition-Out Plan will include establishing governing forums with senior leaders from CMS, the outgoing team, and the incoming contractor to guide, direct, and escalate transition activities. Regular status meetings, steering committee discussions, and transition review meetings will ensure alignment </w:t>
      </w:r>
      <w:r w:rsidR="00CB5ED1">
        <w:t>of</w:t>
      </w:r>
      <w:r>
        <w:t xml:space="preserve"> operational priorities and provide a platform for addressing challenges promptly. Detailed process maps, workflow documentation, and project deliverables will be shared with the successor contractor, alongside a clear communication and issue resolution protocol to minimize misunderstandings and delays.</w:t>
      </w:r>
    </w:p>
    <w:p w14:paraId="42571976" w14:textId="77777777" w:rsidR="001677A6" w:rsidRPr="00BC43A6" w:rsidRDefault="001677A6" w:rsidP="001677A6">
      <w:pPr>
        <w:pStyle w:val="BodyText"/>
      </w:pPr>
      <w:r>
        <w:t>Throughout the transition, the integrity and continuity of CMS operations will remain a priority. By adhering to a rigorous, disciplined approach and maintaining ongoing communication and collaboration, the outgoing contractor will ensure a seamless transfer of responsibilities that aligns with CMS’s strategic goals without disrupting ongoing operations or compromising objectives.</w:t>
      </w:r>
    </w:p>
    <w:p w14:paraId="22788E33" w14:textId="77777777" w:rsidR="000B59AA" w:rsidRDefault="00BC43A6" w:rsidP="00BC43A6">
      <w:pPr>
        <w:pStyle w:val="Heading3"/>
      </w:pPr>
      <w:bookmarkStart w:id="19" w:name="_Toc228252922"/>
      <w:r>
        <w:t>2.1.3</w:t>
      </w:r>
      <w:r>
        <w:tab/>
      </w:r>
      <w:r w:rsidRPr="00BC43A6">
        <w:t>Task 12: Transition-In (Optional)</w:t>
      </w:r>
      <w:r w:rsidR="0077610A" w:rsidRPr="0077610A">
        <w:rPr>
          <w:vertAlign w:val="superscript"/>
        </w:rPr>
        <w:t xml:space="preserve"> (SOW 3.1</w:t>
      </w:r>
      <w:r w:rsidR="0077610A">
        <w:rPr>
          <w:vertAlign w:val="superscript"/>
        </w:rPr>
        <w:t>2</w:t>
      </w:r>
      <w:r w:rsidR="0077610A" w:rsidRPr="0077610A">
        <w:rPr>
          <w:vertAlign w:val="superscript"/>
        </w:rPr>
        <w:t>)</w:t>
      </w:r>
      <w:bookmarkEnd w:id="19"/>
    </w:p>
    <w:p w14:paraId="05F3F533" w14:textId="77777777" w:rsidR="00020E14" w:rsidRDefault="00D90655" w:rsidP="00DA6753">
      <w:pPr>
        <w:pStyle w:val="BodyTextBulletIntro"/>
      </w:pPr>
      <w:r w:rsidRPr="00DA6753">
        <w:rPr>
          <w:rStyle w:val="CharacterBold"/>
        </w:rPr>
        <w:t>Our Understanding:</w:t>
      </w:r>
      <w:r w:rsidRPr="00DA6753">
        <w:t xml:space="preserve"> </w:t>
      </w:r>
      <w:r w:rsidRPr="00D90655">
        <w:t>We understand the CMS Transition-In as a time-bound, high-visibility effort that must preserve operational continuity while establishing the foundation for long-term delivery success.</w:t>
      </w:r>
      <w:r w:rsidRPr="00DA6753">
        <w:t xml:space="preserve"> </w:t>
      </w:r>
      <w:r w:rsidR="003F29A8" w:rsidRPr="00DA6753">
        <w:t>A successful transition will require close coordination among CMS, the incumbent, and our team across four interconnected dimensions:</w:t>
      </w:r>
    </w:p>
    <w:p w14:paraId="7B12619E" w14:textId="77777777" w:rsidR="00B07DCB" w:rsidRPr="00B07DCB" w:rsidRDefault="00B07DCB" w:rsidP="00DA6753">
      <w:pPr>
        <w:pStyle w:val="Bulletlevel1"/>
      </w:pPr>
      <w:r w:rsidRPr="00DA6753">
        <w:rPr>
          <w:rStyle w:val="CharacterBold"/>
        </w:rPr>
        <w:t>Governance and Agreement:</w:t>
      </w:r>
      <w:r w:rsidRPr="00B07DCB">
        <w:rPr>
          <w:b/>
        </w:rPr>
        <w:t xml:space="preserve"> </w:t>
      </w:r>
      <w:r w:rsidRPr="00B07DCB">
        <w:t>Timely execution of the Joint Operating Agreement (JOA) within 7 calendar days, supported by disciplined transition governance, RAID management, and a decision log aligned to the Task 1 Project Implementation and Oversight Plan (PIOP).</w:t>
      </w:r>
    </w:p>
    <w:p w14:paraId="0B37DE2B" w14:textId="77777777" w:rsidR="00B07DCB" w:rsidRPr="00B07DCB" w:rsidRDefault="00B07DCB" w:rsidP="00DA6753">
      <w:pPr>
        <w:pStyle w:val="Bulletlevel1"/>
      </w:pPr>
      <w:r w:rsidRPr="00DA6753">
        <w:rPr>
          <w:rStyle w:val="CharacterBold"/>
        </w:rPr>
        <w:t>Integrated Planning:</w:t>
      </w:r>
      <w:r w:rsidRPr="00B07DCB">
        <w:rPr>
          <w:b/>
        </w:rPr>
        <w:t xml:space="preserve"> </w:t>
      </w:r>
      <w:r w:rsidRPr="00B07DCB">
        <w:t xml:space="preserve">Rapid development of an initial Transition Management Plan </w:t>
      </w:r>
      <w:r w:rsidR="00FC057F">
        <w:t>–</w:t>
      </w:r>
      <w:r w:rsidRPr="00B07DCB">
        <w:t xml:space="preserve"> delivered within 8 business days </w:t>
      </w:r>
      <w:r w:rsidR="00FC057F">
        <w:t>–</w:t>
      </w:r>
      <w:r w:rsidRPr="00B07DCB">
        <w:t xml:space="preserve"> that integrates with the PIOP and reflects a realistic critical path with COR-aligned milestones.</w:t>
      </w:r>
    </w:p>
    <w:p w14:paraId="7952BD28" w14:textId="77777777" w:rsidR="00B07DCB" w:rsidRPr="00B07DCB" w:rsidRDefault="00B07DCB" w:rsidP="00DA6753">
      <w:pPr>
        <w:pStyle w:val="Bulletlevel1"/>
      </w:pPr>
      <w:r w:rsidRPr="00DA6753">
        <w:rPr>
          <w:rStyle w:val="CharacterBold"/>
        </w:rPr>
        <w:t>Comprehensive Discovery:</w:t>
      </w:r>
      <w:r w:rsidRPr="00B07DCB">
        <w:rPr>
          <w:b/>
        </w:rPr>
        <w:t xml:space="preserve"> </w:t>
      </w:r>
      <w:r w:rsidRPr="00B07DCB">
        <w:t xml:space="preserve">Establishment of a clear baseline of the current environment </w:t>
      </w:r>
      <w:r w:rsidR="00FC057F">
        <w:t>–</w:t>
      </w:r>
      <w:r w:rsidRPr="00B07DCB">
        <w:t xml:space="preserve"> covering systems, interfaces, data (including PII), in-flight activities, licenses, warranties, SOPs, and security/ATO status </w:t>
      </w:r>
      <w:r w:rsidR="007513DF">
        <w:t>–</w:t>
      </w:r>
      <w:r w:rsidRPr="00B07DCB">
        <w:t xml:space="preserve"> so that responsibilities can be transferred with full operational, technical, and compliance visibility.</w:t>
      </w:r>
    </w:p>
    <w:p w14:paraId="762FA7CE" w14:textId="77777777" w:rsidR="00B07DCB" w:rsidRPr="00B07DCB" w:rsidRDefault="00B07DCB" w:rsidP="00DA6753">
      <w:pPr>
        <w:pStyle w:val="Bulletlevel1"/>
      </w:pPr>
      <w:r w:rsidRPr="00DA6753">
        <w:rPr>
          <w:rStyle w:val="CharacterBold"/>
        </w:rPr>
        <w:t>Phased Operational Handoff:</w:t>
      </w:r>
      <w:r w:rsidRPr="00B07DCB">
        <w:rPr>
          <w:b/>
        </w:rPr>
        <w:t xml:space="preserve"> </w:t>
      </w:r>
      <w:r w:rsidRPr="00B07DCB">
        <w:t>A structured 12-week transition that progressively shifts accountability from the incumbent to our team through shadow operations, artifact validation, and workstream-level cutovers, concluding with COR-accepted exit criteria and a smooth handoff to steady-state operations.</w:t>
      </w:r>
    </w:p>
    <w:p w14:paraId="1D4588D8" w14:textId="77777777" w:rsidR="00A76080" w:rsidRPr="00DA6753" w:rsidRDefault="00A76080" w:rsidP="00595155">
      <w:pPr>
        <w:pStyle w:val="BodyText"/>
      </w:pPr>
      <w:r w:rsidRPr="00DA6753">
        <w:lastRenderedPageBreak/>
        <w:t>Deloitte brings proven experience executing complex government transitions</w:t>
      </w:r>
      <w:r w:rsidR="00FC057F" w:rsidRPr="00DA6753">
        <w:t xml:space="preserve"> – </w:t>
      </w:r>
      <w:r w:rsidRPr="00DA6753">
        <w:t>including the Wyoming integrated eligibility and data center transition, Texas DIR transitions, and California infrastructure migration to cloud operations</w:t>
      </w:r>
      <w:r w:rsidR="00FC057F" w:rsidRPr="00DA6753">
        <w:t xml:space="preserve"> – </w:t>
      </w:r>
      <w:r w:rsidRPr="00DA6753">
        <w:t>and our existing familiarity with CMS systems and environments means we can compress the early discovery and access provisioning phases that typically consume the first weeks of a transition. Our methodology is built on rigorous entry and exit criteria, continuous risk evaluation, and disciplined knowledge transfer, and our head start positions us to deliver a faster, lower-risk transition from day one.</w:t>
      </w:r>
    </w:p>
    <w:p w14:paraId="0F9F7574" w14:textId="77777777" w:rsidR="00930A32" w:rsidRPr="00595155" w:rsidRDefault="00D90655" w:rsidP="00595155">
      <w:pPr>
        <w:pStyle w:val="BodyText"/>
      </w:pPr>
      <w:r w:rsidRPr="00DA6753">
        <w:rPr>
          <w:rStyle w:val="CharacterBold"/>
        </w:rPr>
        <w:t>Our Approach:</w:t>
      </w:r>
      <w:r w:rsidRPr="00DA6753">
        <w:t xml:space="preserve"> </w:t>
      </w:r>
      <w:r>
        <w:t>Our approach is to execute the transition in a structured, low-risk manner that combines strong governance, rigorous discovery, and phased operational handoff. We will quickly stand</w:t>
      </w:r>
      <w:r w:rsidR="00223283">
        <w:t>-</w:t>
      </w:r>
      <w:r>
        <w:t>up transition governance with the CMS COR and incumbent, establish RAID and decision logs, and complete JOA review and execution within the required timeframe to support dual-operations management and coordinated communications. In parallel, we will submit an initial Transition</w:t>
      </w:r>
      <w:r w:rsidR="005A1BE2">
        <w:t>-In</w:t>
      </w:r>
      <w:r>
        <w:t xml:space="preserve"> Plan, conduct structured knowledge transfer and walkthroughs, enable controlled access, and progressively assume responsibilities over the three-month transition period. We will then manage phased cutovers by workstream or system, validate exit criteria with the COR, and focus on stabilization to ensure a smooth transition to steady-state operations.</w:t>
      </w:r>
      <w:r w:rsidR="00595155">
        <w:t xml:space="preserve"> </w:t>
      </w:r>
      <w:r w:rsidR="00930A32" w:rsidRPr="00DA6753">
        <w:t xml:space="preserve">The </w:t>
      </w:r>
      <w:r w:rsidR="00B52445" w:rsidRPr="00DA6753">
        <w:t>table below outlines the</w:t>
      </w:r>
      <w:r w:rsidR="00930A32" w:rsidRPr="00DA6753">
        <w:t xml:space="preserve"> four phases of our Transition-In methodology, the key activities within each, and the outcomes we commit to deliver.</w:t>
      </w:r>
    </w:p>
    <w:p w14:paraId="73699258" w14:textId="77777777" w:rsidR="00DA6753" w:rsidRPr="00DA6753" w:rsidRDefault="00DA6753" w:rsidP="00DA6753">
      <w:pPr>
        <w:pStyle w:val="TableTitle"/>
      </w:pPr>
      <w:r>
        <w:t>Table 2.1.3-1. Approach Summary.</w:t>
      </w:r>
    </w:p>
    <w:p w14:paraId="6386BF5F" w14:textId="77777777" w:rsidR="00F0274C" w:rsidRPr="00305FFE" w:rsidRDefault="00930A32" w:rsidP="00F0274C">
      <w:pPr>
        <w:pStyle w:val="BodyText"/>
      </w:pPr>
      <w:r w:rsidRPr="00ED04D4">
        <w:t>Throughout all phases, Deloitte will maintain daily transition standups, milestone dashboards, and RAID log updates to provide CMS COR with real-time visibility into progress, risks, and decisions. Our Transition Manager will serve as the single point of accountability, with escalation paths defined and codified in the JOA from Day 1.</w:t>
      </w:r>
      <w:r w:rsidR="00F0274C" w:rsidRPr="00F0274C">
        <w:t xml:space="preserve"> </w:t>
      </w:r>
      <w:r w:rsidR="00F0274C">
        <w:t>Deloitte already has deep knowledge of the CMS System Access process, and we will be able to easily support onboarding of these data access requests.</w:t>
      </w:r>
    </w:p>
    <w:p w14:paraId="43687874" w14:textId="77777777" w:rsidR="00F0274C" w:rsidRPr="00BC43A6" w:rsidRDefault="00F0274C" w:rsidP="00F0274C">
      <w:pPr>
        <w:pStyle w:val="BodyText"/>
      </w:pPr>
      <w:r>
        <w:t>We have included a proposed high-level timeline for the 90-day transition-in period, see timeline below:</w:t>
      </w:r>
    </w:p>
    <w:p w14:paraId="19E1C4EC" w14:textId="77777777" w:rsidR="00F0274C" w:rsidRDefault="0017680B" w:rsidP="0017680B">
      <w:pPr>
        <w:pStyle w:val="FigureTitle"/>
      </w:pPr>
      <w:r>
        <w:t xml:space="preserve">Figure 2.1.3-1. [Deloitte to </w:t>
      </w:r>
      <w:proofErr w:type="gramStart"/>
      <w:r>
        <w:t>populate:</w:t>
      </w:r>
      <w:proofErr w:type="gramEnd"/>
      <w:r>
        <w:t xml:space="preserve"> figure title and graphic].</w:t>
      </w:r>
    </w:p>
    <w:p w14:paraId="054C4FDB" w14:textId="77777777" w:rsidR="0017680B" w:rsidRPr="0017680B" w:rsidRDefault="0017680B" w:rsidP="0017680B">
      <w:pPr>
        <w:pStyle w:val="FigureGraphic"/>
      </w:pPr>
      <w:r>
        <w:rPr>
          <w:noProof/>
        </w:rPr>
        <w:drawing>
          <wp:inline distT="0" distB="0" distL="0" distR="0" wp14:anchorId="2BA61A45" wp14:editId="44B947A6">
            <wp:extent cx="5944235" cy="1627505"/>
            <wp:effectExtent l="0" t="0" r="0" b="0"/>
            <wp:docPr id="977455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4235" cy="1627505"/>
                    </a:xfrm>
                    <a:prstGeom prst="rect">
                      <a:avLst/>
                    </a:prstGeom>
                    <a:noFill/>
                  </pic:spPr>
                </pic:pic>
              </a:graphicData>
            </a:graphic>
          </wp:inline>
        </w:drawing>
      </w:r>
    </w:p>
    <w:p w14:paraId="2A287EC0" w14:textId="77777777" w:rsidR="001677A6" w:rsidRPr="0017680B" w:rsidRDefault="00F071E8" w:rsidP="001677A6">
      <w:pPr>
        <w:pStyle w:val="BodyText"/>
      </w:pPr>
      <w:r w:rsidRPr="0017680B">
        <w:rPr>
          <w:rStyle w:val="CharacterBold"/>
        </w:rPr>
        <w:t>Our Successes:</w:t>
      </w:r>
      <w:r w:rsidRPr="0017680B">
        <w:t xml:space="preserve"> </w:t>
      </w:r>
      <w:r w:rsidR="001677A6" w:rsidRPr="0017680B">
        <w:t xml:space="preserve">Deloitte's transition methodology ensures continuity of operations, minimizes risks, and achieves a smooth transfer of responsibilities within the designated timeframe. This process was successfully implemented in projects such as the Wyoming integrated eligibility application and data center transition, Texas Department of Information Resources (DIR) transitions, and California infrastructure migration to cloud operations. These experiences inform our approach, emphasizing rigorous entry and exit criteria for each phase, feedback loops, and constant risk evaluation.</w:t>
      </w:r>
    </w:p>
    <w:p w14:paraId="6E934272" w14:textId="77777777" w:rsidR="001E5A5A" w:rsidRDefault="001E5A5A" w:rsidP="001E5A5A">
      <w:pPr>
        <w:pStyle w:val="BodyText"/>
      </w:pPr>
      <w:r w:rsidRPr="0017680B">
        <w:rPr>
          <w:rStyle w:val="CharacterBold"/>
        </w:rPr>
        <w:t>Potential Roadblocks:</w:t>
      </w:r>
      <w:r w:rsidRPr="0017680B">
        <w:t xml:space="preserve"> </w:t>
      </w:r>
      <w:r>
        <w:t>We will support CMS through a disciplined, low-risk Transition-In approach designed to protect continuity of operations, accelerate transfer of responsibility, and maintain compliance from Day 1.</w:t>
      </w:r>
    </w:p>
    <w:p w14:paraId="2269002F" w14:textId="77777777" w:rsidR="001349CE" w:rsidRDefault="001349CE" w:rsidP="001349CE">
      <w:pPr>
        <w:pStyle w:val="TableTitle"/>
      </w:pPr>
      <w:r>
        <w:t>Table 2.1.3-2. Approach Summary.</w:t>
      </w:r>
    </w:p>
    <w:tbl>
      <w:tblPr>
        <w:tblStyle w:val="DeloitteTable2"/>
        <w:tblW w:w="5000" w:type="pct"/>
        <w:tblLook w:val="0620" w:firstRow="1" w:lastRow="0" w:firstColumn="0" w:lastColumn="0" w:noHBand="1" w:noVBand="1"/>
      </w:tblPr>
      <w:tblGrid>
        <w:gridCol w:w="4315"/>
        <w:gridCol w:w="5035"/>
      </w:tblGrid>
      <w:tr w:rsidR="001349CE" w14:paraId="2485D9CF" w14:textId="77777777" w:rsidTr="001349CE">
        <w:trPr>
          <w:cnfStyle w:val="100000000000" w:firstRow="1" w:lastRow="0" w:firstColumn="0" w:lastColumn="0" w:oddVBand="0" w:evenVBand="0" w:oddHBand="0" w:evenHBand="0" w:firstRowFirstColumn="0" w:firstRowLastColumn="0" w:lastRowFirstColumn="0" w:lastRowLastColumn="0"/>
          <w:tblHeader/>
        </w:trPr>
        <w:tc>
          <w:tcPr>
            <w:tcW w:w="4315" w:type="dxa"/>
          </w:tcPr>
          <w:p w14:paraId="3138CCCA" w14:textId="77777777" w:rsidR="001349CE" w:rsidRDefault="001349CE" w:rsidP="001349CE">
            <w:pPr>
              <w:pStyle w:val="TableHeading"/>
            </w:pPr>
            <w:r w:rsidRPr="00E65890">
              <w:t>C</w:t>
            </w:r>
            <w:r>
              <w:t>hallenge</w:t>
            </w:r>
          </w:p>
        </w:tc>
        <w:tc>
          <w:tcPr>
            <w:tcW w:w="5035" w:type="dxa"/>
          </w:tcPr>
          <w:p w14:paraId="6B152052" w14:textId="77777777" w:rsidR="001349CE" w:rsidRDefault="001349CE" w:rsidP="001349CE">
            <w:pPr>
              <w:pStyle w:val="TableHeading"/>
            </w:pPr>
            <w:r w:rsidRPr="00E65890">
              <w:t>Mitigation Strategy</w:t>
            </w:r>
          </w:p>
        </w:tc>
      </w:tr>
      <w:tr w:rsidR="001349CE" w14:paraId="4D242190" w14:textId="77777777" w:rsidTr="001349CE">
        <w:tc>
          <w:tcPr>
            <w:tcW w:w="4315" w:type="dxa"/>
          </w:tcPr>
          <w:p w14:paraId="3E01A2F4" w14:textId="77777777" w:rsidR="001349CE" w:rsidRDefault="001349CE" w:rsidP="001349CE">
            <w:pPr>
              <w:pStyle w:val="TableRowHeading"/>
            </w:pPr>
            <w:r>
              <w:t>Compressed Start-Up Timeline &amp; Dual-Ops Coordination</w:t>
            </w:r>
          </w:p>
          <w:p w14:paraId="5FD552CA" w14:textId="77777777" w:rsidR="001349CE" w:rsidRDefault="001349CE" w:rsidP="001349CE">
            <w:pPr>
              <w:pStyle w:val="TableBody"/>
            </w:pPr>
            <w:r>
              <w:t xml:space="preserve">The JOA must be executed within 7 calendar days and an integrated Transition Plan delivered within 8 </w:t>
            </w:r>
            <w:r>
              <w:lastRenderedPageBreak/>
              <w:t>business days, while simultaneously managing workload with the incumbent under active dual-ops. Delays in the incumbent's JOA response or misaligned "rules of the road" can cascade into schedule and service disruptions.</w:t>
            </w:r>
          </w:p>
        </w:tc>
        <w:tc>
          <w:tcPr>
            <w:tcW w:w="5035" w:type="dxa"/>
          </w:tcPr>
          <w:p w14:paraId="15D5FBA8" w14:textId="77777777" w:rsidR="001349CE" w:rsidRDefault="001349CE" w:rsidP="001349CE">
            <w:pPr>
              <w:pStyle w:val="TableBody"/>
            </w:pPr>
            <w:r w:rsidRPr="004766F8">
              <w:lastRenderedPageBreak/>
              <w:t xml:space="preserve">Deloitte will pre-stage a Day 0–7 "JOA-ready" package including redlines, roles, single-intake workflow, WIP ownership rules, and escalation paths. </w:t>
            </w:r>
            <w:proofErr w:type="gramStart"/>
            <w:r w:rsidRPr="004766F8">
              <w:t>A Day</w:t>
            </w:r>
            <w:proofErr w:type="gramEnd"/>
            <w:r w:rsidRPr="004766F8">
              <w:t xml:space="preserve"> 1 critical-path and timeline realism check will validate dependencies and COR decision points, enabling JOA execution on time even if the incumbent is delayed. Daily </w:t>
            </w:r>
            <w:r w:rsidRPr="004766F8">
              <w:lastRenderedPageBreak/>
              <w:t>transition governance, a RAID log, and a decision log aligned to the PIOP will maintain continuity throughout.</w:t>
            </w:r>
          </w:p>
        </w:tc>
      </w:tr>
      <w:tr w:rsidR="001349CE" w14:paraId="3BB2C593" w14:textId="77777777" w:rsidTr="001349CE">
        <w:tc>
          <w:tcPr>
            <w:tcW w:w="4315" w:type="dxa"/>
          </w:tcPr>
          <w:p w14:paraId="7E2880BA" w14:textId="77777777" w:rsidR="001349CE" w:rsidRDefault="001349CE" w:rsidP="001349CE">
            <w:pPr>
              <w:pStyle w:val="TableRowHeading"/>
            </w:pPr>
            <w:r>
              <w:t>Incomplete or Uneven Transfer of In-Flight Work and Artifacts</w:t>
            </w:r>
          </w:p>
          <w:p w14:paraId="72DF6397" w14:textId="77777777" w:rsidR="001349CE" w:rsidRDefault="001349CE" w:rsidP="001349CE">
            <w:pPr>
              <w:pStyle w:val="TableBody"/>
            </w:pPr>
            <w:r>
              <w:t>The SOW requires the incumbent to hand over a broad set of work products (SDLC artifacts, SOPs, reports, data models, test cases). Documentation gaps, unclear WIP ownership, or version mismatches can introduce rework and cutover delays.</w:t>
            </w:r>
          </w:p>
        </w:tc>
        <w:tc>
          <w:tcPr>
            <w:tcW w:w="5035" w:type="dxa"/>
          </w:tcPr>
          <w:p w14:paraId="7EFC9A27" w14:textId="77777777" w:rsidR="001349CE" w:rsidRDefault="001349CE" w:rsidP="001349CE">
            <w:pPr>
              <w:pStyle w:val="TableBody"/>
            </w:pPr>
            <w:r w:rsidRPr="004766F8">
              <w:t>We will enforce a structured artifact transfer register with defined completeness criteria (minimum SDLC set, SOPs, reports, test assets) and version control. Structured KT and shadow ops will validate transfer quality, while JOA-defined owner-of-record rules, freeze windows, and parallel-run exit criteria will prevent duplication and rework prior to each phased cutover.</w:t>
            </w:r>
          </w:p>
        </w:tc>
      </w:tr>
      <w:tr w:rsidR="001349CE" w14:paraId="0B2E37EC" w14:textId="77777777" w:rsidTr="001349CE">
        <w:tc>
          <w:tcPr>
            <w:tcW w:w="4315" w:type="dxa"/>
          </w:tcPr>
          <w:p w14:paraId="54527889" w14:textId="77777777" w:rsidR="001349CE" w:rsidRDefault="001349CE" w:rsidP="001349CE">
            <w:pPr>
              <w:pStyle w:val="TableRowHeading"/>
            </w:pPr>
            <w:r>
              <w:t>Security, ATO, and Sensitive-Asset Inventory Constraints</w:t>
            </w:r>
          </w:p>
          <w:p w14:paraId="7AE6FB54" w14:textId="77777777" w:rsidR="001349CE" w:rsidRDefault="001349CE" w:rsidP="001349CE">
            <w:pPr>
              <w:pStyle w:val="TableBody"/>
            </w:pPr>
            <w:r>
              <w:t>Transition activities must address PII, GFE, and GFI inventories alongside stringent FedRAMP/A&amp;A and ATO obligations — including POA&amp;M tracking, scanning, configuration baselines, and access onboarding (HSPD-12/</w:t>
            </w:r>
            <w:proofErr w:type="gramStart"/>
            <w:r>
              <w:t>PIV) —</w:t>
            </w:r>
            <w:proofErr w:type="gramEnd"/>
            <w:r>
              <w:t xml:space="preserve"> which can become a critical-path dependency.</w:t>
            </w:r>
          </w:p>
        </w:tc>
        <w:tc>
          <w:tcPr>
            <w:tcW w:w="5035" w:type="dxa"/>
          </w:tcPr>
          <w:p w14:paraId="0A44C45F" w14:textId="77777777" w:rsidR="001349CE" w:rsidRDefault="001349CE" w:rsidP="001349CE">
            <w:pPr>
              <w:pStyle w:val="TableBody"/>
            </w:pPr>
            <w:r w:rsidRPr="004766F8">
              <w:t xml:space="preserve">A dedicated security/privacy and ATO workstream will be established on Day 1 to baseline PII, GFE, and GFI inventories, map access and approval dependencies as critical-path </w:t>
            </w:r>
            <w:proofErr w:type="gramStart"/>
            <w:r w:rsidRPr="004766F8">
              <w:t>items, and</w:t>
            </w:r>
            <w:proofErr w:type="gramEnd"/>
            <w:r w:rsidRPr="004766F8">
              <w:t xml:space="preserve"> maintain A&amp;A/FedRAMP-aligned controls with continuous monitoring and POA&amp;M discipline. Production cutovers will only proceed after security readiness gates are met.</w:t>
            </w:r>
          </w:p>
        </w:tc>
      </w:tr>
      <w:tr w:rsidR="001349CE" w14:paraId="6ABA4366" w14:textId="77777777" w:rsidTr="001349CE">
        <w:tc>
          <w:tcPr>
            <w:tcW w:w="4315" w:type="dxa"/>
          </w:tcPr>
          <w:p w14:paraId="0724102F" w14:textId="77777777" w:rsidR="001349CE" w:rsidRDefault="001349CE" w:rsidP="001349CE">
            <w:pPr>
              <w:pStyle w:val="TableRowHeading"/>
            </w:pPr>
            <w:r>
              <w:t>Stakeholder Alignment and Incumbent Cooperation</w:t>
            </w:r>
          </w:p>
          <w:p w14:paraId="0D8D9E70" w14:textId="77777777" w:rsidR="001349CE" w:rsidRDefault="001349CE" w:rsidP="001349CE">
            <w:pPr>
              <w:pStyle w:val="TableBody"/>
            </w:pPr>
            <w:r>
              <w:t>A successful transition depends on sustained cooperation from the incumbent contractor — timely artifact handover, responsive KT participation, and adherence to JOA protocols. Adversarial dynamics or disengagement can stall knowledge transfer and create gaps in operational continuity.</w:t>
            </w:r>
          </w:p>
        </w:tc>
        <w:tc>
          <w:tcPr>
            <w:tcW w:w="5035" w:type="dxa"/>
          </w:tcPr>
          <w:p w14:paraId="0D03ED7B" w14:textId="77777777" w:rsidR="001349CE" w:rsidRDefault="001349CE" w:rsidP="001349CE">
            <w:pPr>
              <w:pStyle w:val="TableBody"/>
            </w:pPr>
            <w:r w:rsidRPr="004766F8">
              <w:t>We will establish a structured cadence of transition standups and COR touchpoints from Day 1, with escalation paths codified in the JOA. Milestone dashboards and RAID logs will provide COR visibility into incumbent performance, and clear contractual obligations for artifact delivery and KT participation will be reinforced through COR-approved acceptance criteria.</w:t>
            </w:r>
          </w:p>
        </w:tc>
      </w:tr>
    </w:tbl>
    <w:p w14:paraId="06B89758" w14:textId="77777777" w:rsidR="00CB2DED" w:rsidRPr="00BC43A6" w:rsidRDefault="00CB2DED" w:rsidP="001349CE">
      <w:pPr>
        <w:pStyle w:val="ParagraphSpacer"/>
      </w:pPr>
    </w:p>
    <w:p w14:paraId="7292C509" w14:textId="77777777" w:rsidR="00775066" w:rsidRDefault="00775066" w:rsidP="00775066">
      <w:pPr>
        <w:pStyle w:val="Heading2"/>
      </w:pPr>
      <w:bookmarkStart w:id="20" w:name="_Toc228252923"/>
      <w:r>
        <w:t>2.2</w:t>
      </w:r>
      <w:r>
        <w:tab/>
      </w:r>
      <w:r w:rsidRPr="00775066">
        <w:t>Sub-Section 2B: Quality Assurance Approach</w:t>
      </w:r>
      <w:r w:rsidR="003D0CAF">
        <w:t xml:space="preserve"> </w:t>
      </w:r>
      <w:r w:rsidR="003D0CAF" w:rsidRPr="00806273">
        <w:t>(</w:t>
      </w:r>
      <w:r w:rsidR="005038DA">
        <w:t>3</w:t>
      </w:r>
      <w:r w:rsidR="003D0CAF" w:rsidRPr="00806273">
        <w:t xml:space="preserve"> Pages)</w:t>
      </w:r>
      <w:bookmarkEnd w:id="20"/>
    </w:p>
    <w:p w14:paraId="039DE1B6" w14:textId="77777777" w:rsidR="006932F9" w:rsidRPr="006932F9" w:rsidRDefault="000B6E3E" w:rsidP="00F2405B">
      <w:pPr>
        <w:pStyle w:val="Subheading1"/>
      </w:pPr>
      <w:r w:rsidRPr="000B6E3E">
        <w:t>Performance Management and Quality Control Methodologies and Approach</w:t>
      </w:r>
    </w:p>
    <w:p w14:paraId="5AE8A4E9" w14:textId="77777777" w:rsidR="671ED0E9" w:rsidRDefault="6B933427" w:rsidP="001349CE">
      <w:pPr>
        <w:pStyle w:val="BodyText"/>
      </w:pPr>
      <w:r>
        <w:t xml:space="preserve">Quality assurance for ER&amp;R is governed by the Service Level Agreements in SOW Tables 3 and 4, the Acceptable Quality Levels (AQLs) and Key Performance Indicators (KPIs) developed under SOW §3.9, and a Quality Assurance Surveillance Plan (QASP) that Deloitte will deliver within 45 </w:t>
      </w:r>
      <w:proofErr w:type="gramStart"/>
      <w:r>
        <w:t>days of the start</w:t>
      </w:r>
      <w:proofErr w:type="gramEnd"/>
      <w:r>
        <w:t xml:space="preserve"> of the base period. Deloitte's quality model is designed around three operating commitments. First, every quality measure ties directly to an SOW SLA, an AQL the contract obligates Deloitte to meet, or a KPI tied to a measurable program outcome — not to abstract maturity-model citations. Second, quality is built into execution rather than inspected at the end: every dispute, casework determination, FFE update, notice generation, and call interaction passes through pre-defined quality controls before it reaches CMS or a consumer. Third, quality findings drive process and SOP changes within a defined turnaround, so the same defect does not surface twice.</w:t>
      </w:r>
    </w:p>
    <w:p w14:paraId="2A0B556A" w14:textId="77777777" w:rsidR="006932F9" w:rsidRPr="006932F9" w:rsidRDefault="006932F9" w:rsidP="00F2405B">
      <w:pPr>
        <w:pStyle w:val="Subheading1"/>
      </w:pPr>
      <w:r w:rsidRPr="006932F9">
        <w:lastRenderedPageBreak/>
        <w:t>Performance Controls and Monitoring Techniques</w:t>
      </w:r>
    </w:p>
    <w:p w14:paraId="0FD88406" w14:textId="77777777" w:rsidR="671ED0E9" w:rsidRDefault="6C7327A2" w:rsidP="671ED0E9">
      <w:pPr>
        <w:pStyle w:val="BodyText"/>
      </w:pPr>
      <w:r>
        <w:t xml:space="preserve">Performance is monitored continuously through a layered control architecture. Real-time operational dashboards in CERRS, HICS, SEED, and EDA CORE expose case status, dispute aging, SLA clock position, BUU cycle progress, notice generation pipeline state, call abandonment rate, voicemail age, and 834 ingestion job health to both Deloitte operations leadership and the COR. A daily operations stand-up reviews open SLA-at-risk cases, dispute trend anomalies, and any cross-task issue identified through the weekly cross-task data share described in Section 1B. Weekly Deloitte-CMS performance reviews summarize prior-week performance against every SOW SLA and AQL, surface root cause for any deviation, and document corrective action with a closure date. Monthly executive performance reporting feeds the Monthly Progress, Data and Cost Report, and quarterly portfolio reviews surface multi-month trends that warrant SOP, training, </w:t>
      </w:r>
      <w:proofErr w:type="gramStart"/>
      <w:r>
        <w:t>or</w:t>
      </w:r>
      <w:proofErr w:type="gramEnd"/>
      <w:r>
        <w:t xml:space="preserve"> staffing-model adjustments.</w:t>
      </w:r>
    </w:p>
    <w:p w14:paraId="004D9CB8" w14:textId="77777777" w:rsidR="006932F9" w:rsidRPr="006932F9" w:rsidRDefault="00C76CD2" w:rsidP="00F2405B">
      <w:pPr>
        <w:pStyle w:val="Subheading1"/>
      </w:pPr>
      <w:r w:rsidRPr="00C76CD2">
        <w:t xml:space="preserve">Quality </w:t>
      </w:r>
      <w:proofErr w:type="gramStart"/>
      <w:r w:rsidRPr="00C76CD2">
        <w:t>Control</w:t>
      </w:r>
      <w:proofErr w:type="gramEnd"/>
      <w:r w:rsidRPr="00C76CD2">
        <w:t xml:space="preserve"> Governance and Accountability</w:t>
      </w:r>
    </w:p>
    <w:p w14:paraId="3C81FDB6" w14:textId="77777777" w:rsidR="00F2405B" w:rsidRPr="00F2405B" w:rsidRDefault="2C1F4B69" w:rsidP="00F2405B">
      <w:pPr>
        <w:pStyle w:val="BodyText"/>
      </w:pPr>
      <w:r>
        <w:t xml:space="preserve">Deloitte's Quality Oversight Lead, accountable directly to the Project Director and reporting independently to the COR on quality matters, owns the QC program. Day-to-day QC operates with separation of duties — caseworkers do not review their own work; supervisors review against published QC checklists; an independent QA team samples closed cases at rates calibrated to risk (elevated sampling for APTC determinations, retroactive adjustments, manual overrides, and any case involving CMS-directed VIP escalation). Every deliverable carries a documented QC sign-off before submission, with the </w:t>
      </w:r>
      <w:proofErr w:type="gramStart"/>
      <w:r>
        <w:t>reviewer</w:t>
      </w:r>
      <w:proofErr w:type="gramEnd"/>
      <w:r>
        <w:t xml:space="preserve"> name, review date, and any discrepancy log retained for audit. QC accountability is reinforced through performance metrics built into supervisor and lead role descriptions and through the SBLO governance applied to subcontractor work.</w:t>
      </w:r>
    </w:p>
    <w:p w14:paraId="61EEF1CE" w14:textId="77777777" w:rsidR="006932F9" w:rsidRPr="006932F9" w:rsidRDefault="006932F9" w:rsidP="00F2405B">
      <w:pPr>
        <w:pStyle w:val="Subheading1"/>
      </w:pPr>
      <w:r w:rsidRPr="006932F9">
        <w:t xml:space="preserve">Acceptable Quality Levels </w:t>
      </w:r>
      <w:r w:rsidR="00F2405B">
        <w:t>(AQLs)</w:t>
      </w:r>
      <w:r w:rsidRPr="006932F9">
        <w:t xml:space="preserve"/>
      </w:r>
    </w:p>
    <w:p w14:paraId="26BF4707" w14:textId="77777777" w:rsidR="00F2405B" w:rsidRPr="00F2405B" w:rsidRDefault="2DF00727" w:rsidP="00F2405B">
      <w:pPr>
        <w:pStyle w:val="BodyText"/>
      </w:pPr>
      <w:r>
        <w:t>Deloitte will meet or exceed every AQL defined in the SOW, including the explicit Service Level Agreements: 95% of high-complexity issuer disputes resolved within 10 business days (SOW Table 3); 100% of low-complexity Form 1095-A consumer disputes resolved within 2 business days; 100% of medium-complexity 1095-A disputes resolved within 5 business days; and 100% of high-complexity 1095-A disputes resolved within 10 business days (SOW Table 4). Additional AQLs developed jointly with CMS during the QASP finalization will cover deliverable acceptance (clarity, accuracy, timeliness, completeness), call center performance (speed of answer, abandonment, voicemail one-business-day response), notice generation pipeline accuracy and translation compliance, FFE update precision (zero sequencing errors per BUU cycle), and reporting timeliness (Monthly Progress, Data and Cost Report by the third Monday). Where ambiguity exists at the start of the base period, Deloitte will confirm AQLs with CMS during PIOP review rather than operate against an unverified standard.</w:t>
      </w:r>
    </w:p>
    <w:p w14:paraId="13148D32" w14:textId="77777777" w:rsidR="00B816F9" w:rsidRPr="00B816F9" w:rsidRDefault="00347C45" w:rsidP="00F2405B">
      <w:pPr>
        <w:pStyle w:val="Subheading1"/>
      </w:pPr>
      <w:r w:rsidRPr="00347C45">
        <w:t xml:space="preserve">Contractor </w:t>
      </w:r>
      <w:r w:rsidR="006932F9" w:rsidRPr="006932F9">
        <w:t>Performance Analysis</w:t>
      </w:r>
    </w:p>
    <w:p w14:paraId="16796CBE" w14:textId="77777777" w:rsidR="00F2405B" w:rsidRPr="00F2405B" w:rsidRDefault="0D5385F2" w:rsidP="00F2405B">
      <w:pPr>
        <w:pStyle w:val="BodyText"/>
      </w:pPr>
      <w:r>
        <w:t xml:space="preserve">Deloitte will operate a structured performance self-assessment that runs in parallel with CMS oversight, not as a substitute for it. Each month, Deloitte's Quality Oversight Lead produces a self-assessment scorecard that grades performance against every published SLA, AQL, and KPI, identifies trend lines, and proposes any needed corrective action — submitted to the COR alongside the Monthly Progress, Data and Cost Report. This self-assessment is independent of operational reporting from </w:t>
      </w:r>
      <w:proofErr w:type="gramStart"/>
      <w:r>
        <w:t>caseworkers</w:t>
      </w:r>
      <w:proofErr w:type="gramEnd"/>
      <w:r>
        <w:t xml:space="preserve"> and supervisors and is the primary input to the quarterly performance trend review with CMS. The output also feeds Deloitte's Contractor Performance Assessment Reporting System (CPARS) input.</w:t>
      </w:r>
    </w:p>
    <w:p w14:paraId="4B4D63A1" w14:textId="77777777" w:rsidR="00B816F9" w:rsidRPr="00B816F9" w:rsidRDefault="00B816F9" w:rsidP="00F2405B">
      <w:pPr>
        <w:pStyle w:val="Subheading1"/>
      </w:pPr>
      <w:r w:rsidRPr="00B816F9">
        <w:lastRenderedPageBreak/>
        <w:t>Performance Reporting</w:t>
      </w:r>
    </w:p>
    <w:p w14:paraId="72F3F093" w14:textId="77777777" w:rsidR="00F2405B" w:rsidRPr="00F2405B" w:rsidRDefault="685C895E" w:rsidP="00F2405B">
      <w:pPr>
        <w:pStyle w:val="BodyText"/>
      </w:pPr>
      <w:r>
        <w:t>Deloitte will deliver three monthly QA-related reports per SOW §3.9 (Quality Assurance Report, Monthly Performance Report, Business Process Improvement Report) and integrate performance data into the Monthly Progress, Data and Cost Report. Each QA report includes a forward-looking corrective action plan rather than a backward-looking metric dump: every defect, missed AQL, or trend deviation is paired with a root-cause hypothesis, a corrective action, an owner, and a closure date. Where Deloitte recommends a corrective action plan that requires CMS approval, that recommendation is brought forward in writing in the same reporting cycle the issue is observed.</w:t>
      </w:r>
    </w:p>
    <w:p w14:paraId="1361367C" w14:textId="77777777" w:rsidR="00B816F9" w:rsidRPr="00B816F9" w:rsidRDefault="00B816F9" w:rsidP="00F2405B">
      <w:pPr>
        <w:pStyle w:val="Subheading1"/>
      </w:pPr>
      <w:r w:rsidRPr="00B816F9">
        <w:t>Performance Correction Mechanisms</w:t>
      </w:r>
    </w:p>
    <w:p w14:paraId="1373E8EC" w14:textId="77777777" w:rsidR="00F2405B" w:rsidRPr="00F2405B" w:rsidRDefault="1CF15ED9" w:rsidP="00F2405B">
      <w:pPr>
        <w:pStyle w:val="BodyText"/>
      </w:pPr>
      <w:r>
        <w:t>Deloitte applies a tiered correction model. Tier 1 (operational): caseworker-level errors are corrected by the caseworker, peer-reviewed by a supervisor, and logged for trend analysis. Tier 2 (process): repeated errors of the same type trigger an SOP review, a targeted training refresh, and a 30-day monitoring window before the action closes. Tier 3 (program): a missed AQL or a systemic trend triggers a formal Corrective Action Plan submitted to the COR within 5 business days of identification, including root cause analysis, remediation milestones, performance metrics demonstrating recovery, and a structured close-out review. Corrective actions are tracked to closure in the integrated RAID log, with monthly status visible to the COR.</w:t>
      </w:r>
    </w:p>
    <w:p w14:paraId="60BB7036" w14:textId="77777777" w:rsidR="00B816F9" w:rsidRPr="00B816F9" w:rsidRDefault="00B816F9" w:rsidP="00F2405B">
      <w:pPr>
        <w:pStyle w:val="Subheading1"/>
      </w:pPr>
      <w:r w:rsidRPr="00B816F9">
        <w:t>Performance Metrics and Key Performance Indicators (KPIs)</w:t>
      </w:r>
    </w:p>
    <w:p w14:paraId="11CCB697" w14:textId="77777777" w:rsidR="00F2405B" w:rsidRPr="00F2405B" w:rsidRDefault="3BC1CA6C" w:rsidP="00F2405B">
      <w:pPr>
        <w:pStyle w:val="BodyText"/>
      </w:pPr>
      <w:r>
        <w:t>KPIs are derived from the SOW §3.9 data collection and analysis elements (a) entity submission types, (b) enrollee data accuracy, (c) reason codes, (d) effective dates, (e) terminations, (f) cancellations, (g) plan-level accuracy, (h) APTC/CSR validations, (i) ASC X12N 834/820 transaction reconciliation, (j) error reports, (k) error correction, (l) error reporting, (m) trending analysis of reconciliation, (n) source/content of common inquiries, (o) vulnerability identification, and (p) additional CMS-identified elements. The Performance Measurement Plan in this volume aligns each of these elements to a measurable KPI with a numeric target, a monitoring cadence, and an early-warning threshold. KPI definitions are presented to the COR for refinement and approval at the business process improvement kick-off and reported monthly thereafter through the Monthly Performance Report.</w:t>
      </w:r>
    </w:p>
    <w:p w14:paraId="758572B4" w14:textId="77777777" w:rsidR="00B816F9" w:rsidRPr="00B816F9" w:rsidRDefault="00B816F9" w:rsidP="00F2405B">
      <w:pPr>
        <w:pStyle w:val="Subheading1"/>
      </w:pPr>
      <w:r w:rsidRPr="00B816F9">
        <w:t>Service Level Agreements (SLAs)</w:t>
      </w:r>
    </w:p>
    <w:p w14:paraId="1B8E57E8" w14:textId="77777777" w:rsidR="25A76845" w:rsidRDefault="25A76845" w:rsidP="001349CE">
      <w:pPr>
        <w:pStyle w:val="BodyText"/>
      </w:pPr>
      <w:r>
        <w:t xml:space="preserve">SLA management is operated as a continuous control function rather than a periodic review. Every case, dispute, deliverable, and call has its SLA clock started at intake — automatically in CERRS, HICS, and SEED for system-tracked items, and through the operational dashboard for non-system-tracked items. An SLA Risk Engine triggers supervisor intervention when any case crosses 70% of its allowed window, before the SLA itself is breached. SLA performance is reviewed daily at the operations stand-up and weekly at the Deloitte-CMS performance review, with any breach pattern triggering the Tier 3 Corrective Action Plan described above. SLA reporting follows the SOW deliverables schedule with daily, weekly, and monthly cadences as defined </w:t>
      </w:r>
      <w:proofErr w:type="gramStart"/>
      <w:r>
        <w:t>per</w:t>
      </w:r>
      <w:proofErr w:type="gramEnd"/>
      <w:r>
        <w:t xml:space="preserve"> task.</w:t>
      </w:r>
    </w:p>
    <w:p w14:paraId="3ECF2424" w14:textId="77777777" w:rsidR="006932F9" w:rsidRPr="00775066" w:rsidRDefault="00B816F9" w:rsidP="00F2405B">
      <w:pPr>
        <w:pStyle w:val="Subheading1"/>
      </w:pPr>
      <w:r w:rsidRPr="00B816F9">
        <w:t xml:space="preserve">QASP alignment to SLAs, AQLs, KPIs and </w:t>
      </w:r>
      <w:r w:rsidR="00B27AEE">
        <w:t>E</w:t>
      </w:r>
      <w:r w:rsidRPr="00B816F9">
        <w:t xml:space="preserve">scalation </w:t>
      </w:r>
      <w:r w:rsidR="00B27AEE">
        <w:t>M</w:t>
      </w:r>
      <w:r w:rsidRPr="00B816F9">
        <w:t>echanisms</w:t>
      </w:r>
    </w:p>
    <w:p w14:paraId="2BAA5025" w14:textId="77777777" w:rsidR="00F2405B" w:rsidRPr="00F2405B" w:rsidRDefault="1510CDC3" w:rsidP="00F2405B">
      <w:pPr>
        <w:pStyle w:val="BodyText"/>
      </w:pPr>
      <w:r>
        <w:t xml:space="preserve">Deloitte will deliver a draft Quality Assurance Surveillance Plan (QASP) within 45 days of the start of the base period per SOW §3.9, jointly review and finalize the QASP with the COR within 30 days of that review, and store the approved QASP in a CMS-approved location with version control. The QASP defines, for every SOW SLA and AQL: the measurement method, the data source, the responsible owner, the reporting cadence, the acceptable performance threshold, and the escalation mechanism for non-conformance. QASP updates follow PIOP change-control discipline and are submitted to CMS for review and approval </w:t>
      </w:r>
      <w:r>
        <w:lastRenderedPageBreak/>
        <w:t xml:space="preserve">whenever a PWS change, regulatory update, or COR direction warrants revision. </w:t>
      </w:r>
      <w:proofErr w:type="gramStart"/>
      <w:r>
        <w:t>The QASP</w:t>
      </w:r>
      <w:proofErr w:type="gramEnd"/>
      <w:r>
        <w:t xml:space="preserve"> is the single instrument linking Deloitte's performance to CPARS — making the relationship between day-to-day execution and downstream contractor evaluation transparent and verifiable.</w:t>
      </w:r>
    </w:p>
    <w:p w14:paraId="3FD177D4" w14:textId="77777777" w:rsidR="00775066" w:rsidRPr="00B17029" w:rsidRDefault="00775066" w:rsidP="00775066">
      <w:pPr>
        <w:pStyle w:val="Heading2"/>
      </w:pPr>
      <w:bookmarkStart w:id="21" w:name="_Toc228252924"/>
      <w:r>
        <w:t>2.3</w:t>
      </w:r>
      <w:r>
        <w:tab/>
      </w:r>
      <w:r w:rsidRPr="00775066">
        <w:t>Sub-Section 2C: Staffing Plan</w:t>
      </w:r>
      <w:r w:rsidR="005038DA">
        <w:t xml:space="preserve"> </w:t>
      </w:r>
      <w:r w:rsidR="005038DA" w:rsidRPr="00806273">
        <w:t>(2 Pages)</w:t>
      </w:r>
      <w:bookmarkEnd w:id="21"/>
    </w:p>
    <w:p w14:paraId="61EED86E" w14:textId="77777777" w:rsidR="0071582C" w:rsidRPr="0071582C" w:rsidRDefault="00CC7DEC" w:rsidP="00B17029">
      <w:pPr>
        <w:pStyle w:val="Subheading1"/>
      </w:pPr>
      <w:r>
        <w:t xml:space="preserve">Workforce </w:t>
      </w:r>
      <w:r w:rsidR="00672182">
        <w:t xml:space="preserve">Delivering the SOW Tasks and Requirements</w:t>
      </w:r>
    </w:p>
    <w:p w14:paraId="22F1DAB1" w14:textId="77777777" w:rsidR="00B17029" w:rsidRDefault="00B22AFA" w:rsidP="00B17029">
      <w:pPr>
        <w:pStyle w:val="BodyText"/>
        <w:rPr>
          <w:b/>
        </w:rPr>
      </w:pPr>
      <w:r w:rsidRPr="00B22AFA">
        <w:t xml:space="preserve">Deloitte's staffing model responds to a single operating reality: ER&amp;R workload is concentrated, seasonal, and </w:t>
      </w:r>
      <w:proofErr w:type="gramStart"/>
      <w:r w:rsidRPr="00B22AFA">
        <w:t>risk-sensitive</w:t>
      </w:r>
      <w:proofErr w:type="gramEnd"/>
      <w:r w:rsidRPr="00B22AFA">
        <w:t>. The staffing footprint at contract start is sized to deliver continuity across all ten SOW tasks from Day 1, scaled in proportion to the workload drivers (issuer disputes, 1095-A casework, CCHC, IT systems O&amp;M, and contact center support), and structured to flex up for tax season and Open Enrollment surge without disrupting steady-state operations. The workforce is organized into five integrated delivery towers — Business Operations, Technology Management, Program Management &amp; Program Controls, Quality Assurance / SOP / Knowledge Management, and SME / Program Integrity — staffed with a labor mix of senior leadership, mid-level operational analysts, junior caseworkers, and subject matter experts proportioned to the actual case complexity each tower handles. Prime and subcontractor personnel operate as one integrated delivery workforce under unified Deloitte governance, with subcontractor work governed by the same SLAs, AQLs, and QA standards described in Sub-Section 2B. The detailed organizational chart is provided in Figure 2.3-1; the labor mix matrix by labor category, task, and sub-task is provided in Volume II: Business Quote per the Attachment 2 pricing template instructions.</w:t>
      </w:r>
    </w:p>
    <w:p w14:paraId="335F6CE7" w14:textId="77777777" w:rsidR="00B17029" w:rsidRPr="0071582C" w:rsidRDefault="00FB51CD" w:rsidP="001349CE">
      <w:pPr>
        <w:pStyle w:val="FigureTitle"/>
      </w:pPr>
      <w:r>
        <w:t xml:space="preserve">Figure 2.3-1. </w:t>
      </w:r>
      <w:r w:rsidR="001349CE">
        <w:t>Organizational Chart.</w:t>
      </w:r>
    </w:p>
    <w:p w14:paraId="6EE1A106" w14:textId="77777777" w:rsidR="001349CE" w:rsidRPr="001349CE" w:rsidRDefault="001349CE" w:rsidP="001349CE">
      <w:pPr>
        <w:pStyle w:val="FigureGraphic"/>
      </w:pPr>
      <w:r>
        <w:rPr>
          <w:noProof/>
        </w:rPr>
        <w:drawing>
          <wp:inline distT="0" distB="0" distL="0" distR="0" wp14:anchorId="19F4BAD2" wp14:editId="11814159">
            <wp:extent cx="4627245" cy="2609215"/>
            <wp:effectExtent l="0" t="0" r="1905" b="635"/>
            <wp:docPr id="2016195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627245" cy="2609215"/>
                    </a:xfrm>
                    <a:prstGeom prst="rect">
                      <a:avLst/>
                    </a:prstGeom>
                    <a:noFill/>
                  </pic:spPr>
                </pic:pic>
              </a:graphicData>
            </a:graphic>
          </wp:inline>
        </w:drawing>
      </w:r>
    </w:p>
    <w:p w14:paraId="60EB4B7A" w14:textId="77777777" w:rsidR="005C1CC9" w:rsidRPr="005C1CC9" w:rsidRDefault="006507E8" w:rsidP="0071582C">
      <w:pPr>
        <w:pStyle w:val="Subheading1"/>
      </w:pPr>
      <w:r>
        <w:t xml:space="preserve">Resource Management and Staffing Approach</w:t>
      </w:r>
    </w:p>
    <w:p w14:paraId="3DBB8187" w14:textId="77777777" w:rsidR="00C91D75" w:rsidRPr="00EC1036" w:rsidRDefault="00367BA6" w:rsidP="00C91D75">
      <w:pPr>
        <w:pStyle w:val="BodyText"/>
      </w:pPr>
      <w:r w:rsidRPr="00EC1036">
        <w:t xml:space="preserve">Deloitte's resource management approach is built around five operating commitments. First, role-based assignment: every caseworker, analyst, engineer, and supervisor is matched to a specific function within a specific tower, with documented role descriptions, competency requirements, and SOW-task accountability — eliminating the under-specified "generalist" model that creates SLA risk in casework operations. Second, lifecycle-aware staffing: the model phases through transition-in (months 1-3 emphasizing knowledge transfer, system access, and shadow operations), steady-state operations (months 4+ optimized for SLA performance and continuous improvement), peak periods (tax season and post-Open-Enrollment ramp), and transition-out (orderly turnover) — with explicit headcount and skill-mix requirements at each phase. </w:t>
      </w:r>
      <w:r w:rsidRPr="00EC1036">
        <w:lastRenderedPageBreak/>
        <w:t>Third, recruitment and retention discipline: Deloitte's CMS Marketplace recruiting bench, refreshed continuously and pre-cleared for federal background investigation processing, sources permanent staff with prior FFE/SBE experience and SOW-relevant federal healthcare data system experience. Fourth, integrated workforce management: prime and subcontractor staff operate as one team with shared training, shared QA standards, shared performance metrics, and a single Project Director accountable for total workforce performance. Fifth, transparent staffing visibility: the COR has continuous access to staffing levels by tower and task through the operations dashboard, with formal reporting via the Monthly Progress, Data and Cost Report and any staffing change of consequence flagged for COR concurrence in advance per SOW §3.1.</w:t>
      </w:r>
    </w:p>
    <w:p w14:paraId="5D64FBB2" w14:textId="77777777" w:rsidR="00760C47" w:rsidRPr="00EC1036" w:rsidRDefault="00760C47" w:rsidP="0071582C">
      <w:pPr>
        <w:pStyle w:val="BodyText"/>
      </w:pPr>
      <w:r w:rsidRPr="00EC1036">
        <w:t xml:space="preserve">[Deloitte to </w:t>
      </w:r>
      <w:proofErr w:type="gramStart"/>
      <w:r w:rsidRPr="00EC1036">
        <w:t>populate:</w:t>
      </w:r>
      <w:proofErr w:type="gramEnd"/>
      <w:r w:rsidRPr="00EC1036">
        <w:t xml:space="preserve"> detailed labor-mix matrix showing FTE counts by labor category by task / sub-task across the base period and four option periods, separated by prime and proposed subcontractors with current-on-staff vs. proposed-new flagged. Final matrix appears in Volume II: Business Quote per Attachment 2 pricing template; this volume references that matrix.]</w:t>
      </w:r>
    </w:p>
    <w:p w14:paraId="0618CBD6" w14:textId="77777777" w:rsidR="00B8451D" w:rsidRPr="005C1CC9" w:rsidRDefault="0071582C" w:rsidP="0071582C">
      <w:pPr>
        <w:pStyle w:val="Subheading1"/>
      </w:pPr>
      <w:r w:rsidRPr="0071582C">
        <w:t>Surge</w:t>
      </w:r>
      <w:r w:rsidR="00760C47">
        <w:t xml:space="preserve"> Support</w:t>
      </w:r>
    </w:p>
    <w:p w14:paraId="00508100" w14:textId="77777777" w:rsidR="007840F7" w:rsidRPr="00EC1036" w:rsidRDefault="007840F7" w:rsidP="00FB51CD">
      <w:pPr>
        <w:pStyle w:val="BodyText"/>
        <w:rPr>
          <w:b/>
          <w:bCs/>
        </w:rPr>
      </w:pPr>
      <w:proofErr w:type="gramStart"/>
      <w:r w:rsidRPr="00EC1036">
        <w:rPr>
          <w:rStyle w:val="CharacterBold"/>
          <w:b w:val="0"/>
          <w:bCs/>
        </w:rPr>
        <w:t>Form</w:t>
      </w:r>
      <w:proofErr w:type="gramEnd"/>
      <w:r w:rsidRPr="00EC1036">
        <w:rPr>
          <w:rStyle w:val="CharacterBold"/>
          <w:b w:val="0"/>
          <w:bCs/>
        </w:rPr>
        <w:t xml:space="preserve"> 1095-A consumer dispute volume triples between December and February and remains elevated through May (SOW assumptions, monthly volumes table). Deloitte's surge plan responds to that exact curve. Recruiting begins in early November for the temporary case analyst pool sized to the SOW assumption of approximately 100-120 temporary analysts and 4 temporary team </w:t>
      </w:r>
      <w:proofErr w:type="gramStart"/>
      <w:r w:rsidRPr="00EC1036">
        <w:rPr>
          <w:rStyle w:val="CharacterBold"/>
          <w:b w:val="0"/>
          <w:bCs/>
        </w:rPr>
        <w:t>leads</w:t>
      </w:r>
      <w:proofErr w:type="gramEnd"/>
      <w:r w:rsidRPr="00EC1036">
        <w:rPr>
          <w:rStyle w:val="CharacterBold"/>
          <w:b w:val="0"/>
          <w:bCs/>
        </w:rPr>
        <w:t xml:space="preserve">. CMS background investigations begin at offer acceptance to ensure the first wave is cleared, system-trained, and shadow-certified before January 1. A returner-first model preferentially re-engages prior-season </w:t>
      </w:r>
      <w:proofErr w:type="gramStart"/>
      <w:r w:rsidRPr="00EC1036">
        <w:rPr>
          <w:rStyle w:val="CharacterBold"/>
          <w:b w:val="0"/>
          <w:bCs/>
        </w:rPr>
        <w:t>caseworkers — they</w:t>
      </w:r>
      <w:proofErr w:type="gramEnd"/>
      <w:r w:rsidRPr="00EC1036">
        <w:rPr>
          <w:rStyle w:val="CharacterBold"/>
          <w:b w:val="0"/>
          <w:bCs/>
        </w:rPr>
        <w:t xml:space="preserve"> skip baseline training, complete a policy update refresher, and reach full productivity from their first day back. New hires train on prior-year root-cause case types under peer certification by returners before touching a live case. Additional waves deploy in late January and February as volume climbs toward the February peak. The pool is released in phases beginning in May and concluding by early July as volumes return to baseline. Casework surge (queue balancing, backlog absorption, escalation coverage, complex-case overflow) and contact center surge (call coverage, voicemail response, supervisor-to-agent ratio maintenance) are managed as distinct operating disciplines so peak coverage in one channel does not degrade quality in another. Surge personnel receive role-based access to CERRS, HICS, and SEED with the same security controls, audit logging, and field-level masking that apply to permanent staff.</w:t>
      </w:r>
    </w:p>
    <w:p w14:paraId="2B718F94" w14:textId="77777777" w:rsidR="004C2D9A" w:rsidRDefault="00000000">
      <w:pPr>
        <w:pStyle w:val="BodyText"/>
      </w:pPr>
      <w:r>
        <w:t>Technical surge capacity is maintained in parallel. During Open Enrollment, the EDA CORE 834 ingestion pipeline processes thousands of transactions per hour; Deloitte pre-positions Snowflake performance-tuning capacity, on-call DevOps coverage, and incident response staffing at heightened readiness. Service desk Tier 2 and Tier 3 capacity flexes through a defined reserve pool that activates on threshold rather than after backlog accumulation. Release cadence and Change Control Board scheduling respect the SOW-required software-integration lockout windows during Open Enrollment so technical change does not introduce risk during the highest-stakes period of the year.</w:t>
      </w:r>
    </w:p>
    <w:p w14:paraId="3E9DEB8C" w14:textId="77777777" w:rsidR="007C62A0" w:rsidRDefault="007C62A0" w:rsidP="00245804">
      <w:pPr>
        <w:pStyle w:val="Heading1"/>
      </w:pPr>
      <w:bookmarkStart w:id="22" w:name="_Toc228252925"/>
      <w:r>
        <w:lastRenderedPageBreak/>
        <w:t>3.0</w:t>
      </w:r>
      <w:r>
        <w:tab/>
      </w:r>
      <w:r w:rsidRPr="007C62A0">
        <w:t>Section 3: Key Personnel Qualifications and Corporate Experience</w:t>
      </w:r>
      <w:r w:rsidR="00053351">
        <w:t xml:space="preserve"> </w:t>
      </w:r>
      <w:r w:rsidR="00053351" w:rsidRPr="00806273">
        <w:t>(</w:t>
      </w:r>
      <w:r w:rsidR="00053351">
        <w:t>Total 8</w:t>
      </w:r>
      <w:r w:rsidR="00053351" w:rsidRPr="00806273">
        <w:t xml:space="preserve"> Pages)</w:t>
      </w:r>
      <w:bookmarkEnd w:id="22"/>
    </w:p>
    <w:p w14:paraId="4B62265C" w14:textId="77777777" w:rsidR="007C62A0" w:rsidRDefault="00245804" w:rsidP="00245804">
      <w:pPr>
        <w:pStyle w:val="Heading2"/>
      </w:pPr>
      <w:bookmarkStart w:id="23" w:name="_Toc228252926"/>
      <w:r>
        <w:t>3.1</w:t>
      </w:r>
      <w:r>
        <w:tab/>
      </w:r>
      <w:r w:rsidR="007C62A0">
        <w:t>Sub-Section 3A: Key Personnel Qualifications</w:t>
      </w:r>
      <w:r w:rsidR="000E4783">
        <w:t xml:space="preserve"> </w:t>
      </w:r>
      <w:r w:rsidR="000E4783" w:rsidRPr="00806273">
        <w:t>(</w:t>
      </w:r>
      <w:r w:rsidR="000E4783">
        <w:t>4</w:t>
      </w:r>
      <w:r w:rsidR="000E4783" w:rsidRPr="00806273">
        <w:t xml:space="preserve"> Pages)</w:t>
      </w:r>
      <w:bookmarkEnd w:id="23"/>
    </w:p>
    <w:p w14:paraId="0F6682B9" w14:textId="77777777" w:rsidR="00245804" w:rsidRPr="00245804" w:rsidRDefault="00B854EA" w:rsidP="0056742A">
      <w:pPr>
        <w:pStyle w:val="Subheading1"/>
      </w:pPr>
      <w:r w:rsidRPr="00B854EA">
        <w:t>Key Personnel Roles and Responsibilities</w:t>
      </w:r>
    </w:p>
    <w:p w14:paraId="6AB1AAE0" w14:textId="77777777" w:rsidR="0056742A" w:rsidRPr="0056742A" w:rsidRDefault="009D2F87" w:rsidP="0056742A">
      <w:pPr>
        <w:pStyle w:val="BodyText"/>
      </w:pPr>
      <w:r w:rsidRPr="009D2F87">
        <w:t>Deloitte has assembled a proven leadership team with deep, direct experience supporting CMS Marketplace operations, enrollment reconciliation, and federal healthcare data systems. Each proposed key personnel member brings specific, hands-on experience directly aligned to the requirements of this SOW. Our team is ready to lead from day one, ensuring continuity, accountability, and expert execution across all ER&amp;R tasks.</w:t>
      </w:r>
    </w:p>
    <w:p w14:paraId="3CF55201" w14:textId="77777777" w:rsidR="009D2F87" w:rsidRDefault="009C72D0" w:rsidP="0056742A">
      <w:pPr>
        <w:pStyle w:val="BodyText"/>
      </w:pPr>
      <w:r w:rsidRPr="009C72D0">
        <w:t xml:space="preserve">The following individuals are designated as Key Personnel for this task order. Current resumes are in Appendix </w:t>
      </w:r>
      <w:r w:rsidR="00FB51CD" w:rsidRPr="00FB51CD">
        <w:t>A</w:t>
      </w:r>
      <w:r w:rsidRPr="00FB51CD">
        <w:t>.</w:t>
      </w:r>
    </w:p>
    <w:p w14:paraId="2A57C928" w14:textId="77777777" w:rsidR="00112961" w:rsidRPr="000210FF" w:rsidRDefault="00112961" w:rsidP="00FB51CD">
      <w:pPr>
        <w:pStyle w:val="TableTitle"/>
        <w:rPr>
          <w:b w:val="0"/>
        </w:rPr>
      </w:pPr>
      <w:r w:rsidRPr="00FB51CD">
        <w:t xml:space="preserve">Table </w:t>
      </w:r>
      <w:r w:rsidR="00FB51CD">
        <w:t>3.1-1.</w:t>
      </w:r>
      <w:r w:rsidRPr="00FB51CD">
        <w:t xml:space="preserve"> </w:t>
      </w:r>
      <w:r w:rsidR="000210FF" w:rsidRPr="00FB51CD">
        <w:t xml:space="preserve">Key </w:t>
      </w:r>
      <w:proofErr w:type="gramStart"/>
      <w:r w:rsidR="000210FF" w:rsidRPr="00FB51CD">
        <w:t xml:space="preserve">Personnel </w:t>
      </w:r>
      <w:r w:rsidR="00FB51CD" w:rsidRPr="00FB51CD">
        <w:t xml:space="preserve"> </w:t>
      </w:r>
      <w:r w:rsidR="000210FF" w:rsidRPr="00FB51CD">
        <w:t>–</w:t>
      </w:r>
      <w:proofErr w:type="gramEnd"/>
      <w:r w:rsidR="000210FF" w:rsidRPr="00FB51CD">
        <w:t xml:space="preserve"> </w:t>
      </w:r>
      <w:r w:rsidR="00995647">
        <w:t>E</w:t>
      </w:r>
      <w:r w:rsidR="00995647" w:rsidRPr="00995647">
        <w:t>ducation</w:t>
      </w:r>
      <w:r w:rsidR="0002087E">
        <w:t>,</w:t>
      </w:r>
      <w:r w:rsidR="000210FF">
        <w:t xml:space="preserve"> </w:t>
      </w:r>
      <w:r w:rsidR="00995647" w:rsidRPr="00995647">
        <w:t>Professional Experience</w:t>
      </w:r>
      <w:r w:rsidR="0002087E">
        <w:t>, &amp; Availability</w:t>
      </w:r>
    </w:p>
    <w:tbl>
      <w:tblPr>
        <w:tblStyle w:val="DeloitteTable2"/>
        <w:tblW w:w="9360" w:type="dxa"/>
        <w:tblLook w:val="04A0" w:firstRow="1" w:lastRow="0" w:firstColumn="1" w:lastColumn="0" w:noHBand="0" w:noVBand="1"/>
      </w:tblPr>
      <w:tblGrid>
        <w:gridCol w:w="2739"/>
        <w:gridCol w:w="6621"/>
      </w:tblGrid>
      <w:tr w:rsidR="00112961" w14:paraId="2A8C6BC7" w14:textId="77777777" w:rsidTr="00FB51CD">
        <w:trPr>
          <w:cnfStyle w:val="100000000000" w:firstRow="1" w:lastRow="0" w:firstColumn="0" w:lastColumn="0" w:oddVBand="0" w:evenVBand="0" w:oddHBand="0" w:evenHBand="0" w:firstRowFirstColumn="0" w:firstRowLastColumn="0" w:lastRowFirstColumn="0" w:lastRowLastColumn="0"/>
          <w:trHeight w:val="575"/>
          <w:tblHeader/>
        </w:trPr>
        <w:tc>
          <w:tcPr>
            <w:cnfStyle w:val="001000000000" w:firstRow="0" w:lastRow="0" w:firstColumn="1" w:lastColumn="0" w:oddVBand="0" w:evenVBand="0" w:oddHBand="0" w:evenHBand="0" w:firstRowFirstColumn="0" w:firstRowLastColumn="0" w:lastRowFirstColumn="0" w:lastRowLastColumn="0"/>
            <w:tcW w:w="2739" w:type="dxa"/>
          </w:tcPr>
          <w:p w14:paraId="04CCC061" w14:textId="77777777" w:rsidR="00112961" w:rsidRDefault="00112961" w:rsidP="00FB51CD">
            <w:pPr>
              <w:pStyle w:val="TableHeading"/>
            </w:pPr>
            <w:r>
              <w:t>Personnel, Education &amp; Availability</w:t>
            </w:r>
          </w:p>
        </w:tc>
        <w:tc>
          <w:tcPr>
            <w:tcW w:w="6621" w:type="dxa"/>
          </w:tcPr>
          <w:p w14:paraId="3DFCE93C" w14:textId="77777777" w:rsidR="00112961" w:rsidRDefault="00112961" w:rsidP="00FB51CD">
            <w:pPr>
              <w:pStyle w:val="TableHeading"/>
              <w:cnfStyle w:val="100000000000" w:firstRow="1" w:lastRow="0" w:firstColumn="0" w:lastColumn="0" w:oddVBand="0" w:evenVBand="0" w:oddHBand="0" w:evenHBand="0" w:firstRowFirstColumn="0" w:firstRowLastColumn="0" w:lastRowFirstColumn="0" w:lastRowLastColumn="0"/>
            </w:pPr>
            <w:r>
              <w:t>Professional Experience &amp; Qualifications</w:t>
            </w:r>
          </w:p>
        </w:tc>
      </w:tr>
      <w:tr w:rsidR="00112961" w14:paraId="25A5B815" w14:textId="77777777" w:rsidTr="00EC7751">
        <w:tc>
          <w:tcPr>
            <w:cnfStyle w:val="001000000000" w:firstRow="0" w:lastRow="0" w:firstColumn="1" w:lastColumn="0" w:oddVBand="0" w:evenVBand="0" w:oddHBand="0" w:evenHBand="0" w:firstRowFirstColumn="0" w:firstRowLastColumn="0" w:lastRowFirstColumn="0" w:lastRowLastColumn="0"/>
            <w:tcW w:w="2739" w:type="dxa"/>
          </w:tcPr>
          <w:p w14:paraId="680F87FC" w14:textId="77777777" w:rsidR="00112961" w:rsidRPr="00FB51CD" w:rsidRDefault="00112961" w:rsidP="00C82525">
            <w:pPr>
              <w:pStyle w:val="TableBody"/>
              <w:spacing w:after="0"/>
              <w:rPr>
                <w:rStyle w:val="CharacterBold"/>
              </w:rPr>
            </w:pPr>
            <w:r w:rsidRPr="00FB51CD">
              <w:rPr>
                <w:rStyle w:val="CharacterBold"/>
              </w:rPr>
              <w:t>[FIRST LAST, Degrees]</w:t>
            </w:r>
          </w:p>
          <w:p w14:paraId="36E0AE75" w14:textId="77777777" w:rsidR="00112961" w:rsidRDefault="00112961" w:rsidP="00C82525">
            <w:pPr>
              <w:pStyle w:val="TableBody"/>
              <w:spacing w:after="0"/>
            </w:pPr>
            <w:r w:rsidRPr="00FB51CD">
              <w:rPr>
                <w:rStyle w:val="CharacterBold"/>
              </w:rPr>
              <w:t>Project Director</w:t>
            </w:r>
          </w:p>
          <w:p w14:paraId="64918529" w14:textId="77777777" w:rsidR="00112961" w:rsidRPr="00FB51CD" w:rsidRDefault="00112961" w:rsidP="00C82525">
            <w:pPr>
              <w:pStyle w:val="TableBody"/>
              <w:spacing w:after="0"/>
              <w:rPr>
                <w:rStyle w:val="CharacterBoldBlue"/>
              </w:rPr>
            </w:pPr>
            <w:r w:rsidRPr="00FB51CD">
              <w:rPr>
                <w:rStyle w:val="CharacterBoldBlue"/>
              </w:rPr>
              <w:t>(Key Personnel)</w:t>
            </w:r>
          </w:p>
          <w:p w14:paraId="3DAE5AC0" w14:textId="77777777" w:rsidR="00112961" w:rsidRDefault="00112961" w:rsidP="00C82525">
            <w:pPr>
              <w:pStyle w:val="TableBody"/>
              <w:spacing w:after="0"/>
            </w:pPr>
            <w:r>
              <w:t>[X]% | Base Period – OP4</w:t>
            </w:r>
          </w:p>
          <w:p w14:paraId="64DC3DF5" w14:textId="77777777" w:rsidR="00112961" w:rsidRDefault="00112961" w:rsidP="00C82525">
            <w:pPr>
              <w:pStyle w:val="TableBody"/>
              <w:spacing w:after="0"/>
            </w:pPr>
            <w:r>
              <w:t>[Degree, Field] [University Name]</w:t>
            </w:r>
          </w:p>
        </w:tc>
        <w:tc>
          <w:tcPr>
            <w:tcW w:w="6621" w:type="dxa"/>
          </w:tcPr>
          <w:p w14:paraId="7041C168" w14:textId="77777777" w:rsidR="00112961" w:rsidRDefault="00112961" w:rsidP="00FB51CD">
            <w:pPr>
              <w:pStyle w:val="TableBullet1"/>
              <w:cnfStyle w:val="000000000000" w:firstRow="0" w:lastRow="0" w:firstColumn="0" w:lastColumn="0" w:oddVBand="0" w:evenVBand="0" w:oddHBand="0" w:evenHBand="0" w:firstRowFirstColumn="0" w:firstRowLastColumn="0" w:lastRowFirstColumn="0" w:lastRowLastColumn="0"/>
            </w:pPr>
          </w:p>
        </w:tc>
      </w:tr>
      <w:tr w:rsidR="00112961" w14:paraId="5B4E9F34" w14:textId="77777777" w:rsidTr="00EC775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9" w:type="dxa"/>
          </w:tcPr>
          <w:p w14:paraId="6193B67F" w14:textId="77777777" w:rsidR="00112961" w:rsidRPr="00FB51CD" w:rsidRDefault="00112961" w:rsidP="00C82525">
            <w:pPr>
              <w:pStyle w:val="TableBody"/>
              <w:spacing w:after="0"/>
              <w:rPr>
                <w:rStyle w:val="CharacterBold"/>
              </w:rPr>
            </w:pPr>
            <w:r w:rsidRPr="00FB51CD">
              <w:rPr>
                <w:rStyle w:val="CharacterBold"/>
              </w:rPr>
              <w:t>[FIRST LAST, PMP]</w:t>
            </w:r>
          </w:p>
          <w:p w14:paraId="7ACD212A" w14:textId="77777777" w:rsidR="00112961" w:rsidRPr="00FB51CD" w:rsidRDefault="00112961" w:rsidP="00C82525">
            <w:pPr>
              <w:pStyle w:val="TableBody"/>
              <w:spacing w:after="0"/>
              <w:rPr>
                <w:rStyle w:val="CharacterBold"/>
              </w:rPr>
            </w:pPr>
            <w:r w:rsidRPr="00FB51CD">
              <w:rPr>
                <w:rStyle w:val="CharacterBold"/>
              </w:rPr>
              <w:t>Project Manager (ER&amp;R)</w:t>
            </w:r>
          </w:p>
          <w:p w14:paraId="2A7E5234" w14:textId="77777777" w:rsidR="00112961" w:rsidRPr="00FB51CD" w:rsidRDefault="00112961" w:rsidP="00C82525">
            <w:pPr>
              <w:pStyle w:val="TableBody"/>
              <w:spacing w:after="0"/>
              <w:rPr>
                <w:rStyle w:val="CharacterBoldBlue"/>
              </w:rPr>
            </w:pPr>
            <w:r w:rsidRPr="00FB51CD">
              <w:rPr>
                <w:rStyle w:val="CharacterBoldBlue"/>
              </w:rPr>
              <w:t>(Key Personnel)</w:t>
            </w:r>
          </w:p>
          <w:p w14:paraId="4B2457CD" w14:textId="77777777" w:rsidR="00112961" w:rsidRDefault="00112961" w:rsidP="00C82525">
            <w:pPr>
              <w:pStyle w:val="TableBody"/>
              <w:spacing w:after="0"/>
            </w:pPr>
            <w:r>
              <w:t>[X]% | Base Period – OP4</w:t>
            </w:r>
          </w:p>
          <w:p w14:paraId="4C49352E" w14:textId="77777777" w:rsidR="00112961" w:rsidRDefault="00112961" w:rsidP="00C82525">
            <w:pPr>
              <w:pStyle w:val="TableBody"/>
              <w:spacing w:after="0"/>
            </w:pPr>
            <w:r>
              <w:t xml:space="preserve">[Degree, Field] [University Name]</w:t>
            </w:r>
          </w:p>
        </w:tc>
        <w:tc>
          <w:tcPr>
            <w:tcW w:w="6621" w:type="dxa"/>
          </w:tcPr>
          <w:p w14:paraId="2F89FA28" w14:textId="77777777" w:rsidR="00112961" w:rsidRDefault="00112961" w:rsidP="00FB51CD">
            <w:pPr>
              <w:pStyle w:val="TableBullet1"/>
              <w:cnfStyle w:val="000000010000" w:firstRow="0" w:lastRow="0" w:firstColumn="0" w:lastColumn="0" w:oddVBand="0" w:evenVBand="0" w:oddHBand="0" w:evenHBand="1" w:firstRowFirstColumn="0" w:firstRowLastColumn="0" w:lastRowFirstColumn="0" w:lastRowLastColumn="0"/>
            </w:pPr>
          </w:p>
        </w:tc>
      </w:tr>
      <w:tr w:rsidR="00112961" w14:paraId="5457D2A8" w14:textId="77777777" w:rsidTr="00EC7751">
        <w:tc>
          <w:tcPr>
            <w:cnfStyle w:val="001000000000" w:firstRow="0" w:lastRow="0" w:firstColumn="1" w:lastColumn="0" w:oddVBand="0" w:evenVBand="0" w:oddHBand="0" w:evenHBand="0" w:firstRowFirstColumn="0" w:firstRowLastColumn="0" w:lastRowFirstColumn="0" w:lastRowLastColumn="0"/>
            <w:tcW w:w="2739" w:type="dxa"/>
          </w:tcPr>
          <w:p w14:paraId="723E8373" w14:textId="77777777" w:rsidR="00112961" w:rsidRPr="00FB51CD" w:rsidRDefault="00112961" w:rsidP="00C82525">
            <w:pPr>
              <w:pStyle w:val="TableBody"/>
              <w:spacing w:after="0"/>
              <w:rPr>
                <w:rStyle w:val="CharacterBold"/>
              </w:rPr>
            </w:pPr>
            <w:r w:rsidRPr="00FB51CD">
              <w:rPr>
                <w:rStyle w:val="CharacterBold"/>
              </w:rPr>
              <w:t>[FIRST LAST, PMP]</w:t>
            </w:r>
          </w:p>
          <w:p w14:paraId="6345D2C1" w14:textId="77777777" w:rsidR="00112961" w:rsidRPr="00FB51CD" w:rsidRDefault="00112961" w:rsidP="00C82525">
            <w:pPr>
              <w:pStyle w:val="TableBody"/>
              <w:spacing w:after="0"/>
              <w:rPr>
                <w:rStyle w:val="CharacterBold"/>
              </w:rPr>
            </w:pPr>
            <w:r w:rsidRPr="00FB51CD">
              <w:rPr>
                <w:rStyle w:val="CharacterBold"/>
              </w:rPr>
              <w:t>Project Manager (Form 1095-A &amp; CCHC)</w:t>
            </w:r>
          </w:p>
          <w:p w14:paraId="08B3193F" w14:textId="77777777" w:rsidR="00112961" w:rsidRPr="00FB51CD" w:rsidRDefault="00112961" w:rsidP="00C82525">
            <w:pPr>
              <w:pStyle w:val="TableBody"/>
              <w:spacing w:after="0"/>
              <w:rPr>
                <w:rStyle w:val="CharacterBoldBlue"/>
              </w:rPr>
            </w:pPr>
            <w:r w:rsidRPr="00FB51CD">
              <w:rPr>
                <w:rStyle w:val="CharacterBoldBlue"/>
              </w:rPr>
              <w:t>(Key Personnel)</w:t>
            </w:r>
          </w:p>
          <w:p w14:paraId="59DC4546" w14:textId="77777777" w:rsidR="00112961" w:rsidRDefault="00112961" w:rsidP="00C82525">
            <w:pPr>
              <w:pStyle w:val="TableBody"/>
              <w:spacing w:after="0"/>
            </w:pPr>
            <w:r>
              <w:t>[X]% | Base Period – OP4</w:t>
            </w:r>
          </w:p>
          <w:p w14:paraId="725A81E4" w14:textId="77777777" w:rsidR="00112961" w:rsidRDefault="00112961" w:rsidP="00C82525">
            <w:pPr>
              <w:pStyle w:val="TableBody"/>
              <w:spacing w:after="0"/>
            </w:pPr>
            <w:r>
              <w:t xml:space="preserve">[Degree, Field] [University Name]</w:t>
            </w:r>
          </w:p>
        </w:tc>
        <w:tc>
          <w:tcPr>
            <w:tcW w:w="6621" w:type="dxa"/>
          </w:tcPr>
          <w:p w14:paraId="15360483" w14:textId="77777777" w:rsidR="00112961" w:rsidRDefault="00112961" w:rsidP="00FB51CD">
            <w:pPr>
              <w:pStyle w:val="TableBullet1"/>
              <w:cnfStyle w:val="000000000000" w:firstRow="0" w:lastRow="0" w:firstColumn="0" w:lastColumn="0" w:oddVBand="0" w:evenVBand="0" w:oddHBand="0" w:evenHBand="0" w:firstRowFirstColumn="0" w:firstRowLastColumn="0" w:lastRowFirstColumn="0" w:lastRowLastColumn="0"/>
            </w:pPr>
          </w:p>
        </w:tc>
      </w:tr>
      <w:tr w:rsidR="00112961" w14:paraId="258660F6" w14:textId="77777777" w:rsidTr="00EC775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9" w:type="dxa"/>
          </w:tcPr>
          <w:p w14:paraId="4839524B" w14:textId="77777777" w:rsidR="00112961" w:rsidRPr="00FB51CD" w:rsidRDefault="00112961" w:rsidP="00C82525">
            <w:pPr>
              <w:pStyle w:val="TableBody"/>
              <w:spacing w:after="0"/>
              <w:rPr>
                <w:rStyle w:val="CharacterBold"/>
              </w:rPr>
            </w:pPr>
            <w:r w:rsidRPr="00FB51CD">
              <w:rPr>
                <w:rStyle w:val="CharacterBold"/>
              </w:rPr>
              <w:t>[FIRST LAST, Degrees]</w:t>
            </w:r>
          </w:p>
          <w:p w14:paraId="5A16EA3A" w14:textId="77777777" w:rsidR="00112961" w:rsidRPr="00FB51CD" w:rsidRDefault="00112961" w:rsidP="00C82525">
            <w:pPr>
              <w:pStyle w:val="TableBody"/>
              <w:spacing w:after="0"/>
              <w:rPr>
                <w:rStyle w:val="CharacterBold"/>
              </w:rPr>
            </w:pPr>
            <w:r w:rsidRPr="00FB51CD">
              <w:rPr>
                <w:rStyle w:val="CharacterBold"/>
              </w:rPr>
              <w:t>Project Manager (IT Data &amp; Technical Support)</w:t>
            </w:r>
          </w:p>
          <w:p w14:paraId="3C248AE3" w14:textId="77777777" w:rsidR="00112961" w:rsidRPr="00FB51CD" w:rsidRDefault="00112961" w:rsidP="00C82525">
            <w:pPr>
              <w:pStyle w:val="TableBody"/>
              <w:spacing w:after="0"/>
              <w:rPr>
                <w:rStyle w:val="CharacterBoldBlue"/>
              </w:rPr>
            </w:pPr>
            <w:r w:rsidRPr="00FB51CD">
              <w:rPr>
                <w:rStyle w:val="CharacterBoldBlue"/>
              </w:rPr>
              <w:t>(Key Personnel)</w:t>
            </w:r>
          </w:p>
          <w:p w14:paraId="60F0FBCE" w14:textId="77777777" w:rsidR="00112961" w:rsidRDefault="00112961" w:rsidP="00C82525">
            <w:pPr>
              <w:pStyle w:val="TableBody"/>
              <w:spacing w:after="0"/>
            </w:pPr>
            <w:r>
              <w:t>[X]% | Base Period – OP4</w:t>
            </w:r>
          </w:p>
          <w:p w14:paraId="17F909C5" w14:textId="77777777" w:rsidR="00112961" w:rsidRDefault="00112961" w:rsidP="00C82525">
            <w:pPr>
              <w:pStyle w:val="TableBody"/>
              <w:spacing w:after="0"/>
            </w:pPr>
            <w:r>
              <w:t>[Degree, Field] [University Name]</w:t>
            </w:r>
          </w:p>
        </w:tc>
        <w:tc>
          <w:tcPr>
            <w:tcW w:w="6621" w:type="dxa"/>
          </w:tcPr>
          <w:p w14:paraId="47F88EAD" w14:textId="77777777" w:rsidR="00112961" w:rsidRDefault="00112961" w:rsidP="00FB51CD">
            <w:pPr>
              <w:pStyle w:val="TableBullet1"/>
              <w:cnfStyle w:val="000000010000" w:firstRow="0" w:lastRow="0" w:firstColumn="0" w:lastColumn="0" w:oddVBand="0" w:evenVBand="0" w:oddHBand="0" w:evenHBand="1" w:firstRowFirstColumn="0" w:firstRowLastColumn="0" w:lastRowFirstColumn="0" w:lastRowLastColumn="0"/>
            </w:pPr>
          </w:p>
        </w:tc>
      </w:tr>
      <w:tr w:rsidR="00112961" w14:paraId="230D9876" w14:textId="77777777" w:rsidTr="00EC7751">
        <w:tc>
          <w:tcPr>
            <w:cnfStyle w:val="001000000000" w:firstRow="0" w:lastRow="0" w:firstColumn="1" w:lastColumn="0" w:oddVBand="0" w:evenVBand="0" w:oddHBand="0" w:evenHBand="0" w:firstRowFirstColumn="0" w:firstRowLastColumn="0" w:lastRowFirstColumn="0" w:lastRowLastColumn="0"/>
            <w:tcW w:w="2739" w:type="dxa"/>
          </w:tcPr>
          <w:p w14:paraId="2F42763D" w14:textId="77777777" w:rsidR="00112961" w:rsidRPr="00FB51CD" w:rsidRDefault="00112961" w:rsidP="00C82525">
            <w:pPr>
              <w:pStyle w:val="TableBody"/>
              <w:spacing w:after="0"/>
              <w:rPr>
                <w:rStyle w:val="CharacterBold"/>
              </w:rPr>
            </w:pPr>
            <w:r w:rsidRPr="00FB51CD">
              <w:rPr>
                <w:rStyle w:val="CharacterBold"/>
              </w:rPr>
              <w:t>[FIRST LAST, Degrees]</w:t>
            </w:r>
          </w:p>
          <w:p w14:paraId="23BED6D5" w14:textId="77777777" w:rsidR="00112961" w:rsidRPr="00FB51CD" w:rsidRDefault="00112961" w:rsidP="00C82525">
            <w:pPr>
              <w:pStyle w:val="TableBody"/>
              <w:spacing w:after="0"/>
              <w:rPr>
                <w:rStyle w:val="CharacterBold"/>
              </w:rPr>
            </w:pPr>
            <w:r w:rsidRPr="00FB51CD">
              <w:rPr>
                <w:rStyle w:val="CharacterBold"/>
              </w:rPr>
              <w:t>Technical Director</w:t>
            </w:r>
          </w:p>
          <w:p w14:paraId="6B446698" w14:textId="77777777" w:rsidR="00112961" w:rsidRPr="00FB51CD" w:rsidRDefault="00112961" w:rsidP="00C82525">
            <w:pPr>
              <w:pStyle w:val="TableBody"/>
              <w:spacing w:after="0"/>
              <w:rPr>
                <w:rStyle w:val="CharacterBoldBlue"/>
              </w:rPr>
            </w:pPr>
            <w:r w:rsidRPr="00FB51CD">
              <w:rPr>
                <w:rStyle w:val="CharacterBoldBlue"/>
              </w:rPr>
              <w:t>(Key Personnel)</w:t>
            </w:r>
          </w:p>
          <w:p w14:paraId="3A20BE6B" w14:textId="77777777" w:rsidR="00112961" w:rsidRDefault="00112961" w:rsidP="00C82525">
            <w:pPr>
              <w:pStyle w:val="TableBody"/>
              <w:spacing w:after="0"/>
            </w:pPr>
            <w:r>
              <w:t>[X]% | Base Period – OP4</w:t>
            </w:r>
          </w:p>
          <w:p w14:paraId="1535E99D" w14:textId="77777777" w:rsidR="00112961" w:rsidRDefault="00112961" w:rsidP="00C82525">
            <w:pPr>
              <w:pStyle w:val="TableBody"/>
              <w:spacing w:after="0"/>
            </w:pPr>
            <w:r>
              <w:t>[Degree, Field] [University Name]</w:t>
            </w:r>
          </w:p>
        </w:tc>
        <w:tc>
          <w:tcPr>
            <w:tcW w:w="6621" w:type="dxa"/>
          </w:tcPr>
          <w:p w14:paraId="504FDE3D" w14:textId="77777777" w:rsidR="00112961" w:rsidRDefault="00112961" w:rsidP="00FB51CD">
            <w:pPr>
              <w:pStyle w:val="TableBullet1"/>
              <w:cnfStyle w:val="000000000000" w:firstRow="0" w:lastRow="0" w:firstColumn="0" w:lastColumn="0" w:oddVBand="0" w:evenVBand="0" w:oddHBand="0" w:evenHBand="0" w:firstRowFirstColumn="0" w:firstRowLastColumn="0" w:lastRowFirstColumn="0" w:lastRowLastColumn="0"/>
            </w:pPr>
          </w:p>
        </w:tc>
      </w:tr>
      <w:tr w:rsidR="00112961" w14:paraId="4ED53BA7" w14:textId="77777777" w:rsidTr="00EC775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9" w:type="dxa"/>
          </w:tcPr>
          <w:p w14:paraId="5B9EB996" w14:textId="77777777" w:rsidR="00112961" w:rsidRPr="00C82525" w:rsidRDefault="00112961" w:rsidP="00C82525">
            <w:pPr>
              <w:pStyle w:val="TableBody"/>
              <w:spacing w:after="0"/>
              <w:rPr>
                <w:rStyle w:val="CharacterBold"/>
              </w:rPr>
            </w:pPr>
            <w:r w:rsidRPr="00C82525">
              <w:rPr>
                <w:rStyle w:val="CharacterBold"/>
              </w:rPr>
              <w:t>[FIRST LAST, CISSP]</w:t>
            </w:r>
          </w:p>
          <w:p w14:paraId="73429DB5" w14:textId="77777777" w:rsidR="00112961" w:rsidRPr="00C82525" w:rsidRDefault="00112961" w:rsidP="00C82525">
            <w:pPr>
              <w:pStyle w:val="TableBody"/>
              <w:spacing w:after="0"/>
              <w:rPr>
                <w:rStyle w:val="CharacterBold"/>
              </w:rPr>
            </w:pPr>
            <w:r w:rsidRPr="00C82525">
              <w:rPr>
                <w:rStyle w:val="CharacterBold"/>
              </w:rPr>
              <w:t>Security &amp; Privacy Officer</w:t>
            </w:r>
          </w:p>
          <w:p w14:paraId="5DA9305F" w14:textId="77777777" w:rsidR="00112961" w:rsidRPr="00FB51CD" w:rsidRDefault="00112961" w:rsidP="00C82525">
            <w:pPr>
              <w:pStyle w:val="TableBody"/>
              <w:spacing w:after="0"/>
              <w:rPr>
                <w:rStyle w:val="CharacterBoldBlue"/>
              </w:rPr>
            </w:pPr>
            <w:r w:rsidRPr="00FB51CD">
              <w:rPr>
                <w:rStyle w:val="CharacterBoldBlue"/>
              </w:rPr>
              <w:t>(Key Personnel)</w:t>
            </w:r>
          </w:p>
          <w:p w14:paraId="3EB1A406" w14:textId="77777777" w:rsidR="00112961" w:rsidRDefault="00112961" w:rsidP="00C82525">
            <w:pPr>
              <w:pStyle w:val="TableBody"/>
              <w:spacing w:after="0"/>
            </w:pPr>
            <w:r>
              <w:t>[X]% | Base Period – OP4</w:t>
            </w:r>
          </w:p>
          <w:p w14:paraId="3FEE4928" w14:textId="77777777" w:rsidR="00112961" w:rsidRDefault="00112961" w:rsidP="00C82525">
            <w:pPr>
              <w:pStyle w:val="TableBody"/>
              <w:spacing w:after="0"/>
            </w:pPr>
            <w:r>
              <w:t xml:space="preserve">[Degree] [University Name]</w:t>
            </w:r>
          </w:p>
        </w:tc>
        <w:tc>
          <w:tcPr>
            <w:tcW w:w="6621" w:type="dxa"/>
          </w:tcPr>
          <w:p w14:paraId="3379483E" w14:textId="77777777" w:rsidR="00112961" w:rsidRDefault="00112961" w:rsidP="00FB51CD">
            <w:pPr>
              <w:pStyle w:val="TableBullet1"/>
              <w:cnfStyle w:val="000000010000" w:firstRow="0" w:lastRow="0" w:firstColumn="0" w:lastColumn="0" w:oddVBand="0" w:evenVBand="0" w:oddHBand="0" w:evenHBand="1" w:firstRowFirstColumn="0" w:firstRowLastColumn="0" w:lastRowFirstColumn="0" w:lastRowLastColumn="0"/>
            </w:pPr>
          </w:p>
        </w:tc>
      </w:tr>
    </w:tbl>
    <w:p w14:paraId="655E5A4B" w14:textId="77777777" w:rsidR="00991B11" w:rsidRDefault="00991B11" w:rsidP="00C82525">
      <w:pPr>
        <w:pStyle w:val="ParagraphSpacer"/>
      </w:pPr>
    </w:p>
    <w:p w14:paraId="6FBAED46" w14:textId="77777777" w:rsidR="00991B11" w:rsidRDefault="00991B11" w:rsidP="00991B11">
      <w:pPr>
        <w:pStyle w:val="Subheading1"/>
      </w:pPr>
      <w:r>
        <w:lastRenderedPageBreak/>
        <w:t>Significant Leads</w:t>
      </w:r>
      <w:r w:rsidR="006B70F3">
        <w:t xml:space="preserve"> and Responsibilities</w:t>
      </w:r>
    </w:p>
    <w:p w14:paraId="712D8432" w14:textId="77777777" w:rsidR="006B70F3" w:rsidRDefault="000E0A5E" w:rsidP="003B6A8F">
      <w:pPr>
        <w:pStyle w:val="BodyText"/>
      </w:pPr>
      <w:r w:rsidRPr="000E0A5E">
        <w:t>In addition to designated Key Personnel, Deloitte will leverage the expertise of the following significant leads who play critical roles in delivering SOW requirements. These individuals bring deep subject matter expertise and will be actively engaged throughout the contract period.</w:t>
      </w:r>
    </w:p>
    <w:p w14:paraId="7A357669" w14:textId="77777777" w:rsidR="00C55510" w:rsidRDefault="00FF1E88" w:rsidP="00FF1E88">
      <w:pPr>
        <w:pStyle w:val="TableTitle"/>
      </w:pPr>
      <w:r w:rsidRPr="00FF1E88">
        <w:t xml:space="preserve">Table </w:t>
      </w:r>
      <w:r>
        <w:t>3.1</w:t>
      </w:r>
      <w:r w:rsidR="00C82525">
        <w:t>-2.</w:t>
      </w:r>
      <w:r w:rsidRPr="00FF1E88">
        <w:t xml:space="preserve"> Significant Leads — Roles, Qualifications &amp; Availability</w:t>
      </w:r>
      <w:r w:rsidR="00C82525">
        <w:t>.</w:t>
      </w:r>
    </w:p>
    <w:tbl>
      <w:tblPr>
        <w:tblStyle w:val="DeloitteTable2"/>
        <w:tblW w:w="9360" w:type="dxa"/>
        <w:tblLook w:val="06A0" w:firstRow="1" w:lastRow="0" w:firstColumn="1" w:lastColumn="0" w:noHBand="1" w:noVBand="1"/>
      </w:tblPr>
      <w:tblGrid>
        <w:gridCol w:w="2880"/>
        <w:gridCol w:w="6480"/>
      </w:tblGrid>
      <w:tr w:rsidR="00C55510" w14:paraId="466E1C39" w14:textId="77777777" w:rsidTr="0001030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880" w:type="dxa"/>
          </w:tcPr>
          <w:p w14:paraId="700C8AE9" w14:textId="77777777" w:rsidR="00C55510" w:rsidRDefault="00C55510" w:rsidP="00010302">
            <w:pPr>
              <w:pStyle w:val="TableHeading"/>
            </w:pPr>
            <w:r>
              <w:t>Personnel, Education &amp; Availability</w:t>
            </w:r>
          </w:p>
        </w:tc>
        <w:tc>
          <w:tcPr>
            <w:tcW w:w="6480" w:type="dxa"/>
          </w:tcPr>
          <w:p w14:paraId="2C39F4B9" w14:textId="77777777" w:rsidR="00C55510" w:rsidRDefault="00C55510" w:rsidP="00010302">
            <w:pPr>
              <w:pStyle w:val="TableHeading"/>
              <w:cnfStyle w:val="100000000000" w:firstRow="1" w:lastRow="0" w:firstColumn="0" w:lastColumn="0" w:oddVBand="0" w:evenVBand="0" w:oddHBand="0" w:evenHBand="0" w:firstRowFirstColumn="0" w:firstRowLastColumn="0" w:lastRowFirstColumn="0" w:lastRowLastColumn="0"/>
            </w:pPr>
            <w:r>
              <w:t>Professional Experience &amp; Qualifications</w:t>
            </w:r>
          </w:p>
        </w:tc>
      </w:tr>
      <w:tr w:rsidR="00C55510" w14:paraId="23877120" w14:textId="77777777" w:rsidTr="00780B77">
        <w:tc>
          <w:tcPr>
            <w:cnfStyle w:val="001000000000" w:firstRow="0" w:lastRow="0" w:firstColumn="1" w:lastColumn="0" w:oddVBand="0" w:evenVBand="0" w:oddHBand="0" w:evenHBand="0" w:firstRowFirstColumn="0" w:firstRowLastColumn="0" w:lastRowFirstColumn="0" w:lastRowLastColumn="0"/>
            <w:tcW w:w="2680" w:type="dxa"/>
          </w:tcPr>
          <w:p w14:paraId="093D8755" w14:textId="77777777" w:rsidR="00C55510" w:rsidRPr="00010302" w:rsidRDefault="00C55510" w:rsidP="00010302">
            <w:pPr>
              <w:pStyle w:val="TableBody"/>
              <w:spacing w:after="0"/>
              <w:rPr>
                <w:rStyle w:val="CharacterBold"/>
              </w:rPr>
            </w:pPr>
            <w:r>
              <w:t>[</w:t>
            </w:r>
            <w:r>
              <w:rPr>
                <w:b/>
                <w:bCs/>
              </w:rPr>
              <w:t>FIRST LAST, Degrees]</w:t>
            </w:r>
          </w:p>
          <w:p w14:paraId="187D8C71" w14:textId="77777777" w:rsidR="00C55510" w:rsidRPr="00010302" w:rsidRDefault="00C55510" w:rsidP="00010302">
            <w:pPr>
              <w:pStyle w:val="TableBody"/>
              <w:spacing w:after="0"/>
              <w:rPr>
                <w:rStyle w:val="CharacterBold"/>
              </w:rPr>
            </w:pPr>
            <w:r w:rsidRPr="00010302">
              <w:rPr>
                <w:rStyle w:val="CharacterBold"/>
              </w:rPr>
              <w:t>Program Integrity Lead</w:t>
            </w:r>
          </w:p>
          <w:p w14:paraId="2381863F" w14:textId="77777777" w:rsidR="00C55510" w:rsidRDefault="00C55510" w:rsidP="00010302">
            <w:pPr>
              <w:pStyle w:val="TableBody"/>
              <w:spacing w:after="0"/>
            </w:pPr>
            <w:r>
              <w:t>[X]% | Base Period – OP4</w:t>
            </w:r>
          </w:p>
          <w:p w14:paraId="3B07E565" w14:textId="77777777" w:rsidR="00C55510" w:rsidRDefault="00C55510" w:rsidP="00010302">
            <w:pPr>
              <w:pStyle w:val="TableBody"/>
              <w:spacing w:after="0"/>
            </w:pPr>
            <w:r>
              <w:t>[Degree, Field] [University Name]</w:t>
            </w:r>
          </w:p>
        </w:tc>
        <w:tc>
          <w:tcPr>
            <w:tcW w:w="6480" w:type="dxa"/>
          </w:tcPr>
          <w:p w14:paraId="38F82A9C" w14:textId="77777777" w:rsidR="00C55510" w:rsidRDefault="00C55510" w:rsidP="00C82525">
            <w:pPr>
              <w:pStyle w:val="TableBullet1"/>
              <w:cnfStyle w:val="000000000000" w:firstRow="0" w:lastRow="0" w:firstColumn="0" w:lastColumn="0" w:oddVBand="0" w:evenVBand="0" w:oddHBand="0" w:evenHBand="0" w:firstRowFirstColumn="0" w:firstRowLastColumn="0" w:lastRowFirstColumn="0" w:lastRowLastColumn="0"/>
            </w:pPr>
          </w:p>
        </w:tc>
      </w:tr>
      <w:tr w:rsidR="00C55510" w14:paraId="38F58990" w14:textId="77777777" w:rsidTr="00780B77">
        <w:tc>
          <w:tcPr>
            <w:cnfStyle w:val="001000000000" w:firstRow="0" w:lastRow="0" w:firstColumn="1" w:lastColumn="0" w:oddVBand="0" w:evenVBand="0" w:oddHBand="0" w:evenHBand="0" w:firstRowFirstColumn="0" w:firstRowLastColumn="0" w:lastRowFirstColumn="0" w:lastRowLastColumn="0"/>
            <w:tcW w:w="2680" w:type="dxa"/>
          </w:tcPr>
          <w:p w14:paraId="1E0B92EC" w14:textId="77777777" w:rsidR="00C55510" w:rsidRPr="00010302" w:rsidRDefault="00C55510" w:rsidP="00010302">
            <w:pPr>
              <w:pStyle w:val="TableBody"/>
              <w:spacing w:after="0"/>
              <w:rPr>
                <w:rStyle w:val="CharacterBold"/>
              </w:rPr>
            </w:pPr>
            <w:r w:rsidRPr="00010302">
              <w:rPr>
                <w:rStyle w:val="CharacterBold"/>
              </w:rPr>
              <w:t>[FIRST LAST, Degrees]</w:t>
            </w:r>
          </w:p>
          <w:p w14:paraId="3D102759" w14:textId="77777777" w:rsidR="00C55510" w:rsidRPr="00010302" w:rsidRDefault="00C55510" w:rsidP="00010302">
            <w:pPr>
              <w:pStyle w:val="TableBody"/>
              <w:spacing w:after="0"/>
              <w:rPr>
                <w:rStyle w:val="CharacterBold"/>
              </w:rPr>
            </w:pPr>
            <w:r w:rsidRPr="00010302">
              <w:rPr>
                <w:rStyle w:val="CharacterBold"/>
              </w:rPr>
              <w:t>Call Center Lead</w:t>
            </w:r>
          </w:p>
          <w:p w14:paraId="2FC26357" w14:textId="77777777" w:rsidR="00C55510" w:rsidRDefault="00C55510" w:rsidP="00010302">
            <w:pPr>
              <w:pStyle w:val="TableBody"/>
              <w:spacing w:after="0"/>
            </w:pPr>
            <w:r>
              <w:t>[X]% | Base Period – OP4</w:t>
            </w:r>
          </w:p>
          <w:p w14:paraId="4F69CA8F" w14:textId="77777777" w:rsidR="00C55510" w:rsidRDefault="00C55510" w:rsidP="00010302">
            <w:pPr>
              <w:pStyle w:val="TableBody"/>
              <w:spacing w:after="0"/>
            </w:pPr>
            <w:r>
              <w:t>[Degree, Field] [University Name]</w:t>
            </w:r>
          </w:p>
        </w:tc>
        <w:tc>
          <w:tcPr>
            <w:tcW w:w="6480" w:type="dxa"/>
          </w:tcPr>
          <w:p w14:paraId="288CB481" w14:textId="77777777" w:rsidR="00C55510" w:rsidRDefault="00C55510" w:rsidP="00C82525">
            <w:pPr>
              <w:pStyle w:val="TableBullet1"/>
              <w:cnfStyle w:val="000000000000" w:firstRow="0" w:lastRow="0" w:firstColumn="0" w:lastColumn="0" w:oddVBand="0" w:evenVBand="0" w:oddHBand="0" w:evenHBand="0" w:firstRowFirstColumn="0" w:firstRowLastColumn="0" w:lastRowFirstColumn="0" w:lastRowLastColumn="0"/>
            </w:pPr>
          </w:p>
        </w:tc>
      </w:tr>
      <w:tr w:rsidR="00C55510" w14:paraId="42A108FB" w14:textId="77777777" w:rsidTr="00780B77">
        <w:tc>
          <w:tcPr>
            <w:cnfStyle w:val="001000000000" w:firstRow="0" w:lastRow="0" w:firstColumn="1" w:lastColumn="0" w:oddVBand="0" w:evenVBand="0" w:oddHBand="0" w:evenHBand="0" w:firstRowFirstColumn="0" w:firstRowLastColumn="0" w:lastRowFirstColumn="0" w:lastRowLastColumn="0"/>
            <w:tcW w:w="2680" w:type="dxa"/>
          </w:tcPr>
          <w:p w14:paraId="3EAB24D7" w14:textId="77777777" w:rsidR="00C55510" w:rsidRPr="00010302" w:rsidRDefault="00C55510" w:rsidP="00010302">
            <w:pPr>
              <w:pStyle w:val="TableBody"/>
              <w:spacing w:after="0"/>
              <w:rPr>
                <w:rStyle w:val="CharacterBold"/>
              </w:rPr>
            </w:pPr>
            <w:r w:rsidRPr="00010302">
              <w:rPr>
                <w:rStyle w:val="CharacterBold"/>
              </w:rPr>
              <w:t>[FIRST LAST, Degrees]</w:t>
            </w:r>
          </w:p>
          <w:p w14:paraId="46B1298A" w14:textId="77777777" w:rsidR="00C55510" w:rsidRPr="00010302" w:rsidRDefault="00C55510" w:rsidP="00010302">
            <w:pPr>
              <w:pStyle w:val="TableBody"/>
              <w:spacing w:after="0"/>
              <w:rPr>
                <w:rStyle w:val="CharacterBold"/>
              </w:rPr>
            </w:pPr>
            <w:r w:rsidRPr="00010302">
              <w:rPr>
                <w:rStyle w:val="CharacterBold"/>
              </w:rPr>
              <w:t>[Lead Title/Role — PLACEHOLDER]</w:t>
            </w:r>
          </w:p>
          <w:p w14:paraId="15938062" w14:textId="77777777" w:rsidR="00C55510" w:rsidRDefault="00C55510" w:rsidP="00010302">
            <w:pPr>
              <w:pStyle w:val="TableBody"/>
              <w:spacing w:after="0"/>
            </w:pPr>
            <w:r>
              <w:t>[X]% | Base Period – OP4</w:t>
            </w:r>
          </w:p>
          <w:p w14:paraId="56B0DCA2" w14:textId="77777777" w:rsidR="00C55510" w:rsidRDefault="00C55510" w:rsidP="00010302">
            <w:pPr>
              <w:pStyle w:val="TableBody"/>
              <w:spacing w:after="0"/>
            </w:pPr>
            <w:r>
              <w:t>[Degree, Field] [University Name]</w:t>
            </w:r>
          </w:p>
        </w:tc>
        <w:tc>
          <w:tcPr>
            <w:tcW w:w="6480" w:type="dxa"/>
          </w:tcPr>
          <w:p w14:paraId="5A0D130F" w14:textId="77777777" w:rsidR="00C55510" w:rsidRDefault="00C55510" w:rsidP="00C82525">
            <w:pPr>
              <w:pStyle w:val="TableBullet1"/>
              <w:cnfStyle w:val="000000000000" w:firstRow="0" w:lastRow="0" w:firstColumn="0" w:lastColumn="0" w:oddVBand="0" w:evenVBand="0" w:oddHBand="0" w:evenHBand="0" w:firstRowFirstColumn="0" w:firstRowLastColumn="0" w:lastRowFirstColumn="0" w:lastRowLastColumn="0"/>
            </w:pPr>
          </w:p>
        </w:tc>
      </w:tr>
      <w:tr w:rsidR="00C55510" w14:paraId="61A1418A" w14:textId="77777777" w:rsidTr="00780B77">
        <w:tc>
          <w:tcPr>
            <w:cnfStyle w:val="001000000000" w:firstRow="0" w:lastRow="0" w:firstColumn="1" w:lastColumn="0" w:oddVBand="0" w:evenVBand="0" w:oddHBand="0" w:evenHBand="0" w:firstRowFirstColumn="0" w:firstRowLastColumn="0" w:lastRowFirstColumn="0" w:lastRowLastColumn="0"/>
            <w:tcW w:w="2680" w:type="dxa"/>
          </w:tcPr>
          <w:p w14:paraId="36E2598E" w14:textId="77777777" w:rsidR="00C55510" w:rsidRPr="00010302" w:rsidRDefault="00C55510" w:rsidP="00010302">
            <w:pPr>
              <w:pStyle w:val="TableBody"/>
              <w:spacing w:after="0"/>
              <w:rPr>
                <w:rStyle w:val="CharacterBold"/>
              </w:rPr>
            </w:pPr>
            <w:r w:rsidRPr="00010302">
              <w:rPr>
                <w:rStyle w:val="CharacterBold"/>
              </w:rPr>
              <w:t>[FIRST LAST, Degrees]</w:t>
            </w:r>
          </w:p>
          <w:p w14:paraId="2492644B" w14:textId="77777777" w:rsidR="00C55510" w:rsidRPr="00010302" w:rsidRDefault="00C55510" w:rsidP="00010302">
            <w:pPr>
              <w:pStyle w:val="TableBody"/>
              <w:spacing w:after="0"/>
              <w:rPr>
                <w:rStyle w:val="CharacterBold"/>
              </w:rPr>
            </w:pPr>
            <w:r w:rsidRPr="00010302">
              <w:rPr>
                <w:rStyle w:val="CharacterBold"/>
              </w:rPr>
              <w:t>[Lead Title/Role — PLACEHOLDER]</w:t>
            </w:r>
          </w:p>
          <w:p w14:paraId="1F1E6492" w14:textId="77777777" w:rsidR="00C55510" w:rsidRDefault="00C55510" w:rsidP="00010302">
            <w:pPr>
              <w:pStyle w:val="TableBody"/>
              <w:spacing w:after="0"/>
            </w:pPr>
            <w:r>
              <w:t>[X]% | Base Period – OP4</w:t>
            </w:r>
          </w:p>
          <w:p w14:paraId="6C04E7EA" w14:textId="77777777" w:rsidR="00C55510" w:rsidRDefault="00C55510" w:rsidP="00010302">
            <w:pPr>
              <w:pStyle w:val="TableBody"/>
              <w:spacing w:after="0"/>
            </w:pPr>
            <w:r>
              <w:t>[Degree, Field] [University Name]</w:t>
            </w:r>
          </w:p>
        </w:tc>
        <w:tc>
          <w:tcPr>
            <w:tcW w:w="6480" w:type="dxa"/>
          </w:tcPr>
          <w:p w14:paraId="1341E2AA" w14:textId="77777777" w:rsidR="00C55510" w:rsidRDefault="00C55510" w:rsidP="00C82525">
            <w:pPr>
              <w:pStyle w:val="TableBullet1"/>
              <w:cnfStyle w:val="000000000000" w:firstRow="0" w:lastRow="0" w:firstColumn="0" w:lastColumn="0" w:oddVBand="0" w:evenVBand="0" w:oddHBand="0" w:evenHBand="0" w:firstRowFirstColumn="0" w:firstRowLastColumn="0" w:lastRowFirstColumn="0" w:lastRowLastColumn="0"/>
            </w:pPr>
          </w:p>
        </w:tc>
      </w:tr>
      <w:tr w:rsidR="00C55510" w14:paraId="44E7ADCD" w14:textId="77777777" w:rsidTr="00780B77">
        <w:tc>
          <w:tcPr>
            <w:cnfStyle w:val="001000000000" w:firstRow="0" w:lastRow="0" w:firstColumn="1" w:lastColumn="0" w:oddVBand="0" w:evenVBand="0" w:oddHBand="0" w:evenHBand="0" w:firstRowFirstColumn="0" w:firstRowLastColumn="0" w:lastRowFirstColumn="0" w:lastRowLastColumn="0"/>
            <w:tcW w:w="2680" w:type="dxa"/>
          </w:tcPr>
          <w:p w14:paraId="025C244D" w14:textId="77777777" w:rsidR="00C55510" w:rsidRPr="00010302" w:rsidRDefault="00C55510" w:rsidP="00010302">
            <w:pPr>
              <w:pStyle w:val="TableBody"/>
              <w:spacing w:after="0"/>
              <w:rPr>
                <w:rStyle w:val="CharacterBold"/>
              </w:rPr>
            </w:pPr>
            <w:r w:rsidRPr="00010302">
              <w:rPr>
                <w:rStyle w:val="CharacterBold"/>
              </w:rPr>
              <w:t>[FIRST LAST, Degrees]</w:t>
            </w:r>
          </w:p>
          <w:p w14:paraId="23E9574B" w14:textId="77777777" w:rsidR="00C55510" w:rsidRPr="00010302" w:rsidRDefault="00C55510" w:rsidP="00010302">
            <w:pPr>
              <w:pStyle w:val="TableBody"/>
              <w:spacing w:after="0"/>
              <w:rPr>
                <w:rStyle w:val="CharacterBold"/>
              </w:rPr>
            </w:pPr>
            <w:r w:rsidRPr="00010302">
              <w:rPr>
                <w:rStyle w:val="CharacterBold"/>
              </w:rPr>
              <w:t>[Lead Title/Role — PLACEHOLDER]</w:t>
            </w:r>
          </w:p>
          <w:p w14:paraId="49C6B05D" w14:textId="77777777" w:rsidR="00C55510" w:rsidRDefault="00C55510" w:rsidP="00010302">
            <w:pPr>
              <w:pStyle w:val="TableBody"/>
              <w:spacing w:after="0"/>
            </w:pPr>
            <w:r>
              <w:t>[X]% | Base Period – OP4</w:t>
            </w:r>
          </w:p>
          <w:p w14:paraId="6668C1A4" w14:textId="77777777" w:rsidR="00C55510" w:rsidRDefault="00C55510" w:rsidP="00010302">
            <w:pPr>
              <w:pStyle w:val="TableBody"/>
              <w:spacing w:after="0"/>
            </w:pPr>
            <w:r>
              <w:t>[Degree, Field] [University Name]</w:t>
            </w:r>
          </w:p>
        </w:tc>
        <w:tc>
          <w:tcPr>
            <w:tcW w:w="6480" w:type="dxa"/>
          </w:tcPr>
          <w:p w14:paraId="5BD992F5" w14:textId="77777777" w:rsidR="00C55510" w:rsidRDefault="00C55510" w:rsidP="00C82525">
            <w:pPr>
              <w:pStyle w:val="TableBullet1"/>
              <w:cnfStyle w:val="000000000000" w:firstRow="0" w:lastRow="0" w:firstColumn="0" w:lastColumn="0" w:oddVBand="0" w:evenVBand="0" w:oddHBand="0" w:evenHBand="0" w:firstRowFirstColumn="0" w:firstRowLastColumn="0" w:lastRowFirstColumn="0" w:lastRowLastColumn="0"/>
            </w:pPr>
          </w:p>
        </w:tc>
      </w:tr>
    </w:tbl>
    <w:p w14:paraId="0703616D" w14:textId="77777777" w:rsidR="00D468E9" w:rsidRPr="00245804" w:rsidRDefault="00D468E9" w:rsidP="00780B77">
      <w:pPr>
        <w:pStyle w:val="ParagraphSpacer"/>
      </w:pPr>
    </w:p>
    <w:p w14:paraId="27BD3ECF" w14:textId="77777777" w:rsidR="005F5879" w:rsidRPr="00245804" w:rsidRDefault="005F5879" w:rsidP="00D56EB5">
      <w:pPr>
        <w:pStyle w:val="Subheading1"/>
      </w:pPr>
      <w:r>
        <w:t xml:space="preserve">Retention </w:t>
      </w:r>
      <w:r w:rsidR="00DB380F">
        <w:t xml:space="preserve">and Replacement </w:t>
      </w:r>
      <w:r w:rsidR="00D56EB5">
        <w:t>Approach</w:t>
      </w:r>
    </w:p>
    <w:p w14:paraId="221F451F" w14:textId="77777777" w:rsidR="008E1000" w:rsidRDefault="008E1000" w:rsidP="00780B77">
      <w:pPr>
        <w:pStyle w:val="BodyTextBulletIntro"/>
      </w:pPr>
      <w:r>
        <w:t>Retaining qualified key personnel is critical to uninterrupted ER&amp;R program operations. Deloitte has institutionalized robust succession processes to minimize disruption in the event of departures:</w:t>
      </w:r>
    </w:p>
    <w:p w14:paraId="24AB7966" w14:textId="77777777" w:rsidR="008E1000" w:rsidRPr="00EC1036" w:rsidRDefault="008E1000" w:rsidP="00780B77">
      <w:pPr>
        <w:pStyle w:val="Bulletlevel1"/>
        <w:rPr>
          <w:b/>
          <w:bCs/>
        </w:rPr>
      </w:pPr>
      <w:r w:rsidRPr="00780B77">
        <w:rPr>
          <w:rStyle w:val="CharacterBold"/>
        </w:rPr>
        <w:t xml:space="preserve">Pre-qualified bench of successors: </w:t>
      </w:r>
      <w:r w:rsidRPr="00EC1036">
        <w:rPr>
          <w:rStyle w:val="CharacterBold"/>
          <w:b w:val="0"/>
          <w:bCs/>
        </w:rPr>
        <w:t>Deloitte maintains a pipeline of CMS-experienced professionals for each key position. At least one qualified backup candidate has been identified in advance for each key role.</w:t>
      </w:r>
    </w:p>
    <w:p w14:paraId="615D0E4D" w14:textId="77777777" w:rsidR="008E1000" w:rsidRDefault="008E1000" w:rsidP="00780B77">
      <w:pPr>
        <w:pStyle w:val="Bulletlevel1"/>
      </w:pPr>
      <w:r w:rsidRPr="00780B77">
        <w:rPr>
          <w:rStyle w:val="CharacterBold"/>
        </w:rPr>
        <w:t>Living transition documentation:</w:t>
      </w:r>
      <w:r w:rsidRPr="00C01115">
        <w:rPr>
          <w:b/>
          <w:bCs/>
        </w:rPr>
        <w:t xml:space="preserve"> </w:t>
      </w:r>
      <w:r>
        <w:t>All key personnel maintain current documentation of responsibilities, ongoing deliverables, CMS relationships, and open case status, enabling rapid knowledge transfer.</w:t>
      </w:r>
    </w:p>
    <w:p w14:paraId="49FA8E6B" w14:textId="77777777" w:rsidR="008E1000" w:rsidRDefault="008E1000" w:rsidP="00780B77">
      <w:pPr>
        <w:pStyle w:val="Bulletlevel1"/>
      </w:pPr>
      <w:r w:rsidRPr="00780B77">
        <w:rPr>
          <w:rStyle w:val="CharacterBold"/>
        </w:rPr>
        <w:t>COR notification and prior approval:</w:t>
      </w:r>
      <w:r>
        <w:t xml:space="preserve"> Any key personnel substitution will be promptly communicated to the COR. Proposed replacements will meet or exceed all minimum qualifications for the position prior to assuming responsibilities.</w:t>
      </w:r>
    </w:p>
    <w:p w14:paraId="2C366EAC" w14:textId="77777777" w:rsidR="00D56EB5" w:rsidRPr="00EC1036" w:rsidRDefault="008E1000" w:rsidP="00780B77">
      <w:pPr>
        <w:pStyle w:val="Bulletlevel1"/>
        <w:rPr>
          <w:b/>
          <w:bCs/>
        </w:rPr>
      </w:pPr>
      <w:r w:rsidRPr="00780B77">
        <w:rPr>
          <w:rStyle w:val="CharacterBold"/>
        </w:rPr>
        <w:t xml:space="preserve">Transition overlap period: </w:t>
      </w:r>
      <w:r w:rsidRPr="00EC1036">
        <w:rPr>
          <w:rStyle w:val="CharacterBold"/>
          <w:b w:val="0"/>
          <w:bCs/>
        </w:rPr>
        <w:t>Where advance notice is available, Deloitte ensures a minimum 30-day co-performance period so outgoing and incoming personnel work in parallel, preserving operational continuity and institutional knowledge.</w:t>
      </w:r>
    </w:p>
    <w:p w14:paraId="3F40811E" w14:textId="77777777" w:rsidR="006557D6" w:rsidRPr="00245804" w:rsidRDefault="006557D6" w:rsidP="006557D6">
      <w:pPr>
        <w:pStyle w:val="Subheading1"/>
        <w:ind w:left="80"/>
      </w:pPr>
      <w:r>
        <w:t>Level of Effort</w:t>
      </w:r>
    </w:p>
    <w:p>
      <w:pPr>
        <w:pStyle w:val="BodyText"/>
      </w:pPr>
      <w:r>
        <w:t>All six Key Personnel roles are committed at 100% availability for the Base Period through Option Period 4 (OP4). Availability is defined as dedicated, uninterrupted service on this task order for the full period of performance. Deloitte does not propose shared Key Personnel across concurrent Federal task orders without prior written approval from the COR.</w:t>
      </w:r>
    </w:p>
    <w:p>
      <w:pPr>
        <w:pStyle w:val="BodyText"/>
        <w:sectPr w:rsidR="00DB3627" w:rsidSect="000B1BCE">
          <w:headerReference w:type="default" r:id="rId12"/>
          <w:footerReference w:type="default" r:id="rId13"/>
          <w:footerReference w:type="first" r:id="rId14"/>
          <w:pgSz w:w="12240" w:h="15840" w:code="1"/>
          <w:pgMar w:top="1440" w:right="1440" w:bottom="1440" w:left="1440" w:header="720" w:footer="720" w:gutter="0"/>
          <w:cols w:space="720"/>
          <w:vAlign w:val="bottom"/>
          <w:docGrid w:linePitch="360"/>
        </w:sectPr>
      </w:pPr>
      <w:r>
        <w:t>The labor mix supporting this task order spans seven labor categories: Program Manager, Senior Analyst, Analyst, IT Systems Specialist, Quality Assurance Specialist, Call Center Supervisor, and Case Processor. Total estimated staffing across the base period is approximately 45 FTEs, with planned surge capacity of up to 20 additional FTEs activated each January through May to support Form 1095-A tax season volume. A detailed labor-mix matrix will be provided at task order award upon finalization of performance work statement allocations.</w:t>
      </w:r>
    </w:p>
    <w:p w14:paraId="0D9BCBFD" w14:textId="77777777" w:rsidR="007C62A0" w:rsidRDefault="00245804" w:rsidP="00245804">
      <w:pPr>
        <w:pStyle w:val="Heading2"/>
      </w:pPr>
      <w:bookmarkStart w:id="24" w:name="_Toc228252927"/>
      <w:r>
        <w:lastRenderedPageBreak/>
        <w:t>3.2</w:t>
      </w:r>
      <w:r>
        <w:tab/>
      </w:r>
      <w:r w:rsidR="007C62A0">
        <w:t>Sub-Section 3B: Corporate Experience</w:t>
      </w:r>
      <w:r w:rsidR="000E4783">
        <w:t xml:space="preserve"> </w:t>
      </w:r>
      <w:r w:rsidR="000E4783" w:rsidRPr="00806273">
        <w:t>(</w:t>
      </w:r>
      <w:r w:rsidR="000E4783">
        <w:t>4</w:t>
      </w:r>
      <w:r w:rsidR="000E4783" w:rsidRPr="00806273">
        <w:t xml:space="preserve"> Pages)</w:t>
      </w:r>
      <w:bookmarkEnd w:id="24"/>
    </w:p>
    <w:p w14:paraId="2CED59D7" w14:textId="77777777" w:rsidR="002515C5" w:rsidRDefault="4BDB806A" w:rsidP="00780B77">
      <w:pPr>
        <w:pStyle w:val="BodyText"/>
      </w:pPr>
      <w:r w:rsidRPr="00802C4A">
        <w:t>We understand why change feels risky. Transition issues, delayed eligibility determinations, or call center disruptions can mean consumers can't get answers about their health coverage, benefits, or enrollment status. Legislative and public scrutiny leaves no margin for disruption. But continuity and change are not mutually exclusive. Deloitte has the experience, methodology, and proven track record to make change invisible to the consumer, protecting consumer experience while modernizing the systems underneath it.</w:t>
      </w:r>
    </w:p>
    <w:p w14:paraId="289C5809" w14:textId="77777777" w:rsidR="00A9173D" w:rsidRDefault="005928F2" w:rsidP="005928F2">
      <w:pPr>
        <w:pStyle w:val="TableTitle"/>
      </w:pPr>
      <w:r>
        <w:t>Table 3.2-1. Corporate Experience Matrix</w:t>
      </w:r>
    </w:p>
    <w:tbl>
      <w:tblPr>
        <w:tblStyle w:val="DeloitteTable2"/>
        <w:tblW w:w="0" w:type="auto"/>
        <w:tblLayout w:type="fixed"/>
        <w:tblLook w:val="06A0" w:firstRow="1" w:lastRow="0" w:firstColumn="1" w:lastColumn="0" w:noHBand="1" w:noVBand="1"/>
      </w:tblPr>
      <w:tblGrid>
        <w:gridCol w:w="1374"/>
        <w:gridCol w:w="961"/>
        <w:gridCol w:w="2700"/>
        <w:gridCol w:w="990"/>
        <w:gridCol w:w="1080"/>
        <w:gridCol w:w="810"/>
        <w:gridCol w:w="810"/>
        <w:gridCol w:w="270"/>
        <w:gridCol w:w="810"/>
        <w:gridCol w:w="90"/>
        <w:gridCol w:w="810"/>
        <w:gridCol w:w="117"/>
        <w:gridCol w:w="810"/>
        <w:gridCol w:w="1073"/>
        <w:gridCol w:w="1055"/>
      </w:tblGrid>
      <w:tr w:rsidR="00A9173D" w14:paraId="397A0491" w14:textId="77777777" w:rsidTr="003F0AD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374" w:type="dxa"/>
          </w:tcPr>
          <w:p w14:paraId="10EA1D53" w14:textId="77777777" w:rsidR="00A9173D" w:rsidRDefault="005928F2">
            <w:pPr>
              <w:pStyle w:val="TableHeading"/>
            </w:pPr>
            <w:r w:rsidRPr="005928F2">
              <w:t>Project Name &amp; Client / Agency</w:t>
            </w:r>
          </w:p>
        </w:tc>
        <w:tc>
          <w:tcPr>
            <w:tcW w:w="961" w:type="dxa"/>
          </w:tcPr>
          <w:p w14:paraId="0073BAA5" w14:textId="77777777" w:rsidR="00A9173D" w:rsidRDefault="005928F2">
            <w:pPr>
              <w:pStyle w:val="TableHeading"/>
              <w:cnfStyle w:val="100000000000" w:firstRow="1" w:lastRow="0" w:firstColumn="0" w:lastColumn="0" w:oddVBand="0" w:evenVBand="0" w:oddHBand="0" w:evenHBand="0" w:firstRowFirstColumn="0" w:firstRowLastColumn="0" w:lastRowFirstColumn="0" w:lastRowLastColumn="0"/>
            </w:pPr>
            <w:r w:rsidRPr="005928F2">
              <w:t>Period of Performance</w:t>
            </w:r>
          </w:p>
        </w:tc>
        <w:tc>
          <w:tcPr>
            <w:tcW w:w="2700" w:type="dxa"/>
          </w:tcPr>
          <w:p w14:paraId="72CBF5F9" w14:textId="77777777" w:rsidR="00A9173D" w:rsidRDefault="005928F2">
            <w:pPr>
              <w:pStyle w:val="TableHeading"/>
              <w:cnfStyle w:val="100000000000" w:firstRow="1" w:lastRow="0" w:firstColumn="0" w:lastColumn="0" w:oddVBand="0" w:evenVBand="0" w:oddHBand="0" w:evenHBand="0" w:firstRowFirstColumn="0" w:firstRowLastColumn="0" w:lastRowFirstColumn="0" w:lastRowLastColumn="0"/>
            </w:pPr>
            <w:r w:rsidRPr="005928F2">
              <w:t>Project Description &amp; Relevance to SOW</w:t>
            </w:r>
          </w:p>
        </w:tc>
        <w:tc>
          <w:tcPr>
            <w:tcW w:w="990" w:type="dxa"/>
          </w:tcPr>
          <w:p w14:paraId="15A84DD8" w14:textId="77777777" w:rsidR="005928F2" w:rsidRPr="005928F2" w:rsidRDefault="005928F2">
            <w:pPr>
              <w:pStyle w:val="TableHeading"/>
              <w:cnfStyle w:val="100000000000" w:firstRow="1" w:lastRow="0" w:firstColumn="0" w:lastColumn="0" w:oddVBand="0" w:evenVBand="0" w:oddHBand="0" w:evenHBand="0" w:firstRowFirstColumn="0" w:firstRowLastColumn="0" w:lastRowFirstColumn="0" w:lastRowLastColumn="0"/>
            </w:pPr>
            <w:r w:rsidRPr="005928F2">
              <w:t>ER&amp;R Issuer Disputes</w:t>
            </w:r>
          </w:p>
        </w:tc>
        <w:tc>
          <w:tcPr>
            <w:tcW w:w="1080" w:type="dxa"/>
          </w:tcPr>
          <w:p w14:paraId="74BF0433" w14:textId="77777777" w:rsidR="00A9173D" w:rsidRDefault="005928F2">
            <w:pPr>
              <w:pStyle w:val="TableHeading"/>
              <w:cnfStyle w:val="100000000000" w:firstRow="1" w:lastRow="0" w:firstColumn="0" w:lastColumn="0" w:oddVBand="0" w:evenVBand="0" w:oddHBand="0" w:evenHBand="0" w:firstRowFirstColumn="0" w:firstRowLastColumn="0" w:lastRowFirstColumn="0" w:lastRowLastColumn="0"/>
            </w:pPr>
            <w:r w:rsidRPr="005928F2">
              <w:t>1095-A Consumer Disputes</w:t>
            </w:r>
          </w:p>
        </w:tc>
        <w:tc>
          <w:tcPr>
            <w:tcW w:w="810" w:type="dxa"/>
          </w:tcPr>
          <w:p w14:paraId="5F110339" w14:textId="77777777" w:rsidR="005928F2" w:rsidRPr="005928F2" w:rsidRDefault="005928F2">
            <w:pPr>
              <w:pStyle w:val="TableHeading"/>
              <w:cnfStyle w:val="100000000000" w:firstRow="1" w:lastRow="0" w:firstColumn="0" w:lastColumn="0" w:oddVBand="0" w:evenVBand="0" w:oddHBand="0" w:evenHBand="0" w:firstRowFirstColumn="0" w:firstRowLastColumn="0" w:lastRowFirstColumn="0" w:lastRowLastColumn="0"/>
            </w:pPr>
            <w:r w:rsidRPr="005928F2">
              <w:t>IT Systems O&amp;M</w:t>
            </w:r>
          </w:p>
        </w:tc>
        <w:tc>
          <w:tcPr>
            <w:tcW w:w="1080" w:type="dxa"/>
            <w:gridSpan w:val="2"/>
          </w:tcPr>
          <w:p w14:paraId="2AB594B9" w14:textId="77777777" w:rsidR="005928F2" w:rsidRPr="005928F2" w:rsidRDefault="005928F2">
            <w:pPr>
              <w:pStyle w:val="TableHeading"/>
              <w:cnfStyle w:val="100000000000" w:firstRow="1" w:lastRow="0" w:firstColumn="0" w:lastColumn="0" w:oddVBand="0" w:evenVBand="0" w:oddHBand="0" w:evenHBand="0" w:firstRowFirstColumn="0" w:firstRowLastColumn="0" w:lastRowFirstColumn="0" w:lastRowLastColumn="0"/>
            </w:pPr>
            <w:r w:rsidRPr="005928F2">
              <w:t>Data Analytics &amp; BI Reporting</w:t>
            </w:r>
          </w:p>
        </w:tc>
        <w:tc>
          <w:tcPr>
            <w:tcW w:w="900" w:type="dxa"/>
            <w:gridSpan w:val="2"/>
          </w:tcPr>
          <w:p w14:paraId="13175015" w14:textId="77777777" w:rsidR="005928F2" w:rsidRPr="005928F2" w:rsidRDefault="005928F2">
            <w:pPr>
              <w:pStyle w:val="TableHeading"/>
              <w:cnfStyle w:val="100000000000" w:firstRow="1" w:lastRow="0" w:firstColumn="0" w:lastColumn="0" w:oddVBand="0" w:evenVBand="0" w:oddHBand="0" w:evenHBand="0" w:firstRowFirstColumn="0" w:firstRowLastColumn="0" w:lastRowFirstColumn="0" w:lastRowLastColumn="0"/>
            </w:pPr>
            <w:r w:rsidRPr="005928F2">
              <w:t>Contact Center Support</w:t>
            </w:r>
          </w:p>
        </w:tc>
        <w:tc>
          <w:tcPr>
            <w:tcW w:w="927" w:type="dxa"/>
            <w:gridSpan w:val="2"/>
          </w:tcPr>
          <w:p w14:paraId="0067E510" w14:textId="77777777" w:rsidR="005928F2" w:rsidRPr="005928F2" w:rsidRDefault="005928F2">
            <w:pPr>
              <w:pStyle w:val="TableHeading"/>
              <w:cnfStyle w:val="100000000000" w:firstRow="1" w:lastRow="0" w:firstColumn="0" w:lastColumn="0" w:oddVBand="0" w:evenVBand="0" w:oddHBand="0" w:evenHBand="0" w:firstRowFirstColumn="0" w:firstRowLastColumn="0" w:lastRowFirstColumn="0" w:lastRowLastColumn="0"/>
            </w:pPr>
            <w:r w:rsidRPr="005928F2">
              <w:t>Security &amp; Compliance</w:t>
            </w:r>
          </w:p>
        </w:tc>
        <w:tc>
          <w:tcPr>
            <w:tcW w:w="1073" w:type="dxa"/>
            <w:gridSpan w:val="2"/>
          </w:tcPr>
          <w:p w14:paraId="2CCB4977" w14:textId="77777777" w:rsidR="005928F2" w:rsidRPr="005928F2" w:rsidRDefault="005928F2">
            <w:pPr>
              <w:pStyle w:val="TableHeading"/>
              <w:cnfStyle w:val="100000000000" w:firstRow="1" w:lastRow="0" w:firstColumn="0" w:lastColumn="0" w:oddVBand="0" w:evenVBand="0" w:oddHBand="0" w:evenHBand="0" w:firstRowFirstColumn="0" w:firstRowLastColumn="0" w:lastRowFirstColumn="0" w:lastRowLastColumn="0"/>
            </w:pPr>
            <w:r w:rsidRPr="005928F2">
              <w:t>Eligibility &amp; Enrollment Systems</w:t>
            </w:r>
          </w:p>
        </w:tc>
        <w:tc>
          <w:tcPr>
            <w:tcW w:w="1055" w:type="dxa"/>
          </w:tcPr>
          <w:p w14:paraId="0DCE2BFB" w14:textId="77777777" w:rsidR="005928F2" w:rsidRPr="005928F2" w:rsidRDefault="005928F2">
            <w:pPr>
              <w:pStyle w:val="TableHeading"/>
              <w:cnfStyle w:val="100000000000" w:firstRow="1" w:lastRow="0" w:firstColumn="0" w:lastColumn="0" w:oddVBand="0" w:evenVBand="0" w:oddHBand="0" w:evenHBand="0" w:firstRowFirstColumn="0" w:firstRowLastColumn="0" w:lastRowFirstColumn="0" w:lastRowLastColumn="0"/>
            </w:pPr>
            <w:r w:rsidRPr="005928F2">
              <w:t>Healthcare Exchange Platform Dev &amp; Ops</w:t>
            </w:r>
          </w:p>
        </w:tc>
      </w:tr>
      <w:tr w:rsidR="005928F2" w14:paraId="45046EB7" w14:textId="77777777" w:rsidTr="005928F2">
        <w:tc>
          <w:tcPr>
            <w:cnfStyle w:val="001000000000" w:firstRow="0" w:lastRow="0" w:firstColumn="1" w:lastColumn="0" w:oddVBand="0" w:evenVBand="0" w:oddHBand="0" w:evenHBand="0" w:firstRowFirstColumn="0" w:firstRowLastColumn="0" w:lastRowFirstColumn="0" w:lastRowLastColumn="0"/>
            <w:tcW w:w="1374" w:type="dxa"/>
          </w:tcPr>
          <w:p w14:paraId="190DF3FD" w14:textId="77777777" w:rsidR="005928F2" w:rsidRDefault="005928F2" w:rsidP="005928F2">
            <w:pPr>
              <w:pStyle w:val="TableRowHeading"/>
            </w:pPr>
            <w:r w:rsidRPr="002B6BA8">
              <w:t>XX / U.S. Office of Personnel Management (OPM)</w:t>
            </w:r>
          </w:p>
        </w:tc>
        <w:tc>
          <w:tcPr>
            <w:tcW w:w="961" w:type="dxa"/>
          </w:tcPr>
          <w:p w14:paraId="4755E50F"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r w:rsidRPr="0027673C">
              <w:t>Aug 2023 – Aug 2025</w:t>
            </w:r>
          </w:p>
        </w:tc>
        <w:tc>
          <w:tcPr>
            <w:tcW w:w="2700" w:type="dxa"/>
          </w:tcPr>
          <w:p w14:paraId="45415A79"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r>
              <w:t>Deloitte delivers and operates a large-scale federal health benefits enrollment platform supporting 1.9 million USPS employees and retirees across 17 carriers and 69 plan options. The platform is available 24/7 and serves as the authoritative system for enrollment, eligibility, and benefits management for one of the largest employer-sponsored health programs in the federal government. Deloitte provides system development, maintenance, and operations services, including automated fraud, waste, and abuse detection controls projected to save $3 billion annually, demonstrating automation-first processing capability in a complex, highly regulated environment.</w:t>
            </w:r>
          </w:p>
          <w:p w14:paraId="7738AE9E"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r w:rsidRPr="005928F2">
              <w:rPr>
                <w:rStyle w:val="CharacterBold"/>
              </w:rPr>
              <w:t>Size:</w:t>
            </w:r>
            <w:r>
              <w:t xml:space="preserve"> Federal; $175M contract value</w:t>
            </w:r>
          </w:p>
          <w:p w14:paraId="548FDB5C"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r w:rsidRPr="005928F2">
              <w:rPr>
                <w:rStyle w:val="CharacterBold"/>
              </w:rPr>
              <w:lastRenderedPageBreak/>
              <w:t>Scope:</w:t>
            </w:r>
            <w:r>
              <w:t xml:space="preserve"> Full platform delivery and operations, including maintenance of 8 integrated applications and 20 interfaces, member record management, carrier and plan administration across 17 carriers and 69 plan options, and automated FWA detection and controls.</w:t>
            </w:r>
          </w:p>
          <w:p w14:paraId="2DDF2AEB"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r w:rsidRPr="005928F2">
              <w:rPr>
                <w:rStyle w:val="CharacterBold"/>
              </w:rPr>
              <w:t>Complexity:</w:t>
            </w:r>
            <w:r>
              <w:t xml:space="preserve"> 8 Applications, 20 External Interfaces, 1.9M Members, 113M+ Annual Transactions, peak single-hour active user count of 4,690, migration of </w:t>
            </w:r>
            <w:proofErr w:type="gramStart"/>
            <w:r>
              <w:t>2.25 million member</w:t>
            </w:r>
            <w:proofErr w:type="gramEnd"/>
            <w:r>
              <w:t xml:space="preserve"> records at 99.6% accuracy</w:t>
            </w:r>
          </w:p>
          <w:p w14:paraId="657E52AF"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r w:rsidRPr="005928F2">
              <w:rPr>
                <w:rStyle w:val="CharacterBold"/>
              </w:rPr>
              <w:t>Technological Landscape:</w:t>
            </w:r>
            <w:r>
              <w:t xml:space="preserve"> Azure FedRAMP Commercial Cloud, API integration (average response time 0.255 seconds against a 2-second SLA), NIST 800-53 compliance, FedRAMP authorization, automated FWA detection controls</w:t>
            </w:r>
          </w:p>
        </w:tc>
        <w:tc>
          <w:tcPr>
            <w:tcW w:w="990" w:type="dxa"/>
          </w:tcPr>
          <w:p w14:paraId="3A36F132"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80" w:type="dxa"/>
            <w:gridSpan w:val="2"/>
          </w:tcPr>
          <w:p w14:paraId="68CFDB09"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810" w:type="dxa"/>
          </w:tcPr>
          <w:p w14:paraId="0912DA3D"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80" w:type="dxa"/>
            <w:gridSpan w:val="2"/>
          </w:tcPr>
          <w:p w14:paraId="334B1434"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900" w:type="dxa"/>
            <w:gridSpan w:val="2"/>
          </w:tcPr>
          <w:p w14:paraId="6252D1A6"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927" w:type="dxa"/>
            <w:gridSpan w:val="2"/>
          </w:tcPr>
          <w:p w14:paraId="1E41C771"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73" w:type="dxa"/>
          </w:tcPr>
          <w:p w14:paraId="5C8CF05F"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55" w:type="dxa"/>
          </w:tcPr>
          <w:p w14:paraId="25EE60CD"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r>
      <w:tr w:rsidR="00A9173D" w14:paraId="170E6B8E" w14:textId="77777777" w:rsidTr="005928F2">
        <w:tc>
          <w:tcPr>
            <w:cnfStyle w:val="001000000000" w:firstRow="0" w:lastRow="0" w:firstColumn="1" w:lastColumn="0" w:oddVBand="0" w:evenVBand="0" w:oddHBand="0" w:evenHBand="0" w:firstRowFirstColumn="0" w:firstRowLastColumn="0" w:lastRowFirstColumn="0" w:lastRowLastColumn="0"/>
            <w:tcW w:w="1374" w:type="dxa"/>
          </w:tcPr>
          <w:p w14:paraId="56183EF1" w14:textId="77777777" w:rsidR="00A9173D" w:rsidRDefault="005928F2">
            <w:pPr>
              <w:pStyle w:val="TableRowHeading"/>
            </w:pPr>
            <w:r w:rsidRPr="002B6BA8">
              <w:t>Department of State, Bureau of Consular Affairs (CA)</w:t>
            </w:r>
          </w:p>
        </w:tc>
        <w:tc>
          <w:tcPr>
            <w:tcW w:w="961" w:type="dxa"/>
          </w:tcPr>
          <w:p w14:paraId="7B3382EE" w14:textId="77777777" w:rsidR="00A9173D" w:rsidRDefault="005928F2">
            <w:pPr>
              <w:pStyle w:val="TableBody"/>
              <w:cnfStyle w:val="000000000000" w:firstRow="0" w:lastRow="0" w:firstColumn="0" w:lastColumn="0" w:oddVBand="0" w:evenVBand="0" w:oddHBand="0" w:evenHBand="0" w:firstRowFirstColumn="0" w:firstRowLastColumn="0" w:lastRowFirstColumn="0" w:lastRowLastColumn="0"/>
            </w:pPr>
            <w:r w:rsidRPr="0027673C">
              <w:t>Sep 2019 – Sep 2026</w:t>
            </w:r>
          </w:p>
        </w:tc>
        <w:tc>
          <w:tcPr>
            <w:tcW w:w="2700" w:type="dxa"/>
          </w:tcPr>
          <w:p w14:paraId="0232ED6F" w14:textId="77777777" w:rsidR="003F0AD5" w:rsidRDefault="003F0AD5" w:rsidP="003F0AD5">
            <w:pPr>
              <w:pStyle w:val="TableBody"/>
              <w:cnfStyle w:val="000000000000" w:firstRow="0" w:lastRow="0" w:firstColumn="0" w:lastColumn="0" w:oddVBand="0" w:evenVBand="0" w:oddHBand="0" w:evenHBand="0" w:firstRowFirstColumn="0" w:firstRowLastColumn="0" w:lastRowFirstColumn="0" w:lastRowLastColumn="0"/>
            </w:pPr>
            <w:r>
              <w:t xml:space="preserve">Deloitte provides operations, maintenance, and modernization support for 80+ mission-critical applications across 240+ global posts, resolving 21K+ tickets annually under a 24/7/365 operational support model with </w:t>
            </w:r>
            <w:r>
              <w:lastRenderedPageBreak/>
              <w:t>200+ deployments managed annually using Agile principles. The engagement encompasses system operations, software development, Tier III production support, and mission-critical system transitions from incumbent vendors, demonstrating Deloitte's ability to manage large-scale federal IT portfolios under demanding service-level and compliance requirements.</w:t>
            </w:r>
          </w:p>
          <w:p w14:paraId="76CB704C" w14:textId="77777777" w:rsidR="003F0AD5" w:rsidRDefault="003F0AD5" w:rsidP="003F0AD5">
            <w:pPr>
              <w:pStyle w:val="TableBody"/>
              <w:cnfStyle w:val="000000000000" w:firstRow="0" w:lastRow="0" w:firstColumn="0" w:lastColumn="0" w:oddVBand="0" w:evenVBand="0" w:oddHBand="0" w:evenHBand="0" w:firstRowFirstColumn="0" w:firstRowLastColumn="0" w:lastRowFirstColumn="0" w:lastRowLastColumn="0"/>
            </w:pPr>
            <w:r w:rsidRPr="003F0AD5">
              <w:rPr>
                <w:rStyle w:val="CharacterBold"/>
              </w:rPr>
              <w:t>Size:</w:t>
            </w:r>
            <w:r>
              <w:t xml:space="preserve"> Federal; $430M projected contract value</w:t>
            </w:r>
          </w:p>
          <w:p w14:paraId="759FFD8F" w14:textId="77777777" w:rsidR="003F0AD5" w:rsidRDefault="003F0AD5" w:rsidP="003F0AD5">
            <w:pPr>
              <w:pStyle w:val="TableBody"/>
              <w:cnfStyle w:val="000000000000" w:firstRow="0" w:lastRow="0" w:firstColumn="0" w:lastColumn="0" w:oddVBand="0" w:evenVBand="0" w:oddHBand="0" w:evenHBand="0" w:firstRowFirstColumn="0" w:firstRowLastColumn="0" w:lastRowFirstColumn="0" w:lastRowLastColumn="0"/>
            </w:pPr>
            <w:r w:rsidRPr="003F0AD5">
              <w:rPr>
                <w:rStyle w:val="CharacterBold"/>
              </w:rPr>
              <w:t>Scope:</w:t>
            </w:r>
            <w:r>
              <w:t xml:space="preserve"> Operations, maintenance, and modernization of 80+ mission-critical applications. Scope includes system operations, software development, Tier III production support, </w:t>
            </w:r>
            <w:proofErr w:type="spellStart"/>
            <w:r>
              <w:t>DevSecOps</w:t>
            </w:r>
            <w:proofErr w:type="spellEnd"/>
            <w:r>
              <w:t xml:space="preserve"> delivery, and mission-critical system transitions.</w:t>
            </w:r>
          </w:p>
          <w:p w14:paraId="15CF41BA" w14:textId="77777777" w:rsidR="003F0AD5" w:rsidRDefault="003F0AD5" w:rsidP="003F0AD5">
            <w:pPr>
              <w:pStyle w:val="TableBody"/>
              <w:cnfStyle w:val="000000000000" w:firstRow="0" w:lastRow="0" w:firstColumn="0" w:lastColumn="0" w:oddVBand="0" w:evenVBand="0" w:oddHBand="0" w:evenHBand="0" w:firstRowFirstColumn="0" w:firstRowLastColumn="0" w:lastRowFirstColumn="0" w:lastRowLastColumn="0"/>
            </w:pPr>
            <w:r w:rsidRPr="003F0AD5">
              <w:rPr>
                <w:rStyle w:val="CharacterBold"/>
              </w:rPr>
              <w:t>Complexity:</w:t>
            </w:r>
            <w:r>
              <w:t xml:space="preserve"> 80+ applications, 240+ global posts, 21K+ tickets annually, 200+ deployments per year, geographically dispersed multi-system environment, FISMA Moderate compliance</w:t>
            </w:r>
          </w:p>
          <w:p w14:paraId="4B1929E7" w14:textId="77777777" w:rsidR="00A9173D" w:rsidRDefault="003F0AD5" w:rsidP="003F0AD5">
            <w:pPr>
              <w:pStyle w:val="TableBody"/>
              <w:cnfStyle w:val="000000000000" w:firstRow="0" w:lastRow="0" w:firstColumn="0" w:lastColumn="0" w:oddVBand="0" w:evenVBand="0" w:oddHBand="0" w:evenHBand="0" w:firstRowFirstColumn="0" w:firstRowLastColumn="0" w:lastRowFirstColumn="0" w:lastRowLastColumn="0"/>
            </w:pPr>
            <w:r w:rsidRPr="003F0AD5">
              <w:rPr>
                <w:rStyle w:val="CharacterBold"/>
              </w:rPr>
              <w:lastRenderedPageBreak/>
              <w:t>Technological Landscape:</w:t>
            </w:r>
            <w:r>
              <w:t xml:space="preserve"> FISMA Moderate, </w:t>
            </w:r>
            <w:proofErr w:type="spellStart"/>
            <w:r>
              <w:t>DevSecOps</w:t>
            </w:r>
            <w:proofErr w:type="spellEnd"/>
            <w:r>
              <w:t>, Agile delivery, continuous deployment pipelines</w:t>
            </w:r>
          </w:p>
        </w:tc>
        <w:tc>
          <w:tcPr>
            <w:tcW w:w="990" w:type="dxa"/>
          </w:tcPr>
          <w:p w14:paraId="1F6958A3"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80" w:type="dxa"/>
          </w:tcPr>
          <w:p w14:paraId="277A3743" w14:textId="77777777" w:rsidR="00A9173D" w:rsidRDefault="00A9173D" w:rsidP="005928F2">
            <w:pPr>
              <w:pStyle w:val="TableBody"/>
              <w:cnfStyle w:val="000000000000" w:firstRow="0" w:lastRow="0" w:firstColumn="0" w:lastColumn="0" w:oddVBand="0" w:evenVBand="0" w:oddHBand="0" w:evenHBand="0" w:firstRowFirstColumn="0" w:firstRowLastColumn="0" w:lastRowFirstColumn="0" w:lastRowLastColumn="0"/>
            </w:pPr>
          </w:p>
        </w:tc>
        <w:tc>
          <w:tcPr>
            <w:tcW w:w="810" w:type="dxa"/>
          </w:tcPr>
          <w:p w14:paraId="16A6DB36"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80" w:type="dxa"/>
            <w:gridSpan w:val="2"/>
          </w:tcPr>
          <w:p w14:paraId="1A34603D"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900" w:type="dxa"/>
            <w:gridSpan w:val="2"/>
          </w:tcPr>
          <w:p w14:paraId="665CD1C9"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927" w:type="dxa"/>
            <w:gridSpan w:val="2"/>
          </w:tcPr>
          <w:p w14:paraId="11E8ECC1"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73" w:type="dxa"/>
            <w:gridSpan w:val="2"/>
          </w:tcPr>
          <w:p w14:paraId="2FCF6EB2" w14:textId="77777777" w:rsidR="005928F2" w:rsidRDefault="005928F2" w:rsidP="005928F2">
            <w:pPr>
              <w:pStyle w:val="TableCheckmark"/>
              <w:cnfStyle w:val="000000000000" w:firstRow="0" w:lastRow="0" w:firstColumn="0" w:lastColumn="0" w:oddVBand="0" w:evenVBand="0" w:oddHBand="0" w:evenHBand="0" w:firstRowFirstColumn="0" w:firstRowLastColumn="0" w:lastRowFirstColumn="0" w:lastRowLastColumn="0"/>
            </w:pPr>
          </w:p>
        </w:tc>
        <w:tc>
          <w:tcPr>
            <w:tcW w:w="1055" w:type="dxa"/>
          </w:tcPr>
          <w:p w14:paraId="43D6808D" w14:textId="77777777" w:rsidR="005928F2" w:rsidRDefault="005928F2" w:rsidP="005928F2">
            <w:pPr>
              <w:pStyle w:val="TableCheckmark"/>
              <w:cnfStyle w:val="000000000000" w:firstRow="0" w:lastRow="0" w:firstColumn="0" w:lastColumn="0" w:oddVBand="0" w:evenVBand="0" w:oddHBand="0" w:evenHBand="0" w:firstRowFirstColumn="0" w:firstRowLastColumn="0" w:lastRowFirstColumn="0" w:lastRowLastColumn="0"/>
            </w:pPr>
          </w:p>
        </w:tc>
      </w:tr>
      <w:tr w:rsidR="00A9173D" w14:paraId="4DF11CDB" w14:textId="77777777" w:rsidTr="005928F2">
        <w:tc>
          <w:tcPr>
            <w:cnfStyle w:val="001000000000" w:firstRow="0" w:lastRow="0" w:firstColumn="1" w:lastColumn="0" w:oddVBand="0" w:evenVBand="0" w:oddHBand="0" w:evenHBand="0" w:firstRowFirstColumn="0" w:firstRowLastColumn="0" w:lastRowFirstColumn="0" w:lastRowLastColumn="0"/>
            <w:tcW w:w="1374" w:type="dxa"/>
          </w:tcPr>
          <w:p w14:paraId="1F40E142" w14:textId="77777777" w:rsidR="00A9173D" w:rsidRDefault="005928F2">
            <w:pPr>
              <w:pStyle w:val="TableRowHeading"/>
            </w:pPr>
            <w:r w:rsidRPr="002B6BA8">
              <w:lastRenderedPageBreak/>
              <w:t>State of Washington</w:t>
            </w:r>
          </w:p>
        </w:tc>
        <w:tc>
          <w:tcPr>
            <w:tcW w:w="961" w:type="dxa"/>
          </w:tcPr>
          <w:p w14:paraId="170E5D12" w14:textId="77777777" w:rsidR="00A9173D" w:rsidRDefault="005928F2" w:rsidP="005928F2">
            <w:pPr>
              <w:pStyle w:val="TableBody"/>
              <w:cnfStyle w:val="000000000000" w:firstRow="0" w:lastRow="0" w:firstColumn="0" w:lastColumn="0" w:oddVBand="0" w:evenVBand="0" w:oddHBand="0" w:evenHBand="0" w:firstRowFirstColumn="0" w:firstRowLastColumn="0" w:lastRowFirstColumn="0" w:lastRowLastColumn="0"/>
            </w:pPr>
            <w:r w:rsidRPr="0027673C">
              <w:t>Apr 2012 – Jun 2028</w:t>
            </w:r>
          </w:p>
        </w:tc>
        <w:tc>
          <w:tcPr>
            <w:tcW w:w="2700" w:type="dxa"/>
          </w:tcPr>
          <w:p w14:paraId="1D1548F1" w14:textId="77777777" w:rsidR="003F0AD5" w:rsidRDefault="003F0AD5" w:rsidP="003F0AD5">
            <w:pPr>
              <w:pStyle w:val="TableBody"/>
              <w:cnfStyle w:val="000000000000" w:firstRow="0" w:lastRow="0" w:firstColumn="0" w:lastColumn="0" w:oddVBand="0" w:evenVBand="0" w:oddHBand="0" w:evenHBand="0" w:firstRowFirstColumn="0" w:firstRowLastColumn="0" w:lastRowFirstColumn="0" w:lastRowLastColumn="0"/>
            </w:pPr>
            <w:r>
              <w:t>Deloitte provides continuous 24/7 O&amp;M support for a fully functional state-based exchange (SBE) supporting 1.5 million Medicaid enrollees, maintaining 99.9% high availability and deploying major enhancement releases every six weeks. The engagement scope mirrors the FFE including eligibility, enrollment, interfaces, correspondence, plan management, administration, reporting, and Form 1095-A generation and validation delivered directly to consumers.</w:t>
            </w:r>
          </w:p>
          <w:p w14:paraId="549C1161" w14:textId="77777777" w:rsidR="003F0AD5" w:rsidRDefault="003F0AD5" w:rsidP="003F0AD5">
            <w:pPr>
              <w:pStyle w:val="TableBody"/>
              <w:cnfStyle w:val="000000000000" w:firstRow="0" w:lastRow="0" w:firstColumn="0" w:lastColumn="0" w:oddVBand="0" w:evenVBand="0" w:oddHBand="0" w:evenHBand="0" w:firstRowFirstColumn="0" w:firstRowLastColumn="0" w:lastRowFirstColumn="0" w:lastRowLastColumn="0"/>
            </w:pPr>
            <w:r w:rsidRPr="00C52B8C">
              <w:rPr>
                <w:rStyle w:val="CharacterBold"/>
              </w:rPr>
              <w:t>Size:</w:t>
            </w:r>
            <w:r>
              <w:t xml:space="preserve"> State; $196.5M contract value</w:t>
            </w:r>
          </w:p>
          <w:p w14:paraId="02538930" w14:textId="77777777" w:rsidR="003F0AD5" w:rsidRDefault="003F0AD5" w:rsidP="003F0AD5">
            <w:pPr>
              <w:pStyle w:val="TableBody"/>
              <w:cnfStyle w:val="000000000000" w:firstRow="0" w:lastRow="0" w:firstColumn="0" w:lastColumn="0" w:oddVBand="0" w:evenVBand="0" w:oddHBand="0" w:evenHBand="0" w:firstRowFirstColumn="0" w:firstRowLastColumn="0" w:lastRowFirstColumn="0" w:lastRowLastColumn="0"/>
            </w:pPr>
            <w:r w:rsidRPr="003F0AD5">
              <w:rPr>
                <w:rStyle w:val="CharacterBold"/>
              </w:rPr>
              <w:t>Scope:</w:t>
            </w:r>
            <w:r>
              <w:t xml:space="preserve"> Full O&amp;M support for state-based exchange including eligibility, enrollment, interfaces, correspondence, plan management, administration, reporting, and Form 1095-A generation.</w:t>
            </w:r>
          </w:p>
          <w:p w14:paraId="59C2ACD6" w14:textId="77777777" w:rsidR="003F0AD5" w:rsidRDefault="003F0AD5" w:rsidP="003F0AD5">
            <w:pPr>
              <w:pStyle w:val="TableBody"/>
              <w:cnfStyle w:val="000000000000" w:firstRow="0" w:lastRow="0" w:firstColumn="0" w:lastColumn="0" w:oddVBand="0" w:evenVBand="0" w:oddHBand="0" w:evenHBand="0" w:firstRowFirstColumn="0" w:firstRowLastColumn="0" w:lastRowFirstColumn="0" w:lastRowLastColumn="0"/>
            </w:pPr>
            <w:r w:rsidRPr="003F0AD5">
              <w:rPr>
                <w:rStyle w:val="CharacterBold"/>
              </w:rPr>
              <w:t>Complexity:</w:t>
            </w:r>
            <w:r>
              <w:t xml:space="preserve"> 1.5M Medicaid </w:t>
            </w:r>
            <w:proofErr w:type="gramStart"/>
            <w:r>
              <w:t>enrollees</w:t>
            </w:r>
            <w:proofErr w:type="gramEnd"/>
            <w:r>
              <w:t xml:space="preserve">, 99.9% availability SLA, </w:t>
            </w:r>
            <w:r>
              <w:lastRenderedPageBreak/>
              <w:t>bi-weekly release cadences, cyclical Open Enrollment peak demand, multi-stakeholder coordination across state and federal entities</w:t>
            </w:r>
          </w:p>
          <w:p w14:paraId="1C6D62A4" w14:textId="77777777" w:rsidR="00A9173D" w:rsidRDefault="003F0AD5" w:rsidP="003F0AD5">
            <w:pPr>
              <w:pStyle w:val="TableBody"/>
              <w:cnfStyle w:val="000000000000" w:firstRow="0" w:lastRow="0" w:firstColumn="0" w:lastColumn="0" w:oddVBand="0" w:evenVBand="0" w:oddHBand="0" w:evenHBand="0" w:firstRowFirstColumn="0" w:firstRowLastColumn="0" w:lastRowFirstColumn="0" w:lastRowLastColumn="0"/>
            </w:pPr>
            <w:r w:rsidRPr="003F0AD5">
              <w:rPr>
                <w:rStyle w:val="CharacterBold"/>
              </w:rPr>
              <w:t>Technological Landscape:</w:t>
            </w:r>
            <w:r>
              <w:t xml:space="preserve"> FedRAMP Moderate, public-facing health insurance exchange environment</w:t>
            </w:r>
          </w:p>
        </w:tc>
        <w:tc>
          <w:tcPr>
            <w:tcW w:w="990" w:type="dxa"/>
          </w:tcPr>
          <w:p w14:paraId="2B6DF057"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80" w:type="dxa"/>
          </w:tcPr>
          <w:p w14:paraId="33AA0D60" w14:textId="77777777" w:rsidR="00A9173D" w:rsidRDefault="00A9173D">
            <w:pPr>
              <w:pStyle w:val="TableBody"/>
              <w:cnfStyle w:val="000000000000" w:firstRow="0" w:lastRow="0" w:firstColumn="0" w:lastColumn="0" w:oddVBand="0" w:evenVBand="0" w:oddHBand="0" w:evenHBand="0" w:firstRowFirstColumn="0" w:firstRowLastColumn="0" w:lastRowFirstColumn="0" w:lastRowLastColumn="0"/>
            </w:pPr>
          </w:p>
        </w:tc>
        <w:tc>
          <w:tcPr>
            <w:tcW w:w="810" w:type="dxa"/>
          </w:tcPr>
          <w:p w14:paraId="1DCFF890"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80" w:type="dxa"/>
            <w:gridSpan w:val="2"/>
          </w:tcPr>
          <w:p w14:paraId="4E7F7A3D"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900" w:type="dxa"/>
            <w:gridSpan w:val="2"/>
          </w:tcPr>
          <w:p w14:paraId="0B814C68"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927" w:type="dxa"/>
            <w:gridSpan w:val="2"/>
          </w:tcPr>
          <w:p w14:paraId="7A5CE7E0"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73" w:type="dxa"/>
            <w:gridSpan w:val="2"/>
          </w:tcPr>
          <w:p w14:paraId="5938821F"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55" w:type="dxa"/>
          </w:tcPr>
          <w:p w14:paraId="67E4C1F1"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r>
      <w:tr w:rsidR="00A9173D" w14:paraId="43904094" w14:textId="77777777" w:rsidTr="005928F2">
        <w:tc>
          <w:tcPr>
            <w:cnfStyle w:val="001000000000" w:firstRow="0" w:lastRow="0" w:firstColumn="1" w:lastColumn="0" w:oddVBand="0" w:evenVBand="0" w:oddHBand="0" w:evenHBand="0" w:firstRowFirstColumn="0" w:firstRowLastColumn="0" w:lastRowFirstColumn="0" w:lastRowLastColumn="0"/>
            <w:tcW w:w="1374" w:type="dxa"/>
          </w:tcPr>
          <w:p w14:paraId="35ECE363" w14:textId="77777777" w:rsidR="00A9173D" w:rsidRDefault="005928F2">
            <w:pPr>
              <w:pStyle w:val="TableRowHeading"/>
            </w:pPr>
            <w:r w:rsidRPr="002B6BA8">
              <w:t>California Healthcare Eligibility, Enrollment, and Retention System (</w:t>
            </w:r>
            <w:proofErr w:type="spellStart"/>
            <w:r w:rsidRPr="002B6BA8">
              <w:t>CalHEERS</w:t>
            </w:r>
            <w:proofErr w:type="spellEnd"/>
            <w:r w:rsidRPr="002B6BA8">
              <w:t>) / State of California</w:t>
            </w:r>
          </w:p>
        </w:tc>
        <w:tc>
          <w:tcPr>
            <w:tcW w:w="961" w:type="dxa"/>
          </w:tcPr>
          <w:p w14:paraId="5BDC2108" w14:textId="77777777" w:rsidR="00A9173D" w:rsidRDefault="005928F2" w:rsidP="005928F2">
            <w:pPr>
              <w:pStyle w:val="TableBody"/>
              <w:cnfStyle w:val="000000000000" w:firstRow="0" w:lastRow="0" w:firstColumn="0" w:lastColumn="0" w:oddVBand="0" w:evenVBand="0" w:oddHBand="0" w:evenHBand="0" w:firstRowFirstColumn="0" w:firstRowLastColumn="0" w:lastRowFirstColumn="0" w:lastRowLastColumn="0"/>
            </w:pPr>
            <w:r w:rsidRPr="0027673C">
              <w:t>Sep 2019 – Jun 2027</w:t>
            </w:r>
          </w:p>
        </w:tc>
        <w:tc>
          <w:tcPr>
            <w:tcW w:w="2700" w:type="dxa"/>
          </w:tcPr>
          <w:p w14:paraId="26EC2878" w14:textId="77777777" w:rsidR="00030E60" w:rsidRDefault="00030E60" w:rsidP="00C95572">
            <w:pPr>
              <w:pStyle w:val="TableBody"/>
              <w:cnfStyle w:val="000000000000" w:firstRow="0" w:lastRow="0" w:firstColumn="0" w:lastColumn="0" w:oddVBand="0" w:evenVBand="0" w:oddHBand="0" w:evenHBand="0" w:firstRowFirstColumn="0" w:firstRowLastColumn="0" w:lastRowFirstColumn="0" w:lastRowLastColumn="0"/>
            </w:pPr>
            <w:proofErr w:type="spellStart"/>
            <w:r>
              <w:t>CalHEERS</w:t>
            </w:r>
            <w:proofErr w:type="spellEnd"/>
            <w:r>
              <w:t xml:space="preserve"> is a critical public-facing platform available to all 39 million Californians 24/7 to search, compare, and access affordable health care options that meet their unique health care needs. </w:t>
            </w:r>
            <w:proofErr w:type="spellStart"/>
            <w:r>
              <w:t>CalHEERS</w:t>
            </w:r>
            <w:proofErr w:type="spellEnd"/>
            <w:r>
              <w:t xml:space="preserve"> provides functionality to support a multitude of programs related to health care enrollment, including eligibility, plan preview and selection, and ongoing retention including management of available health care plans and affordability options. Deloitte serves as the System Integrator (SI) vendor for </w:t>
            </w:r>
            <w:proofErr w:type="spellStart"/>
            <w:r>
              <w:t>CalHEERS</w:t>
            </w:r>
            <w:proofErr w:type="spellEnd"/>
            <w:r>
              <w:t xml:space="preserve"> and provides system development, maintenance, and operations (SDMO) services. Deloitte modernized </w:t>
            </w:r>
            <w:proofErr w:type="spellStart"/>
            <w:r>
              <w:t>CalHEERS</w:t>
            </w:r>
            <w:proofErr w:type="spellEnd"/>
            <w:r>
              <w:t xml:space="preserve"> to support over 55 million daily transactions and over 36,000 daily users on average during OE </w:t>
            </w:r>
            <w:r>
              <w:lastRenderedPageBreak/>
              <w:t xml:space="preserve">periods, serving 149,000 user visits and 112 million transactions per day at peak OE. Deloitte has also transitioned </w:t>
            </w:r>
            <w:proofErr w:type="spellStart"/>
            <w:r>
              <w:t>CalHEERS</w:t>
            </w:r>
            <w:proofErr w:type="spellEnd"/>
            <w:r>
              <w:t xml:space="preserve"> to a modernized cloud data and analytics platform capable of tackling complex business questions related to eligibility analytics, enrollment analytics, plan choice analytics, and transition analytics.</w:t>
            </w:r>
          </w:p>
          <w:p w14:paraId="4CD94109" w14:textId="77777777" w:rsidR="00030E60" w:rsidRDefault="00030E60" w:rsidP="00C95572">
            <w:pPr>
              <w:pStyle w:val="TableBody"/>
              <w:cnfStyle w:val="000000000000" w:firstRow="0" w:lastRow="0" w:firstColumn="0" w:lastColumn="0" w:oddVBand="0" w:evenVBand="0" w:oddHBand="0" w:evenHBand="0" w:firstRowFirstColumn="0" w:firstRowLastColumn="0" w:lastRowFirstColumn="0" w:lastRowLastColumn="0"/>
            </w:pPr>
            <w:r w:rsidRPr="00CA185A">
              <w:rPr>
                <w:rStyle w:val="CharacterBold"/>
              </w:rPr>
              <w:t>Size:</w:t>
            </w:r>
            <w:r>
              <w:rPr>
                <w:b/>
              </w:rPr>
              <w:t xml:space="preserve"> </w:t>
            </w:r>
            <w:r>
              <w:t>State; $900+ million, 7-year program, 800+ FTEs</w:t>
            </w:r>
          </w:p>
          <w:p w14:paraId="45A0CE03" w14:textId="77777777" w:rsidR="00030E60" w:rsidRDefault="00030E60" w:rsidP="00C95572">
            <w:pPr>
              <w:pStyle w:val="TableBody"/>
              <w:cnfStyle w:val="000000000000" w:firstRow="0" w:lastRow="0" w:firstColumn="0" w:lastColumn="0" w:oddVBand="0" w:evenVBand="0" w:oddHBand="0" w:evenHBand="0" w:firstRowFirstColumn="0" w:firstRowLastColumn="0" w:lastRowFirstColumn="0" w:lastRowLastColumn="0"/>
            </w:pPr>
            <w:r w:rsidRPr="00CA185A">
              <w:rPr>
                <w:rStyle w:val="CharacterBold"/>
              </w:rPr>
              <w:t>Scope:</w:t>
            </w:r>
            <w:r>
              <w:rPr>
                <w:b/>
              </w:rPr>
              <w:t xml:space="preserve"> </w:t>
            </w:r>
            <w:r>
              <w:t xml:space="preserve">Deloitte serves as the System Integrator (SI) vendor for </w:t>
            </w:r>
            <w:proofErr w:type="spellStart"/>
            <w:r>
              <w:t>CalHEERS</w:t>
            </w:r>
            <w:proofErr w:type="spellEnd"/>
            <w:r>
              <w:t xml:space="preserve"> and provides system development, maintenance, and operations (SDMO) services. Deloitte also provides enhancements, security, maintenance, subcontractor, and product vendor management, 24/7 help desk support, and ongoing operations of core applications.</w:t>
            </w:r>
          </w:p>
          <w:p w14:paraId="450C1777" w14:textId="77777777" w:rsidR="00030E60" w:rsidRDefault="00030E60" w:rsidP="00C95572">
            <w:pPr>
              <w:pStyle w:val="TableBody"/>
              <w:cnfStyle w:val="000000000000" w:firstRow="0" w:lastRow="0" w:firstColumn="0" w:lastColumn="0" w:oddVBand="0" w:evenVBand="0" w:oddHBand="0" w:evenHBand="0" w:firstRowFirstColumn="0" w:firstRowLastColumn="0" w:lastRowFirstColumn="0" w:lastRowLastColumn="0"/>
            </w:pPr>
            <w:r w:rsidRPr="00CA185A">
              <w:rPr>
                <w:rStyle w:val="CharacterBold"/>
              </w:rPr>
              <w:t>Complexity:</w:t>
            </w:r>
            <w:r>
              <w:rPr>
                <w:b/>
              </w:rPr>
              <w:t xml:space="preserve"> </w:t>
            </w:r>
            <w:r>
              <w:t xml:space="preserve">10 Applications (2 COTS), 41 External Systems (30 Real Time), 7.7M Users, Multiple locations, working with 10+ contractors, supporting 100+ SW </w:t>
            </w:r>
            <w:r>
              <w:lastRenderedPageBreak/>
              <w:t>products across vendors in this multi-vendor environment</w:t>
            </w:r>
          </w:p>
          <w:p w14:paraId="7BED09EB" w14:textId="77777777" w:rsidR="00A9173D" w:rsidRDefault="00030E60">
            <w:pPr>
              <w:pStyle w:val="TableBody"/>
              <w:cnfStyle w:val="000000000000" w:firstRow="0" w:lastRow="0" w:firstColumn="0" w:lastColumn="0" w:oddVBand="0" w:evenVBand="0" w:oddHBand="0" w:evenHBand="0" w:firstRowFirstColumn="0" w:firstRowLastColumn="0" w:lastRowFirstColumn="0" w:lastRowLastColumn="0"/>
            </w:pPr>
            <w:r w:rsidRPr="00CA185A">
              <w:rPr>
                <w:rStyle w:val="CharacterBold"/>
              </w:rPr>
              <w:t>Technological Landscape:</w:t>
            </w:r>
            <w:r>
              <w:rPr>
                <w:b/>
              </w:rPr>
              <w:t xml:space="preserve"> </w:t>
            </w:r>
            <w:r>
              <w:t xml:space="preserve">Microservice architecture, Java, OpenShift, Aurora </w:t>
            </w:r>
            <w:proofErr w:type="spellStart"/>
            <w:r>
              <w:t>PostgresSQL</w:t>
            </w:r>
            <w:proofErr w:type="spellEnd"/>
            <w:r>
              <w:t xml:space="preserve">, Oracle, Amazon Web Services (AWS) – Amazon EC2, AWS Snowball, Amazon S3, Amazon EBS, Amazon EFS, AWS Direct Connect, Salesforce, GitLab, SonarQube, Splunk, Jenkins, Selenium, Dynatrace, LoadRunner, Snowflake, Tableau Server, Autosys, Databricks, </w:t>
            </w:r>
            <w:proofErr w:type="spellStart"/>
            <w:r>
              <w:t>PySpark</w:t>
            </w:r>
            <w:proofErr w:type="spellEnd"/>
            <w:r>
              <w:t xml:space="preserve"> Data Lake Builder</w:t>
            </w:r>
          </w:p>
        </w:tc>
        <w:tc>
          <w:tcPr>
            <w:tcW w:w="990" w:type="dxa"/>
          </w:tcPr>
          <w:p w14:paraId="4FA26678"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80" w:type="dxa"/>
          </w:tcPr>
          <w:p w14:paraId="2441EB3A" w14:textId="77777777" w:rsidR="00A9173D" w:rsidRDefault="00A9173D">
            <w:pPr>
              <w:pStyle w:val="TableBody"/>
              <w:cnfStyle w:val="000000000000" w:firstRow="0" w:lastRow="0" w:firstColumn="0" w:lastColumn="0" w:oddVBand="0" w:evenVBand="0" w:oddHBand="0" w:evenHBand="0" w:firstRowFirstColumn="0" w:firstRowLastColumn="0" w:lastRowFirstColumn="0" w:lastRowLastColumn="0"/>
            </w:pPr>
          </w:p>
        </w:tc>
        <w:tc>
          <w:tcPr>
            <w:tcW w:w="810" w:type="dxa"/>
          </w:tcPr>
          <w:p w14:paraId="0FE9DD8D"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80" w:type="dxa"/>
            <w:gridSpan w:val="2"/>
          </w:tcPr>
          <w:p w14:paraId="19E516A8"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900" w:type="dxa"/>
            <w:gridSpan w:val="2"/>
          </w:tcPr>
          <w:p w14:paraId="04A2F9DC"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927" w:type="dxa"/>
            <w:gridSpan w:val="2"/>
          </w:tcPr>
          <w:p w14:paraId="7B5823B1"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73" w:type="dxa"/>
            <w:gridSpan w:val="2"/>
          </w:tcPr>
          <w:p w14:paraId="7F5E3508"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55" w:type="dxa"/>
          </w:tcPr>
          <w:p w14:paraId="5C257E4C" w14:textId="77777777" w:rsidR="00030E60" w:rsidRDefault="00030E60" w:rsidP="00030E60">
            <w:pPr>
              <w:pStyle w:val="TableBody"/>
              <w:cnfStyle w:val="000000000000" w:firstRow="0" w:lastRow="0" w:firstColumn="0" w:lastColumn="0" w:oddVBand="0" w:evenVBand="0" w:oddHBand="0" w:evenHBand="0" w:firstRowFirstColumn="0" w:firstRowLastColumn="0" w:lastRowFirstColumn="0" w:lastRowLastColumn="0"/>
            </w:pPr>
          </w:p>
          <w:p w14:paraId="256B1655" w14:textId="77777777" w:rsidR="002A34E2" w:rsidRPr="002A34E2" w:rsidRDefault="002A34E2" w:rsidP="002A34E2">
            <w:pPr>
              <w:cnfStyle w:val="000000000000" w:firstRow="0" w:lastRow="0" w:firstColumn="0" w:lastColumn="0" w:oddVBand="0" w:evenVBand="0" w:oddHBand="0" w:evenHBand="0" w:firstRowFirstColumn="0" w:firstRowLastColumn="0" w:lastRowFirstColumn="0" w:lastRowLastColumn="0"/>
            </w:pPr>
          </w:p>
          <w:p w14:paraId="184483DD" w14:textId="77777777" w:rsidR="002A34E2" w:rsidRPr="002A34E2" w:rsidRDefault="002A34E2" w:rsidP="002A34E2">
            <w:pPr>
              <w:cnfStyle w:val="000000000000" w:firstRow="0" w:lastRow="0" w:firstColumn="0" w:lastColumn="0" w:oddVBand="0" w:evenVBand="0" w:oddHBand="0" w:evenHBand="0" w:firstRowFirstColumn="0" w:firstRowLastColumn="0" w:lastRowFirstColumn="0" w:lastRowLastColumn="0"/>
            </w:pPr>
          </w:p>
          <w:p w14:paraId="1783659E" w14:textId="77777777" w:rsidR="002A34E2" w:rsidRPr="002A34E2" w:rsidRDefault="002A34E2" w:rsidP="002A34E2">
            <w:pPr>
              <w:cnfStyle w:val="000000000000" w:firstRow="0" w:lastRow="0" w:firstColumn="0" w:lastColumn="0" w:oddVBand="0" w:evenVBand="0" w:oddHBand="0" w:evenHBand="0" w:firstRowFirstColumn="0" w:firstRowLastColumn="0" w:lastRowFirstColumn="0" w:lastRowLastColumn="0"/>
            </w:pPr>
          </w:p>
          <w:p w14:paraId="26DE17F2" w14:textId="77777777" w:rsidR="002A34E2" w:rsidRPr="002A34E2" w:rsidRDefault="002A34E2" w:rsidP="002A34E2">
            <w:pPr>
              <w:cnfStyle w:val="000000000000" w:firstRow="0" w:lastRow="0" w:firstColumn="0" w:lastColumn="0" w:oddVBand="0" w:evenVBand="0" w:oddHBand="0" w:evenHBand="0" w:firstRowFirstColumn="0" w:firstRowLastColumn="0" w:lastRowFirstColumn="0" w:lastRowLastColumn="0"/>
            </w:pPr>
          </w:p>
          <w:p w14:paraId="31496593" w14:textId="77777777" w:rsidR="002A34E2" w:rsidRPr="002A34E2" w:rsidRDefault="002A34E2" w:rsidP="002A34E2">
            <w:pPr>
              <w:cnfStyle w:val="000000000000" w:firstRow="0" w:lastRow="0" w:firstColumn="0" w:lastColumn="0" w:oddVBand="0" w:evenVBand="0" w:oddHBand="0" w:evenHBand="0" w:firstRowFirstColumn="0" w:firstRowLastColumn="0" w:lastRowFirstColumn="0" w:lastRowLastColumn="0"/>
            </w:pPr>
          </w:p>
          <w:p w14:paraId="67CA76E4" w14:textId="77777777" w:rsidR="002A34E2" w:rsidRPr="002A34E2" w:rsidRDefault="002A34E2" w:rsidP="002A34E2">
            <w:pPr>
              <w:cnfStyle w:val="000000000000" w:firstRow="0" w:lastRow="0" w:firstColumn="0" w:lastColumn="0" w:oddVBand="0" w:evenVBand="0" w:oddHBand="0" w:evenHBand="0" w:firstRowFirstColumn="0" w:firstRowLastColumn="0" w:lastRowFirstColumn="0" w:lastRowLastColumn="0"/>
            </w:pPr>
          </w:p>
          <w:p w14:paraId="5D3FF566" w14:textId="77777777" w:rsidR="002A34E2" w:rsidRDefault="002A34E2" w:rsidP="002A34E2">
            <w:pPr>
              <w:cnfStyle w:val="000000000000" w:firstRow="0" w:lastRow="0" w:firstColumn="0" w:lastColumn="0" w:oddVBand="0" w:evenVBand="0" w:oddHBand="0" w:evenHBand="0" w:firstRowFirstColumn="0" w:firstRowLastColumn="0" w:lastRowFirstColumn="0" w:lastRowLastColumn="0"/>
            </w:pPr>
          </w:p>
          <w:p w14:paraId="79B62B75" w14:textId="77777777" w:rsidR="002A34E2" w:rsidRPr="002A34E2" w:rsidRDefault="002A34E2" w:rsidP="002A34E2">
            <w:pPr>
              <w:cnfStyle w:val="000000000000" w:firstRow="0" w:lastRow="0" w:firstColumn="0" w:lastColumn="0" w:oddVBand="0" w:evenVBand="0" w:oddHBand="0" w:evenHBand="0" w:firstRowFirstColumn="0" w:firstRowLastColumn="0" w:lastRowFirstColumn="0" w:lastRowLastColumn="0"/>
            </w:pPr>
          </w:p>
          <w:p w14:paraId="5CAE2CCD" w14:textId="77777777" w:rsidR="002A34E2" w:rsidRPr="002A34E2" w:rsidRDefault="002A34E2" w:rsidP="002A34E2">
            <w:pPr>
              <w:cnfStyle w:val="000000000000" w:firstRow="0" w:lastRow="0" w:firstColumn="0" w:lastColumn="0" w:oddVBand="0" w:evenVBand="0" w:oddHBand="0" w:evenHBand="0" w:firstRowFirstColumn="0" w:firstRowLastColumn="0" w:lastRowFirstColumn="0" w:lastRowLastColumn="0"/>
            </w:pPr>
          </w:p>
          <w:p w14:paraId="20F993B5" w14:textId="77777777" w:rsidR="002A34E2" w:rsidRDefault="002A34E2" w:rsidP="002A34E2">
            <w:pPr>
              <w:cnfStyle w:val="000000000000" w:firstRow="0" w:lastRow="0" w:firstColumn="0" w:lastColumn="0" w:oddVBand="0" w:evenVBand="0" w:oddHBand="0" w:evenHBand="0" w:firstRowFirstColumn="0" w:firstRowLastColumn="0" w:lastRowFirstColumn="0" w:lastRowLastColumn="0"/>
            </w:pPr>
          </w:p>
          <w:p w14:paraId="21A45B6D" w14:textId="77777777" w:rsidR="002A34E2" w:rsidRPr="002A34E2" w:rsidRDefault="002A34E2" w:rsidP="002A34E2">
            <w:pPr>
              <w:cnfStyle w:val="000000000000" w:firstRow="0" w:lastRow="0" w:firstColumn="0" w:lastColumn="0" w:oddVBand="0" w:evenVBand="0" w:oddHBand="0" w:evenHBand="0" w:firstRowFirstColumn="0" w:firstRowLastColumn="0" w:lastRowFirstColumn="0" w:lastRowLastColumn="0"/>
            </w:pPr>
          </w:p>
          <w:p w14:paraId="395421D1" w14:textId="77777777" w:rsidR="002A34E2" w:rsidRDefault="002A34E2" w:rsidP="002A34E2">
            <w:pPr>
              <w:cnfStyle w:val="000000000000" w:firstRow="0" w:lastRow="0" w:firstColumn="0" w:lastColumn="0" w:oddVBand="0" w:evenVBand="0" w:oddHBand="0" w:evenHBand="0" w:firstRowFirstColumn="0" w:firstRowLastColumn="0" w:lastRowFirstColumn="0" w:lastRowLastColumn="0"/>
            </w:pPr>
          </w:p>
          <w:p w14:paraId="6BA211C2" w14:textId="77777777" w:rsidR="005928F2" w:rsidRDefault="005928F2" w:rsidP="002A34E2">
            <w:pPr>
              <w:cnfStyle w:val="000000000000" w:firstRow="0" w:lastRow="0" w:firstColumn="0" w:lastColumn="0" w:oddVBand="0" w:evenVBand="0" w:oddHBand="0" w:evenHBand="0" w:firstRowFirstColumn="0" w:firstRowLastColumn="0" w:lastRowFirstColumn="0" w:lastRowLastColumn="0"/>
            </w:pPr>
          </w:p>
        </w:tc>
      </w:tr>
      <w:tr w:rsidR="00A9173D" w14:paraId="6E2EB712" w14:textId="77777777" w:rsidTr="005928F2">
        <w:tc>
          <w:tcPr>
            <w:cnfStyle w:val="001000000000" w:firstRow="0" w:lastRow="0" w:firstColumn="1" w:lastColumn="0" w:oddVBand="0" w:evenVBand="0" w:oddHBand="0" w:evenHBand="0" w:firstRowFirstColumn="0" w:firstRowLastColumn="0" w:lastRowFirstColumn="0" w:lastRowLastColumn="0"/>
            <w:tcW w:w="1374" w:type="dxa"/>
          </w:tcPr>
          <w:p w14:paraId="100A4669" w14:textId="77777777" w:rsidR="00A9173D" w:rsidRDefault="005928F2">
            <w:pPr>
              <w:pStyle w:val="TableRowHeading"/>
            </w:pPr>
            <w:r w:rsidRPr="002B6BA8">
              <w:lastRenderedPageBreak/>
              <w:t xml:space="preserve">Veteran Benefits Administration / VA Medical Disability Examination (MDE)</w:t>
            </w:r>
          </w:p>
        </w:tc>
        <w:tc>
          <w:tcPr>
            <w:tcW w:w="961" w:type="dxa"/>
          </w:tcPr>
          <w:p w14:paraId="753BD90C" w14:textId="77777777" w:rsidR="00A9173D" w:rsidRDefault="005928F2" w:rsidP="005928F2">
            <w:pPr>
              <w:pStyle w:val="TableBody"/>
              <w:cnfStyle w:val="000000000000" w:firstRow="0" w:lastRow="0" w:firstColumn="0" w:lastColumn="0" w:oddVBand="0" w:evenVBand="0" w:oddHBand="0" w:evenHBand="0" w:firstRowFirstColumn="0" w:firstRowLastColumn="0" w:lastRowFirstColumn="0" w:lastRowLastColumn="0"/>
            </w:pPr>
            <w:r w:rsidRPr="0027673C">
              <w:t>Oct 2024 – Dec 2026</w:t>
            </w:r>
          </w:p>
        </w:tc>
        <w:tc>
          <w:tcPr>
            <w:tcW w:w="2700" w:type="dxa"/>
          </w:tcPr>
          <w:p w14:paraId="14029653" w14:textId="77777777" w:rsidR="00E00132" w:rsidRDefault="00E00132" w:rsidP="00E00132">
            <w:pPr>
              <w:pStyle w:val="TableBody"/>
              <w:cnfStyle w:val="000000000000" w:firstRow="0" w:lastRow="0" w:firstColumn="0" w:lastColumn="0" w:oddVBand="0" w:evenVBand="0" w:oddHBand="0" w:evenHBand="0" w:firstRowFirstColumn="0" w:firstRowLastColumn="0" w:lastRowFirstColumn="0" w:lastRowLastColumn="0"/>
            </w:pPr>
            <w:r>
              <w:t xml:space="preserve">Cogent serves as the prime contractor on CMS's PPFMG Financial Management Operational Analytics (FMOA) program, a mission-critical Marketplace platform supporting issuer payment validation, reconciliation, and financial data integrity across systems that directly interface with ER&amp;R and the Federally Facilitated Exchange (FFE). The program requires deep knowledge of CMS/CCIIO operations, regulatory compliance, and the complex financial and enrollment data flows that underpin the Marketplace. Cogent has </w:t>
            </w:r>
            <w:r>
              <w:lastRenderedPageBreak/>
              <w:t>supported CMS and CCIIO continuously since 2009, bringing institutional knowledge of core Marketplace platforms and the financial management processes that directly align with ER&amp;R operational requirements.</w:t>
            </w:r>
          </w:p>
          <w:p w14:paraId="424DB675" w14:textId="77777777" w:rsidR="00E00132" w:rsidRDefault="00E00132" w:rsidP="00E00132">
            <w:pPr>
              <w:pStyle w:val="TableBody"/>
              <w:cnfStyle w:val="000000000000" w:firstRow="0" w:lastRow="0" w:firstColumn="0" w:lastColumn="0" w:oddVBand="0" w:evenVBand="0" w:oddHBand="0" w:evenHBand="0" w:firstRowFirstColumn="0" w:firstRowLastColumn="0" w:lastRowFirstColumn="0" w:lastRowLastColumn="0"/>
            </w:pPr>
            <w:r w:rsidRPr="00C838DB">
              <w:rPr>
                <w:rStyle w:val="CharacterBold"/>
              </w:rPr>
              <w:t>Size:</w:t>
            </w:r>
            <w:r>
              <w:t xml:space="preserve"> Federal; $31M contract value</w:t>
            </w:r>
          </w:p>
          <w:p w14:paraId="3A5D8B35" w14:textId="77777777" w:rsidR="00E00132" w:rsidRDefault="00E00132" w:rsidP="00E00132">
            <w:pPr>
              <w:pStyle w:val="TableBody"/>
              <w:cnfStyle w:val="000000000000" w:firstRow="0" w:lastRow="0" w:firstColumn="0" w:lastColumn="0" w:oddVBand="0" w:evenVBand="0" w:oddHBand="0" w:evenHBand="0" w:firstRowFirstColumn="0" w:firstRowLastColumn="0" w:lastRowFirstColumn="0" w:lastRowLastColumn="0"/>
            </w:pPr>
            <w:r w:rsidRPr="00C838DB">
              <w:rPr>
                <w:rStyle w:val="CharacterBold"/>
              </w:rPr>
              <w:t>Scope:</w:t>
            </w:r>
            <w:r>
              <w:t xml:space="preserve"> IT consulting, business consulting, software engineering, data analytics, program management, data strategy, and architecture integration. Scope includes issuer payment validation, reconciliation analytics, dispute resolution, 1095-A processing, root cause analysis, and rules automation across core Marketplace platforms.</w:t>
            </w:r>
          </w:p>
          <w:p w14:paraId="31B24EE4" w14:textId="77777777" w:rsidR="00E00132" w:rsidRDefault="00E00132" w:rsidP="00E00132">
            <w:pPr>
              <w:pStyle w:val="TableBody"/>
              <w:cnfStyle w:val="000000000000" w:firstRow="0" w:lastRow="0" w:firstColumn="0" w:lastColumn="0" w:oddVBand="0" w:evenVBand="0" w:oddHBand="0" w:evenHBand="0" w:firstRowFirstColumn="0" w:firstRowLastColumn="0" w:lastRowFirstColumn="0" w:lastRowLastColumn="0"/>
            </w:pPr>
            <w:r w:rsidRPr="00E00132">
              <w:rPr>
                <w:rStyle w:val="CharacterBold"/>
              </w:rPr>
              <w:t>Complexity:</w:t>
            </w:r>
            <w:r>
              <w:t xml:space="preserve"> Multi-system integration environment spanning DSH, MSI, MIDCAP, MIDAS, ES, FFE, ER&amp;R, and FFE interfaces; audit readiness and ongoing operational support across financial and enrollment data streams; continuous CMS/CCIIO engagement since 2009 across multiple program iterations</w:t>
            </w:r>
          </w:p>
          <w:p w14:paraId="2089441E" w14:textId="77777777" w:rsidR="00A9173D" w:rsidRDefault="00E00132">
            <w:pPr>
              <w:pStyle w:val="TableBody"/>
              <w:cnfStyle w:val="000000000000" w:firstRow="0" w:lastRow="0" w:firstColumn="0" w:lastColumn="0" w:oddVBand="0" w:evenVBand="0" w:oddHBand="0" w:evenHBand="0" w:firstRowFirstColumn="0" w:firstRowLastColumn="0" w:lastRowFirstColumn="0" w:lastRowLastColumn="0"/>
            </w:pPr>
            <w:r w:rsidRPr="00E00132">
              <w:rPr>
                <w:rStyle w:val="CharacterBold"/>
              </w:rPr>
              <w:lastRenderedPageBreak/>
              <w:t>Technological Landscape:</w:t>
            </w:r>
            <w:r>
              <w:t xml:space="preserve"> CMS Marketplace platforms (DSH, MSI, MIDCAP, MIDAS, ES, FFE), ER&amp;R and FFE system interfaces, reconciliation analytics, rules automation, financial data integrity controls, enrollment reconciliation architecture</w:t>
            </w:r>
          </w:p>
        </w:tc>
        <w:tc>
          <w:tcPr>
            <w:tcW w:w="990" w:type="dxa"/>
          </w:tcPr>
          <w:p w14:paraId="4D06EAB8"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80" w:type="dxa"/>
          </w:tcPr>
          <w:p w14:paraId="1D677B0C" w14:textId="77777777" w:rsidR="00A9173D" w:rsidRDefault="00A9173D">
            <w:pPr>
              <w:pStyle w:val="TableBody"/>
              <w:cnfStyle w:val="000000000000" w:firstRow="0" w:lastRow="0" w:firstColumn="0" w:lastColumn="0" w:oddVBand="0" w:evenVBand="0" w:oddHBand="0" w:evenHBand="0" w:firstRowFirstColumn="0" w:firstRowLastColumn="0" w:lastRowFirstColumn="0" w:lastRowLastColumn="0"/>
            </w:pPr>
          </w:p>
        </w:tc>
        <w:tc>
          <w:tcPr>
            <w:tcW w:w="810" w:type="dxa"/>
          </w:tcPr>
          <w:p w14:paraId="25E84BE9"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80" w:type="dxa"/>
            <w:gridSpan w:val="2"/>
          </w:tcPr>
          <w:p w14:paraId="5BB4E73C"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900" w:type="dxa"/>
            <w:gridSpan w:val="2"/>
          </w:tcPr>
          <w:p w14:paraId="4617CE79"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927" w:type="dxa"/>
            <w:gridSpan w:val="2"/>
          </w:tcPr>
          <w:p w14:paraId="1A58E475"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73" w:type="dxa"/>
            <w:gridSpan w:val="2"/>
          </w:tcPr>
          <w:p w14:paraId="5F411094"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55" w:type="dxa"/>
          </w:tcPr>
          <w:p w14:paraId="5E25E0D2"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r>
      <w:tr w:rsidR="005928F2" w14:paraId="6B9BAA1B" w14:textId="77777777" w:rsidTr="005928F2">
        <w:tc>
          <w:tcPr>
            <w:cnfStyle w:val="001000000000" w:firstRow="0" w:lastRow="0" w:firstColumn="1" w:lastColumn="0" w:oddVBand="0" w:evenVBand="0" w:oddHBand="0" w:evenHBand="0" w:firstRowFirstColumn="0" w:firstRowLastColumn="0" w:lastRowFirstColumn="0" w:lastRowLastColumn="0"/>
            <w:tcW w:w="1374" w:type="dxa"/>
          </w:tcPr>
          <w:p w14:paraId="11322521" w14:textId="77777777" w:rsidR="005928F2" w:rsidRDefault="005928F2" w:rsidP="005928F2">
            <w:pPr>
              <w:pStyle w:val="TableRowHeading"/>
            </w:pPr>
            <w:r w:rsidRPr="002B6BA8">
              <w:lastRenderedPageBreak/>
              <w:t>Veteran Health Administration / VA Connect</w:t>
            </w:r>
          </w:p>
        </w:tc>
        <w:tc>
          <w:tcPr>
            <w:tcW w:w="961" w:type="dxa"/>
          </w:tcPr>
          <w:p w14:paraId="4BC71291"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r w:rsidRPr="0027673C">
              <w:t>Jun 2022 – Sep 2024</w:t>
            </w:r>
          </w:p>
        </w:tc>
        <w:tc>
          <w:tcPr>
            <w:tcW w:w="2700" w:type="dxa"/>
          </w:tcPr>
          <w:p w14:paraId="2F202BA1"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990" w:type="dxa"/>
          </w:tcPr>
          <w:p w14:paraId="003688FF"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80" w:type="dxa"/>
            <w:gridSpan w:val="2"/>
          </w:tcPr>
          <w:p w14:paraId="47325961"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810" w:type="dxa"/>
          </w:tcPr>
          <w:p w14:paraId="719BC7A9"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80" w:type="dxa"/>
            <w:gridSpan w:val="2"/>
          </w:tcPr>
          <w:p w14:paraId="00479C6E"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900" w:type="dxa"/>
            <w:gridSpan w:val="2"/>
          </w:tcPr>
          <w:p w14:paraId="5648C927"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927" w:type="dxa"/>
            <w:gridSpan w:val="2"/>
          </w:tcPr>
          <w:p w14:paraId="4159C8EB"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73" w:type="dxa"/>
          </w:tcPr>
          <w:p w14:paraId="2C7DA8E1"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55" w:type="dxa"/>
          </w:tcPr>
          <w:p w14:paraId="6BC47A7B"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r>
      <w:tr w:rsidR="005928F2" w14:paraId="2381D43C" w14:textId="77777777" w:rsidTr="005928F2">
        <w:tc>
          <w:tcPr>
            <w:cnfStyle w:val="001000000000" w:firstRow="0" w:lastRow="0" w:firstColumn="1" w:lastColumn="0" w:oddVBand="0" w:evenVBand="0" w:oddHBand="0" w:evenHBand="0" w:firstRowFirstColumn="0" w:firstRowLastColumn="0" w:lastRowFirstColumn="0" w:lastRowLastColumn="0"/>
            <w:tcW w:w="1374" w:type="dxa"/>
          </w:tcPr>
          <w:p w14:paraId="4DD9BD87" w14:textId="77777777" w:rsidR="005928F2" w:rsidRDefault="005928F2" w:rsidP="005928F2">
            <w:pPr>
              <w:pStyle w:val="TableRowHeading"/>
            </w:pPr>
            <w:r w:rsidRPr="002B6BA8">
              <w:t xml:space="preserve">Financial Management Operational Analytics (FMOA) / CCIIO</w:t>
            </w:r>
          </w:p>
        </w:tc>
        <w:tc>
          <w:tcPr>
            <w:tcW w:w="961" w:type="dxa"/>
          </w:tcPr>
          <w:p w14:paraId="3548B74A"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2700" w:type="dxa"/>
          </w:tcPr>
          <w:p w14:paraId="41AC6428"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990" w:type="dxa"/>
          </w:tcPr>
          <w:p w14:paraId="0D8B16F2"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80" w:type="dxa"/>
            <w:gridSpan w:val="2"/>
          </w:tcPr>
          <w:p w14:paraId="2BFBEF2C"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810" w:type="dxa"/>
          </w:tcPr>
          <w:p w14:paraId="7B1339BB"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80" w:type="dxa"/>
            <w:gridSpan w:val="2"/>
          </w:tcPr>
          <w:p w14:paraId="2B9AB777"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900" w:type="dxa"/>
            <w:gridSpan w:val="2"/>
          </w:tcPr>
          <w:p w14:paraId="697D25DF"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927" w:type="dxa"/>
            <w:gridSpan w:val="2"/>
          </w:tcPr>
          <w:p w14:paraId="0122CD75"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73" w:type="dxa"/>
          </w:tcPr>
          <w:p w14:paraId="2F30B521"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55" w:type="dxa"/>
          </w:tcPr>
          <w:p w14:paraId="7AA19298"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r>
      <w:tr w:rsidR="005928F2" w14:paraId="2C877FE3" w14:textId="77777777" w:rsidTr="005928F2">
        <w:tc>
          <w:tcPr>
            <w:cnfStyle w:val="001000000000" w:firstRow="0" w:lastRow="0" w:firstColumn="1" w:lastColumn="0" w:oddVBand="0" w:evenVBand="0" w:oddHBand="0" w:evenHBand="0" w:firstRowFirstColumn="0" w:firstRowLastColumn="0" w:lastRowFirstColumn="0" w:lastRowLastColumn="0"/>
            <w:tcW w:w="1374" w:type="dxa"/>
          </w:tcPr>
          <w:p w14:paraId="46B7B92B" w14:textId="77777777" w:rsidR="005928F2" w:rsidRDefault="005928F2" w:rsidP="005928F2">
            <w:pPr>
              <w:pStyle w:val="TableRowHeading"/>
            </w:pPr>
            <w:r w:rsidRPr="002B6BA8">
              <w:t>Project name / Client</w:t>
            </w:r>
          </w:p>
        </w:tc>
        <w:tc>
          <w:tcPr>
            <w:tcW w:w="961" w:type="dxa"/>
          </w:tcPr>
          <w:p w14:paraId="11478961"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r w:rsidRPr="0027673C">
              <w:t>MM/YYYY – MM/YYYY</w:t>
            </w:r>
          </w:p>
        </w:tc>
        <w:tc>
          <w:tcPr>
            <w:tcW w:w="2700" w:type="dxa"/>
          </w:tcPr>
          <w:p w14:paraId="006E1127" w14:textId="77777777" w:rsidR="002A34E2" w:rsidRDefault="002A34E2" w:rsidP="002A34E2">
            <w:pPr>
              <w:pStyle w:val="TableBody"/>
              <w:cnfStyle w:val="000000000000" w:firstRow="0" w:lastRow="0" w:firstColumn="0" w:lastColumn="0" w:oddVBand="0" w:evenVBand="0" w:oddHBand="0" w:evenHBand="0" w:firstRowFirstColumn="0" w:firstRowLastColumn="0" w:lastRowFirstColumn="0" w:lastRowLastColumn="0"/>
            </w:pPr>
            <w:r w:rsidRPr="002A34E2">
              <w:rPr>
                <w:rStyle w:val="CharacterBold"/>
              </w:rPr>
              <w:t>Project Description:</w:t>
            </w:r>
            <w:r>
              <w:t xml:space="preserve"> Cogent Project 2</w:t>
            </w:r>
          </w:p>
          <w:p w14:paraId="1994C084" w14:textId="77777777" w:rsidR="002A34E2" w:rsidRPr="002A34E2" w:rsidRDefault="002A34E2" w:rsidP="002A34E2">
            <w:pPr>
              <w:pStyle w:val="TableBody"/>
              <w:cnfStyle w:val="000000000000" w:firstRow="0" w:lastRow="0" w:firstColumn="0" w:lastColumn="0" w:oddVBand="0" w:evenVBand="0" w:oddHBand="0" w:evenHBand="0" w:firstRowFirstColumn="0" w:firstRowLastColumn="0" w:lastRowFirstColumn="0" w:lastRowLastColumn="0"/>
              <w:rPr>
                <w:rStyle w:val="CharacterBold"/>
              </w:rPr>
            </w:pPr>
            <w:r w:rsidRPr="002A34E2">
              <w:rPr>
                <w:rStyle w:val="CharacterBold"/>
              </w:rPr>
              <w:t>Size:</w:t>
            </w:r>
          </w:p>
          <w:p w14:paraId="7AAA3608" w14:textId="77777777" w:rsidR="002A34E2" w:rsidRPr="002A34E2" w:rsidRDefault="002A34E2" w:rsidP="002A34E2">
            <w:pPr>
              <w:pStyle w:val="TableBody"/>
              <w:cnfStyle w:val="000000000000" w:firstRow="0" w:lastRow="0" w:firstColumn="0" w:lastColumn="0" w:oddVBand="0" w:evenVBand="0" w:oddHBand="0" w:evenHBand="0" w:firstRowFirstColumn="0" w:firstRowLastColumn="0" w:lastRowFirstColumn="0" w:lastRowLastColumn="0"/>
              <w:rPr>
                <w:rStyle w:val="CharacterBold"/>
              </w:rPr>
            </w:pPr>
            <w:r w:rsidRPr="002A34E2">
              <w:rPr>
                <w:rStyle w:val="CharacterBold"/>
              </w:rPr>
              <w:t>Scope:</w:t>
            </w:r>
          </w:p>
          <w:p w14:paraId="6EE7D171" w14:textId="77777777" w:rsidR="002A34E2" w:rsidRPr="002A34E2" w:rsidRDefault="002A34E2" w:rsidP="002A34E2">
            <w:pPr>
              <w:pStyle w:val="TableBody"/>
              <w:cnfStyle w:val="000000000000" w:firstRow="0" w:lastRow="0" w:firstColumn="0" w:lastColumn="0" w:oddVBand="0" w:evenVBand="0" w:oddHBand="0" w:evenHBand="0" w:firstRowFirstColumn="0" w:firstRowLastColumn="0" w:lastRowFirstColumn="0" w:lastRowLastColumn="0"/>
              <w:rPr>
                <w:rStyle w:val="CharacterBold"/>
              </w:rPr>
            </w:pPr>
            <w:r w:rsidRPr="002A34E2">
              <w:rPr>
                <w:rStyle w:val="CharacterBold"/>
              </w:rPr>
              <w:t>Complexity:</w:t>
            </w:r>
          </w:p>
          <w:p w14:paraId="4E5AE04C" w14:textId="77777777" w:rsidR="005928F2" w:rsidRPr="002A34E2" w:rsidRDefault="002A34E2" w:rsidP="005928F2">
            <w:pPr>
              <w:pStyle w:val="TableBody"/>
              <w:cnfStyle w:val="000000000000" w:firstRow="0" w:lastRow="0" w:firstColumn="0" w:lastColumn="0" w:oddVBand="0" w:evenVBand="0" w:oddHBand="0" w:evenHBand="0" w:firstRowFirstColumn="0" w:firstRowLastColumn="0" w:lastRowFirstColumn="0" w:lastRowLastColumn="0"/>
              <w:rPr>
                <w:rStyle w:val="CharacterBold"/>
              </w:rPr>
            </w:pPr>
            <w:r w:rsidRPr="002A34E2">
              <w:rPr>
                <w:rStyle w:val="CharacterBold"/>
              </w:rPr>
              <w:t>Technological Landscape:</w:t>
            </w:r>
          </w:p>
        </w:tc>
        <w:tc>
          <w:tcPr>
            <w:tcW w:w="990" w:type="dxa"/>
          </w:tcPr>
          <w:p w14:paraId="0F5BB461"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80" w:type="dxa"/>
            <w:gridSpan w:val="2"/>
          </w:tcPr>
          <w:p w14:paraId="4C23AEE0"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810" w:type="dxa"/>
          </w:tcPr>
          <w:p w14:paraId="0FF8A5B7"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80" w:type="dxa"/>
            <w:gridSpan w:val="2"/>
          </w:tcPr>
          <w:p w14:paraId="50FA04E4"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900" w:type="dxa"/>
            <w:gridSpan w:val="2"/>
          </w:tcPr>
          <w:p w14:paraId="229A8D80"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927" w:type="dxa"/>
            <w:gridSpan w:val="2"/>
          </w:tcPr>
          <w:p w14:paraId="1E3325D8"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73" w:type="dxa"/>
          </w:tcPr>
          <w:p w14:paraId="2B3F87BE"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55" w:type="dxa"/>
          </w:tcPr>
          <w:p w14:paraId="3F47474F"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r>
      <w:tr w:rsidR="005928F2" w14:paraId="29141055" w14:textId="77777777" w:rsidTr="005928F2">
        <w:tc>
          <w:tcPr>
            <w:cnfStyle w:val="001000000000" w:firstRow="0" w:lastRow="0" w:firstColumn="1" w:lastColumn="0" w:oddVBand="0" w:evenVBand="0" w:oddHBand="0" w:evenHBand="0" w:firstRowFirstColumn="0" w:firstRowLastColumn="0" w:lastRowFirstColumn="0" w:lastRowLastColumn="0"/>
            <w:tcW w:w="1374" w:type="dxa"/>
          </w:tcPr>
          <w:p w14:paraId="6541E74D" w14:textId="77777777" w:rsidR="005928F2" w:rsidRDefault="005928F2" w:rsidP="005928F2">
            <w:pPr>
              <w:pStyle w:val="TableRowHeading"/>
            </w:pPr>
            <w:r w:rsidRPr="002B6BA8">
              <w:lastRenderedPageBreak/>
              <w:t xml:space="preserve">Project name / Client</w:t>
            </w:r>
          </w:p>
        </w:tc>
        <w:tc>
          <w:tcPr>
            <w:tcW w:w="961" w:type="dxa"/>
          </w:tcPr>
          <w:p w14:paraId="2C536BE3"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r w:rsidRPr="0027673C">
              <w:t>MM/YYYY – MM/YYYY</w:t>
            </w:r>
          </w:p>
        </w:tc>
        <w:tc>
          <w:tcPr>
            <w:tcW w:w="2700" w:type="dxa"/>
          </w:tcPr>
          <w:p w14:paraId="175EA10F" w14:textId="77777777" w:rsidR="002A34E2" w:rsidRDefault="002A34E2" w:rsidP="002A34E2">
            <w:pPr>
              <w:pStyle w:val="TableBody"/>
              <w:cnfStyle w:val="000000000000" w:firstRow="0" w:lastRow="0" w:firstColumn="0" w:lastColumn="0" w:oddVBand="0" w:evenVBand="0" w:oddHBand="0" w:evenHBand="0" w:firstRowFirstColumn="0" w:firstRowLastColumn="0" w:lastRowFirstColumn="0" w:lastRowLastColumn="0"/>
            </w:pPr>
            <w:r w:rsidRPr="002A34E2">
              <w:rPr>
                <w:rStyle w:val="CharacterBold"/>
              </w:rPr>
              <w:t>Project Description:</w:t>
            </w:r>
            <w:r>
              <w:t xml:space="preserve"> Peraton Project 1</w:t>
            </w:r>
          </w:p>
          <w:p w14:paraId="24557BC4" w14:textId="77777777" w:rsidR="002A34E2" w:rsidRPr="002A34E2" w:rsidRDefault="002A34E2" w:rsidP="002A34E2">
            <w:pPr>
              <w:pStyle w:val="TableBody"/>
              <w:cnfStyle w:val="000000000000" w:firstRow="0" w:lastRow="0" w:firstColumn="0" w:lastColumn="0" w:oddVBand="0" w:evenVBand="0" w:oddHBand="0" w:evenHBand="0" w:firstRowFirstColumn="0" w:firstRowLastColumn="0" w:lastRowFirstColumn="0" w:lastRowLastColumn="0"/>
              <w:rPr>
                <w:rStyle w:val="CharacterBold"/>
              </w:rPr>
            </w:pPr>
            <w:r w:rsidRPr="002A34E2">
              <w:rPr>
                <w:rStyle w:val="CharacterBold"/>
              </w:rPr>
              <w:t>Size:</w:t>
            </w:r>
          </w:p>
          <w:p w14:paraId="7E79D455" w14:textId="77777777" w:rsidR="002A34E2" w:rsidRPr="002A34E2" w:rsidRDefault="002A34E2" w:rsidP="002A34E2">
            <w:pPr>
              <w:pStyle w:val="TableBody"/>
              <w:cnfStyle w:val="000000000000" w:firstRow="0" w:lastRow="0" w:firstColumn="0" w:lastColumn="0" w:oddVBand="0" w:evenVBand="0" w:oddHBand="0" w:evenHBand="0" w:firstRowFirstColumn="0" w:firstRowLastColumn="0" w:lastRowFirstColumn="0" w:lastRowLastColumn="0"/>
              <w:rPr>
                <w:rStyle w:val="CharacterBold"/>
              </w:rPr>
            </w:pPr>
            <w:r w:rsidRPr="002A34E2">
              <w:rPr>
                <w:rStyle w:val="CharacterBold"/>
              </w:rPr>
              <w:t>Scope:</w:t>
            </w:r>
          </w:p>
          <w:p w14:paraId="22D3C1AF" w14:textId="77777777" w:rsidR="002A34E2" w:rsidRPr="002A34E2" w:rsidRDefault="002A34E2" w:rsidP="002A34E2">
            <w:pPr>
              <w:pStyle w:val="TableBody"/>
              <w:cnfStyle w:val="000000000000" w:firstRow="0" w:lastRow="0" w:firstColumn="0" w:lastColumn="0" w:oddVBand="0" w:evenVBand="0" w:oddHBand="0" w:evenHBand="0" w:firstRowFirstColumn="0" w:firstRowLastColumn="0" w:lastRowFirstColumn="0" w:lastRowLastColumn="0"/>
              <w:rPr>
                <w:rStyle w:val="CharacterBold"/>
              </w:rPr>
            </w:pPr>
            <w:r w:rsidRPr="002A34E2">
              <w:rPr>
                <w:rStyle w:val="CharacterBold"/>
              </w:rPr>
              <w:t>Complexity:</w:t>
            </w:r>
          </w:p>
          <w:p w14:paraId="30BA1358" w14:textId="77777777" w:rsidR="005928F2" w:rsidRPr="002A34E2" w:rsidRDefault="002A34E2" w:rsidP="005928F2">
            <w:pPr>
              <w:pStyle w:val="TableBody"/>
              <w:cnfStyle w:val="000000000000" w:firstRow="0" w:lastRow="0" w:firstColumn="0" w:lastColumn="0" w:oddVBand="0" w:evenVBand="0" w:oddHBand="0" w:evenHBand="0" w:firstRowFirstColumn="0" w:firstRowLastColumn="0" w:lastRowFirstColumn="0" w:lastRowLastColumn="0"/>
              <w:rPr>
                <w:rStyle w:val="CharacterBold"/>
              </w:rPr>
            </w:pPr>
            <w:r w:rsidRPr="002A34E2">
              <w:rPr>
                <w:rStyle w:val="CharacterBold"/>
              </w:rPr>
              <w:t>Technological Landscape:</w:t>
            </w:r>
          </w:p>
        </w:tc>
        <w:tc>
          <w:tcPr>
            <w:tcW w:w="990" w:type="dxa"/>
          </w:tcPr>
          <w:p w14:paraId="6D84D65B"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80" w:type="dxa"/>
            <w:gridSpan w:val="2"/>
          </w:tcPr>
          <w:p w14:paraId="1C205487"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810" w:type="dxa"/>
          </w:tcPr>
          <w:p w14:paraId="1F576F13"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80" w:type="dxa"/>
            <w:gridSpan w:val="2"/>
          </w:tcPr>
          <w:p w14:paraId="784CEFEF"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900" w:type="dxa"/>
            <w:gridSpan w:val="2"/>
          </w:tcPr>
          <w:p w14:paraId="3A9DA154"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927" w:type="dxa"/>
            <w:gridSpan w:val="2"/>
          </w:tcPr>
          <w:p w14:paraId="4C42F6F2"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73" w:type="dxa"/>
          </w:tcPr>
          <w:p w14:paraId="40087D2D"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55" w:type="dxa"/>
          </w:tcPr>
          <w:p w14:paraId="20B70A55"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r>
      <w:tr w:rsidR="005928F2" w14:paraId="393A5FDF" w14:textId="77777777" w:rsidTr="005928F2">
        <w:tc>
          <w:tcPr>
            <w:cnfStyle w:val="001000000000" w:firstRow="0" w:lastRow="0" w:firstColumn="1" w:lastColumn="0" w:oddVBand="0" w:evenVBand="0" w:oddHBand="0" w:evenHBand="0" w:firstRowFirstColumn="0" w:firstRowLastColumn="0" w:lastRowFirstColumn="0" w:lastRowLastColumn="0"/>
            <w:tcW w:w="1374" w:type="dxa"/>
          </w:tcPr>
          <w:p w14:paraId="01C3623A" w14:textId="77777777" w:rsidR="005928F2" w:rsidRDefault="005928F2" w:rsidP="005928F2">
            <w:pPr>
              <w:pStyle w:val="TableRowHeading"/>
            </w:pPr>
            <w:r w:rsidRPr="002B6BA8">
              <w:t>Project name / Client</w:t>
            </w:r>
          </w:p>
        </w:tc>
        <w:tc>
          <w:tcPr>
            <w:tcW w:w="961" w:type="dxa"/>
          </w:tcPr>
          <w:p w14:paraId="3F9BFA47"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r w:rsidRPr="0027673C">
              <w:t>MM/YYYY – MM/YYYY</w:t>
            </w:r>
          </w:p>
        </w:tc>
        <w:tc>
          <w:tcPr>
            <w:tcW w:w="2700" w:type="dxa"/>
          </w:tcPr>
          <w:p w14:paraId="5DDD39E7" w14:textId="77777777" w:rsidR="002A34E2" w:rsidRDefault="002A34E2" w:rsidP="002A34E2">
            <w:pPr>
              <w:pStyle w:val="TableBody"/>
              <w:cnfStyle w:val="000000000000" w:firstRow="0" w:lastRow="0" w:firstColumn="0" w:lastColumn="0" w:oddVBand="0" w:evenVBand="0" w:oddHBand="0" w:evenHBand="0" w:firstRowFirstColumn="0" w:firstRowLastColumn="0" w:lastRowFirstColumn="0" w:lastRowLastColumn="0"/>
            </w:pPr>
            <w:r w:rsidRPr="002A34E2">
              <w:rPr>
                <w:rStyle w:val="CharacterBold"/>
              </w:rPr>
              <w:t>Project Description:</w:t>
            </w:r>
            <w:r>
              <w:t xml:space="preserve"> Peraton Project 2</w:t>
            </w:r>
          </w:p>
          <w:p w14:paraId="0B034809" w14:textId="77777777" w:rsidR="002A34E2" w:rsidRPr="002A34E2" w:rsidRDefault="002A34E2" w:rsidP="002A34E2">
            <w:pPr>
              <w:pStyle w:val="TableBody"/>
              <w:cnfStyle w:val="000000000000" w:firstRow="0" w:lastRow="0" w:firstColumn="0" w:lastColumn="0" w:oddVBand="0" w:evenVBand="0" w:oddHBand="0" w:evenHBand="0" w:firstRowFirstColumn="0" w:firstRowLastColumn="0" w:lastRowFirstColumn="0" w:lastRowLastColumn="0"/>
              <w:rPr>
                <w:rStyle w:val="CharacterBold"/>
              </w:rPr>
            </w:pPr>
            <w:r w:rsidRPr="002A34E2">
              <w:rPr>
                <w:rStyle w:val="CharacterBold"/>
              </w:rPr>
              <w:t>Size:</w:t>
            </w:r>
          </w:p>
          <w:p w14:paraId="17EF3114" w14:textId="77777777" w:rsidR="002A34E2" w:rsidRPr="002A34E2" w:rsidRDefault="002A34E2" w:rsidP="002A34E2">
            <w:pPr>
              <w:pStyle w:val="TableBody"/>
              <w:cnfStyle w:val="000000000000" w:firstRow="0" w:lastRow="0" w:firstColumn="0" w:lastColumn="0" w:oddVBand="0" w:evenVBand="0" w:oddHBand="0" w:evenHBand="0" w:firstRowFirstColumn="0" w:firstRowLastColumn="0" w:lastRowFirstColumn="0" w:lastRowLastColumn="0"/>
              <w:rPr>
                <w:rStyle w:val="CharacterBold"/>
              </w:rPr>
            </w:pPr>
            <w:r w:rsidRPr="002A34E2">
              <w:rPr>
                <w:rStyle w:val="CharacterBold"/>
              </w:rPr>
              <w:t>Scope:</w:t>
            </w:r>
          </w:p>
          <w:p w14:paraId="4E3A7B65" w14:textId="77777777" w:rsidR="002A34E2" w:rsidRPr="002A34E2" w:rsidRDefault="002A34E2" w:rsidP="002A34E2">
            <w:pPr>
              <w:pStyle w:val="TableBody"/>
              <w:cnfStyle w:val="000000000000" w:firstRow="0" w:lastRow="0" w:firstColumn="0" w:lastColumn="0" w:oddVBand="0" w:evenVBand="0" w:oddHBand="0" w:evenHBand="0" w:firstRowFirstColumn="0" w:firstRowLastColumn="0" w:lastRowFirstColumn="0" w:lastRowLastColumn="0"/>
              <w:rPr>
                <w:rStyle w:val="CharacterBold"/>
              </w:rPr>
            </w:pPr>
            <w:r w:rsidRPr="002A34E2">
              <w:rPr>
                <w:rStyle w:val="CharacterBold"/>
              </w:rPr>
              <w:t>Complexity:</w:t>
            </w:r>
          </w:p>
          <w:p w14:paraId="349CB532" w14:textId="77777777" w:rsidR="005928F2" w:rsidRPr="002A34E2" w:rsidRDefault="002A34E2" w:rsidP="005928F2">
            <w:pPr>
              <w:pStyle w:val="TableBody"/>
              <w:cnfStyle w:val="000000000000" w:firstRow="0" w:lastRow="0" w:firstColumn="0" w:lastColumn="0" w:oddVBand="0" w:evenVBand="0" w:oddHBand="0" w:evenHBand="0" w:firstRowFirstColumn="0" w:firstRowLastColumn="0" w:lastRowFirstColumn="0" w:lastRowLastColumn="0"/>
              <w:rPr>
                <w:rStyle w:val="CharacterBold"/>
              </w:rPr>
            </w:pPr>
            <w:r w:rsidRPr="002A34E2">
              <w:rPr>
                <w:rStyle w:val="CharacterBold"/>
              </w:rPr>
              <w:t>Technological Landscape:</w:t>
            </w:r>
          </w:p>
        </w:tc>
        <w:tc>
          <w:tcPr>
            <w:tcW w:w="990" w:type="dxa"/>
          </w:tcPr>
          <w:p w14:paraId="7AE02164"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80" w:type="dxa"/>
            <w:gridSpan w:val="2"/>
          </w:tcPr>
          <w:p w14:paraId="036DFE8E"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810" w:type="dxa"/>
          </w:tcPr>
          <w:p w14:paraId="2DCB3F91"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80" w:type="dxa"/>
            <w:gridSpan w:val="2"/>
          </w:tcPr>
          <w:p w14:paraId="69525712"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900" w:type="dxa"/>
            <w:gridSpan w:val="2"/>
          </w:tcPr>
          <w:p w14:paraId="16E32CA0"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927" w:type="dxa"/>
            <w:gridSpan w:val="2"/>
          </w:tcPr>
          <w:p w14:paraId="2433BCDC"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73" w:type="dxa"/>
          </w:tcPr>
          <w:p w14:paraId="6FE10961"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c>
          <w:tcPr>
            <w:tcW w:w="1055" w:type="dxa"/>
          </w:tcPr>
          <w:p w14:paraId="2731B6B1" w14:textId="77777777" w:rsidR="005928F2" w:rsidRDefault="005928F2" w:rsidP="005928F2">
            <w:pPr>
              <w:pStyle w:val="TableBody"/>
              <w:cnfStyle w:val="000000000000" w:firstRow="0" w:lastRow="0" w:firstColumn="0" w:lastColumn="0" w:oddVBand="0" w:evenVBand="0" w:oddHBand="0" w:evenHBand="0" w:firstRowFirstColumn="0" w:firstRowLastColumn="0" w:lastRowFirstColumn="0" w:lastRowLastColumn="0"/>
            </w:pPr>
          </w:p>
        </w:tc>
      </w:tr>
    </w:tbl>
    <w:p w14:paraId="3D9F0F50" w14:textId="77777777" w:rsidR="002515C5" w:rsidRDefault="4BDB806A" w:rsidP="002A34E2">
      <w:pPr>
        <w:pStyle w:val="BodyText"/>
      </w:pPr>
      <w:r w:rsidRPr="00802C4A">
        <w:t>The experience matrix that follows demonstrates exactly that. Deloitte has successfully transitioned 40+ large, complex systems, including six State-Based Exchanges, without downtime or negative impacts to user access. We hold the only other federal exchange contract, operate large-volume call centers receiving upwards of 55,000 contacts per week, and have surged 900 staff in three days to meet emergency demand. We develop 1095-A forms for state-based exchanges including Covered California, delivering over 1.5 million forms last year with a dispute rate of just 0.20</w:t>
      </w:r>
      <w:proofErr w:type="gramStart"/>
      <w:r w:rsidRPr="00802C4A">
        <w:t>% far</w:t>
      </w:r>
      <w:proofErr w:type="gramEnd"/>
      <w:r w:rsidRPr="00802C4A">
        <w:t xml:space="preserve"> outperforming industry baselines. We have deep FFE expertise, including former CCIIO leaders, and work regularly to reconcile enrollment and exchange data across five state-based exchanges.</w:t>
      </w:r>
    </w:p>
    <w:p w14:paraId="1A1B4063" w14:textId="77777777" w:rsidR="006240C7" w:rsidRDefault="006240C7" w:rsidP="00245804">
      <w:pPr>
        <w:pStyle w:val="BodyText"/>
      </w:pPr>
    </w:p>
    <w:p w14:paraId="2281E504" w14:textId="77777777" w:rsidR="006240C7" w:rsidRDefault="006240C7" w:rsidP="00245804">
      <w:pPr>
        <w:pStyle w:val="BodyText"/>
        <w:sectPr w:rsidR="006240C7" w:rsidSect="00A9173D">
          <w:footerReference w:type="default" r:id="rId41"/>
          <w:pgSz w:w="15840" w:h="12240" w:orient="landscape" w:code="1"/>
          <w:pgMar w:top="1440" w:right="1440" w:bottom="1440" w:left="1440" w:header="720" w:footer="720" w:gutter="0"/>
          <w:cols w:space="720"/>
          <w:docGrid w:linePitch="360"/>
        </w:sectPr>
      </w:pPr>
    </w:p>
    <w:p w14:paraId="6C3B9621" w14:textId="77777777" w:rsidR="00845269" w:rsidRDefault="00845269" w:rsidP="00A2440B">
      <w:pPr>
        <w:pStyle w:val="Heading1"/>
      </w:pPr>
      <w:bookmarkStart w:id="25" w:name="_Toc228252928"/>
      <w:r>
        <w:lastRenderedPageBreak/>
        <w:t>4.0</w:t>
      </w:r>
      <w:r>
        <w:tab/>
      </w:r>
      <w:r w:rsidRPr="00845269">
        <w:t>Section 4: Small Business Utilization</w:t>
      </w:r>
      <w:r w:rsidR="00A2440B">
        <w:t xml:space="preserve"> </w:t>
      </w:r>
      <w:r w:rsidR="00A2440B" w:rsidRPr="009804E4">
        <w:t xml:space="preserve">(5 </w:t>
      </w:r>
      <w:r w:rsidR="009804E4" w:rsidRPr="009804E4">
        <w:t>Pages)</w:t>
      </w:r>
      <w:bookmarkEnd w:id="25"/>
    </w:p>
    <w:p w14:paraId="44FB5B5C" w14:textId="77777777" w:rsidR="00E76701" w:rsidRPr="00E76701" w:rsidRDefault="00E76701" w:rsidP="00E76701">
      <w:pPr>
        <w:pStyle w:val="BodyText"/>
        <w:sectPr w:rsidR="00E76701" w:rsidRPr="00E76701" w:rsidSect="000B1BCE">
          <w:footerReference w:type="default" r:id="rId42"/>
          <w:pgSz w:w="12240" w:h="15840" w:code="1"/>
          <w:pgMar w:top="1440" w:right="1440" w:bottom="1440" w:left="1440" w:header="720" w:footer="576" w:gutter="0"/>
          <w:pgNumType w:start="1"/>
          <w:cols w:space="720"/>
          <w:docGrid w:linePitch="360"/>
        </w:sectPr>
      </w:pPr>
    </w:p>
    <w:p w14:paraId="79ECBD7F" w14:textId="77777777" w:rsidR="004C2D9A" w:rsidRDefault="00000000">
      <w:pPr>
        <w:pStyle w:val="Subheading1"/>
      </w:pPr>
      <w:r>
        <w:lastRenderedPageBreak/>
        <w:t>4.1 Approach to Maximize Small Business Subcontracting</w:t>
      </w:r>
    </w:p>
    <w:p w14:paraId="0A2EB29E" w14:textId="77777777" w:rsidR="004C2D9A" w:rsidRDefault="00000000">
      <w:pPr>
        <w:pStyle w:val="BodyText"/>
      </w:pPr>
      <w:r>
        <w:t>Deloitte's small business plan is built around the RFQ goal of 15% of total task order dollars subcontracted to small business and reflects how Deloitte has consistently exceeded small business utilization targets on comparable federal task orders. Deloitte will exceed the 15% goal across the base period and every option period through a combination of direct subcontracting, teaming arrangements, and targeted small-business sourcing across the labor categories that drive ER&amp;R operational delivery — issuer dispute analytics, 1095-A casework surge, IT systems engineering, contact center support, and quality assurance.</w:t>
      </w:r>
    </w:p>
    <w:p w14:paraId="3C870614" w14:textId="77777777" w:rsidR="004C2D9A" w:rsidRDefault="00000000">
      <w:pPr>
        <w:pStyle w:val="BodyText"/>
      </w:pPr>
      <w:r>
        <w:t>Deloitte's small business strategy is anchored to four operating principles. First, small businesses are integrated as full delivery partners, not pass-through capacity, with named workshare on specific SOW tasks and accountability tied to the same SLAs and quality standards that govern Deloitte's prime work. Second, small business utilization is maintained year-over-year through structured workshare commitments that flex with workload (1095-A surge, OE peak, ad hoc projects under Task 10) so small business teaming partners are not crowded out as the program scales. Third, small business performance is tracked and reported monthly to the COR with the same rigor Deloitte applies to its own performance — utilization percentage, deliverable quality, schedule adherence, and corrective action where needed. Fourth, Deloitte's Small Business Liaison Officer (SBLO) is the single point of accountability for plan execution, COR reporting, and continuous identification of new small business opportunities throughout the period of performance.</w:t>
      </w:r>
    </w:p>
    <w:p w14:paraId="23010D53" w14:textId="77777777" w:rsidR="004C2D9A" w:rsidRDefault="00000000">
      <w:pPr>
        <w:pStyle w:val="Subheading1"/>
      </w:pPr>
      <w:r>
        <w:t>4.2 Proposed Small Business Subcontractors</w:t>
      </w:r>
    </w:p>
    <w:p w14:paraId="7A68FDBE" w14:textId="77777777" w:rsidR="004C2D9A" w:rsidRDefault="00000000">
      <w:pPr>
        <w:pStyle w:val="BodyText"/>
      </w:pPr>
      <w:r>
        <w:t>The table below identifies Deloitte's proposed small business subcontractors, the work each will perform, and the proportion of total task order value committed to each. Letters of commitment and draft subcontracting agreements are provided as attachments outside the page count, in accordance with the RFQ instructions.</w:t>
      </w:r>
    </w:p>
    <w:p w14:paraId="28DB6500" w14:textId="77777777" w:rsidR="004C2D9A" w:rsidRDefault="00000000">
      <w:pPr>
        <w:pStyle w:val="TableTitle"/>
      </w:pPr>
      <w:r>
        <w:t>Table 4.2-1. Proposed Small Business Subcontractors.</w:t>
      </w:r>
    </w:p>
    <w:p w14:paraId="03BE77F6" w14:textId="77777777" w:rsidR="004C2D9A" w:rsidRDefault="00000000">
      <w:pPr>
        <w:pStyle w:val="BodyText"/>
      </w:pPr>
      <w:r>
        <w:t>[Deloitte to populate: Subcontractor Name | Address | POC and Phone | NAICS / Size / Socioeconomic Status (e.g., 8(a), HUBZone, SDVOSB, WOSB, EDWOSB, Small Disadvantaged Business) | Work to be Performed | Proportion of Total Contract Value (%) | Total $ Proposed — for each proposed small business subcontractor, formatted per Attachment 2 instructions.]</w:t>
      </w:r>
    </w:p>
    <w:p w14:paraId="3D0CCC5E" w14:textId="77777777" w:rsidR="004C2D9A" w:rsidRDefault="00000000">
      <w:pPr>
        <w:pStyle w:val="Subheading1"/>
      </w:pPr>
      <w:r>
        <w:t>4.3 Commitment to Use Small Businesses</w:t>
      </w:r>
    </w:p>
    <w:p w14:paraId="2F090E3D" w14:textId="77777777" w:rsidR="004C2D9A" w:rsidRDefault="00000000">
      <w:pPr>
        <w:pStyle w:val="BodyText"/>
      </w:pPr>
      <w:r>
        <w:t>Deloitte's commitment to small business participation is documented through three concrete instruments included with this quote as attachments and not counted against the Volume I page limit:</w:t>
      </w:r>
    </w:p>
    <w:p w14:paraId="0973F6B5" w14:textId="77777777" w:rsidR="004C2D9A" w:rsidRDefault="00000000">
      <w:pPr>
        <w:pStyle w:val="Bulletlevel1"/>
      </w:pPr>
      <w:r>
        <w:t>Signed letters of commitment from each proposed small business subcontractor confirming availability, proposed labor categories, and willingness to perform the workshare described in Table 4.2-1.</w:t>
      </w:r>
    </w:p>
    <w:p w14:paraId="40CC283D" w14:textId="77777777" w:rsidR="004C2D9A" w:rsidRDefault="00000000">
      <w:pPr>
        <w:pStyle w:val="Bulletlevel1"/>
      </w:pPr>
      <w:r>
        <w:t xml:space="preserve">Draft subcontracting agreements outlining scope, performance standards, flow-down clauses (FAR/HHSAR/CMS-specific privacy and security clauses, Section 508, and the </w:t>
      </w:r>
      <w:proofErr w:type="gramStart"/>
      <w:r>
        <w:t>Conflict of Interest</w:t>
      </w:r>
      <w:proofErr w:type="gramEnd"/>
      <w:r>
        <w:t xml:space="preserve"> CMS clause), termination provisions, and reporting requirements.</w:t>
      </w:r>
    </w:p>
    <w:p w14:paraId="7330859F" w14:textId="77777777" w:rsidR="004C2D9A" w:rsidRDefault="00000000">
      <w:pPr>
        <w:pStyle w:val="Bulletlevel1"/>
      </w:pPr>
      <w:r>
        <w:t>Teaming arrangement narratives describing prior Deloitte experience with each proposed small business — including projects delivered jointly, integration history, and small business performance outcomes — so CMS has a verifiable basis to assess the credibility of each commitment.</w:t>
      </w:r>
    </w:p>
    <w:p w14:paraId="27832052" w14:textId="77777777" w:rsidR="004C2D9A" w:rsidRDefault="00000000">
      <w:pPr>
        <w:pStyle w:val="BodyText"/>
      </w:pPr>
      <w:r>
        <w:t xml:space="preserve">All proposed small business subcontractors will receive the same flow-down requirements that apply to Deloitte under the prime contract, including FAR Subpart 8.4, HHSAR clauses, the CMS Conflict of Interest </w:t>
      </w:r>
      <w:r>
        <w:lastRenderedPageBreak/>
        <w:t>(AUG 2024) clause, FedRAMP and HHS information security requirements, the HHS Standard for Encryption, OMB M-17-12 breach response obligations, NIST SP 800-53 controls applicable at the moderate impact level for the FFE/SBE data, Section 508 conformance, and the Privacy Act requirements applicable to System of Records Notice 09-70-0560.</w:t>
      </w:r>
    </w:p>
    <w:p w14:paraId="6C7BB17E" w14:textId="77777777" w:rsidR="004C2D9A" w:rsidRDefault="00000000">
      <w:pPr>
        <w:pStyle w:val="Subheading1"/>
      </w:pPr>
      <w:r>
        <w:t>4.4 Subcontracting Plan Governance</w:t>
      </w:r>
    </w:p>
    <w:p w14:paraId="60552875" w14:textId="77777777" w:rsidR="004C2D9A" w:rsidRDefault="00000000">
      <w:pPr>
        <w:pStyle w:val="BodyText"/>
      </w:pPr>
      <w:r>
        <w:t>Deloitte will deliver a Small Business Subcontracting Plan within 30 days of award (or per the timeline established by the Contracting Officer) with the elements required by FAR 19.704 and HHSAR 352.219-70, including utilization goals by socioeconomic category, plan administration, recordkeeping, equitable opportunity, and reporting (</w:t>
      </w:r>
      <w:proofErr w:type="spellStart"/>
      <w:r>
        <w:t>eSRS</w:t>
      </w:r>
      <w:proofErr w:type="spellEnd"/>
      <w:r>
        <w:t xml:space="preserve"> Individual and Summary Subcontract Reports). Deloitte's SBLO will:</w:t>
      </w:r>
    </w:p>
    <w:p w14:paraId="3DFDE9BE" w14:textId="77777777" w:rsidR="004C2D9A" w:rsidRDefault="00000000">
      <w:pPr>
        <w:pStyle w:val="Bulletlevel1"/>
      </w:pPr>
      <w:r>
        <w:t>Track and report small business utilization monthly to the COR within the Monthly Progress, Data and Cost Report (SOW §3.1) — broken out by total dollars, labor categories, task/sub-task allocation, and socioeconomic category.</w:t>
      </w:r>
    </w:p>
    <w:p w14:paraId="50FD04AD" w14:textId="77777777" w:rsidR="004C2D9A" w:rsidRDefault="00000000">
      <w:pPr>
        <w:pStyle w:val="Bulletlevel1"/>
      </w:pPr>
      <w:r>
        <w:t>Conduct quarterly small business performance reviews jointly with each subcontractor, surfacing ramp opportunities, risk indicators, and any need for corrective action — with results summarized to CMS.</w:t>
      </w:r>
    </w:p>
    <w:p w14:paraId="15A934D8" w14:textId="77777777" w:rsidR="004C2D9A" w:rsidRDefault="00000000">
      <w:pPr>
        <w:pStyle w:val="Bulletlevel1"/>
      </w:pPr>
      <w:r>
        <w:t>Identify new small business opportunities continuously throughout the period of performance — particularly within Task 10 ad hoc and special projects, where short-cycle work is well-suited to small business participation — and bring forward proposed additions to the subcontracting plan for COR concurrence.</w:t>
      </w:r>
    </w:p>
    <w:p w14:paraId="175D0DB3" w14:textId="77777777" w:rsidR="004C2D9A" w:rsidRDefault="00000000">
      <w:pPr>
        <w:pStyle w:val="Bulletlevel1"/>
      </w:pPr>
      <w:r>
        <w:t>Document and report any planned changes to the subcontracting plan promptly, with rationale and impact analysis, so CMS retains continuous visibility into small business commitment execution.</w:t>
      </w:r>
    </w:p>
    <w:p w14:paraId="67E34D96" w14:textId="77777777" w:rsidR="004C2D9A" w:rsidRDefault="00000000">
      <w:pPr>
        <w:pStyle w:val="Subheading1"/>
      </w:pPr>
      <w:r>
        <w:t>4.5 Prime Contractor Workshare Disclosure</w:t>
      </w:r>
    </w:p>
    <w:p w14:paraId="1624713A" w14:textId="77777777" w:rsidR="004C2D9A" w:rsidRDefault="00000000">
      <w:pPr>
        <w:pStyle w:val="BodyText"/>
      </w:pPr>
      <w:r>
        <w:t>Deloitte Consulting LLP is a large business prime; the share-of-work narrative described above governs the small business subcontracting commitment. The proportion of work performed directly by Deloitte versus subcontractors (including any large-business teaming partners) is detailed in the labor-hour matrix submitted with Volume II: Business Quote in accordance with Attachment 2 pricing template instructions.</w:t>
      </w:r>
    </w:p>
    <w:p w14:paraId="0F18699B" w14:textId="77777777" w:rsidR="00E824A9" w:rsidRDefault="00E824A9" w:rsidP="00045B87">
      <w:pPr>
        <w:pStyle w:val="Heading1"/>
      </w:pPr>
      <w:bookmarkStart w:id="26" w:name="_Toc228252929"/>
      <w:r>
        <w:t>Appendix A</w:t>
      </w:r>
      <w:r>
        <w:tab/>
      </w:r>
      <w:r w:rsidR="00045B87">
        <w:t>Key Personnel Resumes</w:t>
      </w:r>
      <w:r w:rsidR="00CE4E4D">
        <w:t xml:space="preserve"> </w:t>
      </w:r>
      <w:r w:rsidR="00CE4E4D" w:rsidRPr="00CE4E4D">
        <w:t>(2 Pages Each)</w:t>
      </w:r>
      <w:bookmarkEnd w:id="26"/>
    </w:p>
    <w:p w14:paraId="3698273E" w14:textId="77777777" w:rsidR="006065FF" w:rsidRDefault="006065FF" w:rsidP="006065FF">
      <w:pPr>
        <w:pStyle w:val="Heading2"/>
        <w:rPr>
          <w:rStyle w:val="ResumeName14pts"/>
          <w:i/>
          <w:iCs w:val="0"/>
        </w:rPr>
      </w:pPr>
      <w:bookmarkStart w:id="27" w:name="_Toc228252930"/>
      <w:r>
        <w:t>A.1</w:t>
      </w:r>
      <w:r>
        <w:tab/>
      </w:r>
      <w:r w:rsidRPr="00A07123">
        <w:t>Project Director</w:t>
      </w:r>
      <w:bookmarkEnd w:id="27"/>
    </w:p>
    <w:p w14:paraId="06263764" w14:textId="77777777" w:rsidR="00CE4E4D" w:rsidRPr="00296F28" w:rsidRDefault="00CE4E4D" w:rsidP="00CE4E4D">
      <w:pPr>
        <w:pStyle w:val="ResumeNameEntity"/>
        <w:rPr>
          <w:b/>
          <w:iCs/>
        </w:rPr>
      </w:pPr>
      <w:r>
        <w:rPr>
          <w:rStyle w:val="ResumeName14pts"/>
          <w:i w:val="0"/>
          <w:iCs w:val="0"/>
        </w:rPr>
        <w:t>Name</w:t>
      </w:r>
      <w:r>
        <w:rPr>
          <w:rStyle w:val="ResumeName14pts"/>
        </w:rPr>
        <w:tab/>
      </w:r>
      <w:r w:rsidRPr="003461D9">
        <w:t>Legal Entity, Title</w:t>
      </w:r>
    </w:p>
    <w:p w14:paraId="03279DD8" w14:textId="77777777" w:rsidR="00CE4E4D" w:rsidRPr="0070652A" w:rsidRDefault="006065FF" w:rsidP="00CE4E4D">
      <w:pPr>
        <w:pStyle w:val="ResumeProposedRole"/>
      </w:pPr>
      <w:r>
        <w:t>Labor Category</w:t>
      </w:r>
      <w:r w:rsidR="00CE4E4D" w:rsidRPr="0070652A">
        <w:t xml:space="preserve">:</w:t>
      </w:r>
    </w:p>
    <w:p w14:paraId="09302F8A" w14:textId="77777777" w:rsidR="00CE4E4D" w:rsidRPr="004B4151" w:rsidRDefault="00CE4E4D" w:rsidP="00CE4E4D">
      <w:pPr>
        <w:pStyle w:val="ResumeHeading"/>
      </w:pPr>
      <w:r w:rsidRPr="004B4151">
        <w:t>Experience Summary</w:t>
      </w:r>
    </w:p>
    <w:tbl>
      <w:tblPr>
        <w:tblStyle w:val="TableGrid"/>
        <w:tblpPr w:leftFromText="288" w:rightFromText="288" w:vertAnchor="text" w:horzAnchor="margin" w:tblpXSpec="right" w:tblpY="-10"/>
        <w:tblOverlap w:val="never"/>
        <w:tblW w:w="0" w:type="auto"/>
        <w:tblLook w:val="04A0" w:firstRow="1" w:lastRow="0" w:firstColumn="1" w:lastColumn="0" w:noHBand="0" w:noVBand="1"/>
      </w:tblPr>
      <w:tblGrid>
        <w:gridCol w:w="3235"/>
      </w:tblGrid>
      <w:tr w:rsidR="00CE4E4D" w:rsidRPr="00183B3A" w14:paraId="42F09057" w14:textId="77777777">
        <w:trPr>
          <w:trHeight w:val="360"/>
        </w:trPr>
        <w:tc>
          <w:tcPr>
            <w:tcW w:w="3235" w:type="dxa"/>
            <w:tcBorders>
              <w:top w:val="nil"/>
              <w:left w:val="nil"/>
              <w:bottom w:val="nil"/>
              <w:right w:val="nil"/>
            </w:tcBorders>
            <w:shd w:val="clear" w:color="auto" w:fill="005587"/>
            <w:vAlign w:val="center"/>
          </w:tcPr>
          <w:p w14:paraId="189C658D" w14:textId="77777777" w:rsidR="00CE4E4D" w:rsidRPr="00183B3A" w:rsidRDefault="00CE4E4D">
            <w:pPr>
              <w:pStyle w:val="CalloutTitle"/>
            </w:pPr>
            <w:r>
              <w:t xml:space="preserve">CALLOUT 2 BOX </w:t>
            </w:r>
            <w:r w:rsidRPr="00183B3A">
              <w:t>TITLE TEXT</w:t>
            </w:r>
          </w:p>
        </w:tc>
      </w:tr>
      <w:tr w:rsidR="00CE4E4D" w:rsidRPr="00183B3A" w14:paraId="61FE69E4" w14:textId="77777777">
        <w:trPr>
          <w:trHeight w:val="1620"/>
        </w:trPr>
        <w:tc>
          <w:tcPr>
            <w:tcW w:w="3235" w:type="dxa"/>
            <w:tcBorders>
              <w:top w:val="nil"/>
              <w:left w:val="nil"/>
              <w:bottom w:val="single" w:sz="18" w:space="0" w:color="005587"/>
              <w:right w:val="nil"/>
            </w:tcBorders>
            <w:vAlign w:val="center"/>
          </w:tcPr>
          <w:p w14:paraId="21DE2356" w14:textId="77777777" w:rsidR="00CE4E4D" w:rsidRPr="008818FD" w:rsidRDefault="00CE4E4D">
            <w:pPr>
              <w:pStyle w:val="Callout2Body"/>
              <w:framePr w:hSpace="0" w:wrap="auto" w:vAnchor="margin" w:hAnchor="text" w:xAlign="left" w:yAlign="inline"/>
              <w:suppressOverlap w:val="0"/>
              <w:rPr>
                <w:i/>
              </w:rPr>
            </w:pPr>
            <w:r w:rsidRPr="00080556">
              <w:rPr>
                <w:rStyle w:val="CharacterItalics"/>
              </w:rPr>
              <w:t xml:space="preserve">Lorem ipsum dolor </w:t>
            </w:r>
            <w:proofErr w:type="gramStart"/>
            <w:r w:rsidRPr="00080556">
              <w:rPr>
                <w:rStyle w:val="CharacterItalics"/>
              </w:rPr>
              <w:t>sit</w:t>
            </w:r>
            <w:proofErr w:type="gramEnd"/>
            <w:r w:rsidRPr="00080556">
              <w:rPr>
                <w:rStyle w:val="CharacterItalics"/>
              </w:rPr>
              <w:t xml:space="preserve"> </w:t>
            </w:r>
            <w:proofErr w:type="spellStart"/>
            <w:r w:rsidRPr="00080556">
              <w:rPr>
                <w:rStyle w:val="CharacterItalics"/>
              </w:rPr>
              <w:t>amet</w:t>
            </w:r>
            <w:proofErr w:type="spellEnd"/>
            <w:r w:rsidRPr="00080556">
              <w:rPr>
                <w:rStyle w:val="CharacterItalics"/>
              </w:rPr>
              <w:t xml:space="preserve">, </w:t>
            </w:r>
            <w:proofErr w:type="spellStart"/>
            <w:r w:rsidRPr="00080556">
              <w:rPr>
                <w:rStyle w:val="CharacterItalics"/>
              </w:rPr>
              <w:t>consectetuer</w:t>
            </w:r>
            <w:proofErr w:type="spellEnd"/>
            <w:r w:rsidRPr="00080556">
              <w:rPr>
                <w:rStyle w:val="CharacterItalics"/>
              </w:rPr>
              <w:t xml:space="preserve"> </w:t>
            </w:r>
            <w:proofErr w:type="spellStart"/>
            <w:r w:rsidRPr="00080556">
              <w:rPr>
                <w:rStyle w:val="CharacterItalics"/>
              </w:rPr>
              <w:t>adipiscing</w:t>
            </w:r>
            <w:proofErr w:type="spellEnd"/>
            <w:r w:rsidRPr="00080556">
              <w:rPr>
                <w:rStyle w:val="CharacterItalics"/>
              </w:rPr>
              <w:t xml:space="preserve"> </w:t>
            </w:r>
            <w:proofErr w:type="spellStart"/>
            <w:r w:rsidRPr="00080556">
              <w:rPr>
                <w:rStyle w:val="CharacterItalics"/>
              </w:rPr>
              <w:t>elit</w:t>
            </w:r>
            <w:proofErr w:type="spellEnd"/>
            <w:r w:rsidRPr="00080556">
              <w:rPr>
                <w:rStyle w:val="CharacterItalics"/>
              </w:rPr>
              <w:t xml:space="preserve">. Maecenas </w:t>
            </w:r>
            <w:proofErr w:type="spellStart"/>
            <w:r w:rsidRPr="00080556">
              <w:rPr>
                <w:rStyle w:val="CharacterItalics"/>
              </w:rPr>
              <w:t>porttitor</w:t>
            </w:r>
            <w:proofErr w:type="spellEnd"/>
            <w:r w:rsidRPr="00080556">
              <w:rPr>
                <w:rStyle w:val="CharacterItalics"/>
              </w:rPr>
              <w:t xml:space="preserve"> </w:t>
            </w:r>
            <w:proofErr w:type="spellStart"/>
            <w:r w:rsidRPr="00080556">
              <w:rPr>
                <w:rStyle w:val="CharacterItalics"/>
              </w:rPr>
              <w:t>congue</w:t>
            </w:r>
            <w:proofErr w:type="spellEnd"/>
            <w:r w:rsidRPr="00080556">
              <w:rPr>
                <w:rStyle w:val="CharacterItalics"/>
              </w:rPr>
              <w:t xml:space="preserve"> </w:t>
            </w:r>
            <w:proofErr w:type="spellStart"/>
            <w:r w:rsidRPr="00080556">
              <w:rPr>
                <w:rStyle w:val="CharacterItalics"/>
              </w:rPr>
              <w:t>massa</w:t>
            </w:r>
            <w:proofErr w:type="spellEnd"/>
            <w:r w:rsidRPr="00080556">
              <w:rPr>
                <w:rStyle w:val="CharacterItalics"/>
              </w:rPr>
              <w:t xml:space="preserve">. </w:t>
            </w:r>
            <w:proofErr w:type="spellStart"/>
            <w:r w:rsidRPr="00080556">
              <w:rPr>
                <w:rStyle w:val="CharacterItalics"/>
              </w:rPr>
              <w:t>Fusce</w:t>
            </w:r>
            <w:proofErr w:type="spellEnd"/>
            <w:r w:rsidRPr="00080556">
              <w:rPr>
                <w:rStyle w:val="CharacterItalics"/>
              </w:rPr>
              <w:t xml:space="preserve"> </w:t>
            </w:r>
            <w:proofErr w:type="spellStart"/>
            <w:r w:rsidRPr="00080556">
              <w:rPr>
                <w:rStyle w:val="CharacterItalics"/>
              </w:rPr>
              <w:t>posuere</w:t>
            </w:r>
            <w:proofErr w:type="spellEnd"/>
            <w:r w:rsidRPr="00080556">
              <w:rPr>
                <w:rStyle w:val="CharacterItalics"/>
              </w:rPr>
              <w:t xml:space="preserve">, magna sed pulvinar </w:t>
            </w:r>
            <w:proofErr w:type="spellStart"/>
            <w:r w:rsidRPr="00080556">
              <w:rPr>
                <w:rStyle w:val="CharacterItalics"/>
              </w:rPr>
              <w:t>ultricies</w:t>
            </w:r>
            <w:proofErr w:type="spellEnd"/>
            <w:r w:rsidRPr="00080556">
              <w:rPr>
                <w:rStyle w:val="CharacterItalics"/>
              </w:rPr>
              <w:t xml:space="preserve">, </w:t>
            </w:r>
            <w:proofErr w:type="spellStart"/>
            <w:r w:rsidRPr="00080556">
              <w:rPr>
                <w:rStyle w:val="CharacterItalics"/>
              </w:rPr>
              <w:t>purus</w:t>
            </w:r>
            <w:proofErr w:type="spellEnd"/>
            <w:r w:rsidRPr="00080556">
              <w:rPr>
                <w:rStyle w:val="CharacterItalics"/>
              </w:rPr>
              <w:t xml:space="preserve"> </w:t>
            </w:r>
            <w:proofErr w:type="spellStart"/>
            <w:r w:rsidRPr="00080556">
              <w:rPr>
                <w:rStyle w:val="CharacterItalics"/>
              </w:rPr>
              <w:t>lectus</w:t>
            </w:r>
            <w:proofErr w:type="spellEnd"/>
            <w:r w:rsidRPr="00080556">
              <w:rPr>
                <w:rStyle w:val="CharacterItalics"/>
              </w:rPr>
              <w:t xml:space="preserve"> </w:t>
            </w:r>
            <w:proofErr w:type="spellStart"/>
            <w:r w:rsidRPr="00080556">
              <w:rPr>
                <w:rStyle w:val="CharacterItalics"/>
              </w:rPr>
              <w:t>malesuada</w:t>
            </w:r>
            <w:proofErr w:type="spellEnd"/>
            <w:r w:rsidRPr="00080556">
              <w:rPr>
                <w:rStyle w:val="CharacterItalics"/>
              </w:rPr>
              <w:t xml:space="preserve"> libero, sit </w:t>
            </w:r>
            <w:proofErr w:type="spellStart"/>
            <w:r w:rsidRPr="00080556">
              <w:rPr>
                <w:rStyle w:val="CharacterItalics"/>
              </w:rPr>
              <w:t>amet</w:t>
            </w:r>
            <w:proofErr w:type="spellEnd"/>
            <w:r w:rsidRPr="00080556">
              <w:rPr>
                <w:rStyle w:val="CharacterItalics"/>
              </w:rPr>
              <w:t xml:space="preserve"> </w:t>
            </w:r>
            <w:proofErr w:type="spellStart"/>
            <w:r w:rsidRPr="00080556">
              <w:rPr>
                <w:rStyle w:val="CharacterItalics"/>
              </w:rPr>
              <w:t>commodo</w:t>
            </w:r>
            <w:proofErr w:type="spellEnd"/>
            <w:r w:rsidRPr="00080556">
              <w:rPr>
                <w:rStyle w:val="CharacterItalics"/>
              </w:rPr>
              <w:t xml:space="preserve"> magna eros </w:t>
            </w:r>
            <w:proofErr w:type="spellStart"/>
            <w:r w:rsidRPr="00080556">
              <w:rPr>
                <w:rStyle w:val="CharacterItalics"/>
              </w:rPr>
              <w:t>quis</w:t>
            </w:r>
            <w:proofErr w:type="spellEnd"/>
            <w:r w:rsidRPr="00080556">
              <w:rPr>
                <w:rStyle w:val="CharacterItalics"/>
              </w:rPr>
              <w:t xml:space="preserve"> </w:t>
            </w:r>
            <w:proofErr w:type="spellStart"/>
            <w:r w:rsidRPr="00080556">
              <w:rPr>
                <w:rStyle w:val="CharacterItalics"/>
              </w:rPr>
              <w:t>urna</w:t>
            </w:r>
            <w:proofErr w:type="spellEnd"/>
            <w:r w:rsidRPr="00080556">
              <w:rPr>
                <w:rStyle w:val="CharacterItalics"/>
              </w:rPr>
              <w:t>.</w:t>
            </w:r>
          </w:p>
        </w:tc>
      </w:tr>
    </w:tbl>
    <w:p w14:paraId="78312CE3" w14:textId="77777777" w:rsidR="00CE4E4D" w:rsidRDefault="00CE4E4D" w:rsidP="00CE4E4D">
      <w:pPr>
        <w:pStyle w:val="BodyText"/>
      </w:pPr>
      <w:r w:rsidRPr="004B4151">
        <w:t>Give a synopsis of candidate's experience with focus on relevant tasks, duties, work, accomplishments. Spell out numbers zero to nine; use numerical values for 10 and higher, unless the number represents a dollar amount (i.e., $1 Million). Also, please refer to the candidate as Title plus Last Name, for example: Ms. Smith has over 15 years of experience in financial management.</w:t>
      </w:r>
    </w:p>
    <w:p w14:paraId="1193F13C" w14:textId="77777777" w:rsidR="00CE4E4D" w:rsidRPr="004B4151" w:rsidRDefault="00CE4E4D" w:rsidP="00CE4E4D">
      <w:pPr>
        <w:pStyle w:val="BodyText"/>
      </w:pPr>
      <w:r w:rsidRPr="004B4151">
        <w:t xml:space="preserve">Example: Mr. Smith has more than 12 years of extensive IT experience, specializing in complex programs. He has experience with data governance, data management, meta-data management, data warehousing, data cleansing and enterprise </w:t>
      </w:r>
      <w:r w:rsidRPr="004B4151">
        <w:lastRenderedPageBreak/>
        <w:t xml:space="preserve">reporting. Mr. Smith has worked in many industries and environments, including </w:t>
      </w:r>
      <w:proofErr w:type="gramStart"/>
      <w:r w:rsidRPr="004B4151">
        <w:t>past experience</w:t>
      </w:r>
      <w:proofErr w:type="gramEnd"/>
      <w:r w:rsidRPr="004B4151">
        <w:t xml:space="preserve"> working with DHS. He has a demonstrated track record of program management as well as bringing projects to closure in challenging environments.</w:t>
      </w:r>
    </w:p>
    <w:p w14:paraId="739A4C82" w14:textId="77777777" w:rsidR="00CE4E4D" w:rsidRPr="004B4151" w:rsidRDefault="00CE4E4D" w:rsidP="00CE4E4D">
      <w:pPr>
        <w:pStyle w:val="ResumeHeading"/>
      </w:pPr>
      <w:r w:rsidRPr="004B4151">
        <w:t>Recent Experience</w:t>
      </w:r>
    </w:p>
    <w:p w14:paraId="0175FC89" w14:textId="77777777" w:rsidR="00CE4E4D" w:rsidRPr="0037159E" w:rsidRDefault="00CE4E4D" w:rsidP="00CE4E4D">
      <w:pPr>
        <w:pStyle w:val="ResumeJobTitle"/>
      </w:pPr>
      <w:r>
        <w:t xml:space="preserve">Resume </w:t>
      </w:r>
      <w:r w:rsidRPr="0037159E">
        <w:t>Job Title</w:t>
      </w:r>
      <w:r w:rsidRPr="0037159E">
        <w:tab/>
        <w:t>Dates</w:t>
      </w:r>
    </w:p>
    <w:p w14:paraId="776F3374" w14:textId="77777777" w:rsidR="00CE4E4D" w:rsidRPr="004B4151" w:rsidRDefault="00CE4E4D" w:rsidP="00CE4E4D">
      <w:pPr>
        <w:pStyle w:val="ResumeHeading"/>
      </w:pPr>
      <w:r w:rsidRPr="004B4151">
        <w:t>Employment History</w:t>
      </w:r>
    </w:p>
    <w:p w14:paraId="0015E830" w14:textId="77777777" w:rsidR="00CE4E4D" w:rsidRPr="004B4151" w:rsidRDefault="00CE4E4D" w:rsidP="00CE4E4D">
      <w:pPr>
        <w:pStyle w:val="Bulletlevel1"/>
        <w:tabs>
          <w:tab w:val="clear" w:pos="360"/>
        </w:tabs>
      </w:pPr>
      <w:r w:rsidRPr="004B4151">
        <w:t>Company, Title, (From – To)</w:t>
      </w:r>
    </w:p>
    <w:p w14:paraId="37B4C19A" w14:textId="77777777" w:rsidR="00CE4E4D" w:rsidRPr="004B4151" w:rsidRDefault="00CE4E4D" w:rsidP="00CE4E4D">
      <w:pPr>
        <w:pStyle w:val="ResumeHeading"/>
      </w:pPr>
      <w:r w:rsidRPr="004B4151">
        <w:t>Education</w:t>
      </w:r>
    </w:p>
    <w:p w14:paraId="2C73F1C3" w14:textId="77777777" w:rsidR="00CE4E4D" w:rsidRPr="004B4151" w:rsidRDefault="00CE4E4D" w:rsidP="00CE4E4D">
      <w:pPr>
        <w:pStyle w:val="Bulletlevel1"/>
        <w:tabs>
          <w:tab w:val="clear" w:pos="360"/>
        </w:tabs>
      </w:pPr>
      <w:r w:rsidRPr="004B4151">
        <w:t>Degree, Field, School</w:t>
      </w:r>
    </w:p>
    <w:p w14:paraId="770E7DE2" w14:textId="77777777" w:rsidR="006065FF" w:rsidRDefault="006065FF" w:rsidP="00CE4E4D">
      <w:pPr>
        <w:pStyle w:val="BodyText"/>
      </w:pPr>
      <w:r>
        <w:br w:type="page"/>
      </w:r>
    </w:p>
    <w:p w14:paraId="02004236" w14:textId="77777777" w:rsidR="006065FF" w:rsidRDefault="006065FF" w:rsidP="006065FF">
      <w:pPr>
        <w:pStyle w:val="Heading2"/>
        <w:rPr>
          <w:rStyle w:val="ResumeName14pts"/>
          <w:i/>
          <w:iCs w:val="0"/>
        </w:rPr>
      </w:pPr>
      <w:bookmarkStart w:id="28" w:name="_Toc228252931"/>
      <w:r>
        <w:lastRenderedPageBreak/>
        <w:t>A.2</w:t>
      </w:r>
      <w:r>
        <w:tab/>
      </w:r>
      <w:r w:rsidRPr="006065FF">
        <w:t>Project Manager (ER&amp;R)</w:t>
      </w:r>
      <w:bookmarkEnd w:id="28"/>
    </w:p>
    <w:p w14:paraId="5EF8D5E0" w14:textId="77777777" w:rsidR="006065FF" w:rsidRPr="00296F28" w:rsidRDefault="006065FF" w:rsidP="006065FF">
      <w:pPr>
        <w:pStyle w:val="ResumeNameEntity"/>
        <w:rPr>
          <w:b/>
          <w:iCs/>
        </w:rPr>
      </w:pPr>
      <w:r>
        <w:rPr>
          <w:rStyle w:val="ResumeName14pts"/>
          <w:i w:val="0"/>
          <w:iCs w:val="0"/>
        </w:rPr>
        <w:t>Name</w:t>
      </w:r>
      <w:r>
        <w:rPr>
          <w:rStyle w:val="ResumeName14pts"/>
        </w:rPr>
        <w:tab/>
      </w:r>
      <w:r w:rsidRPr="003461D9">
        <w:t>Legal Entity, Title</w:t>
      </w:r>
    </w:p>
    <w:p w14:paraId="0B31DE6D" w14:textId="77777777" w:rsidR="006065FF" w:rsidRPr="0070652A" w:rsidRDefault="006065FF" w:rsidP="006065FF">
      <w:pPr>
        <w:pStyle w:val="ResumeProposedRole"/>
      </w:pPr>
      <w:r>
        <w:t>Labor Category</w:t>
      </w:r>
      <w:r w:rsidRPr="0070652A">
        <w:t xml:space="preserve">:</w:t>
      </w:r>
    </w:p>
    <w:p w14:paraId="04047ACA" w14:textId="77777777" w:rsidR="006065FF" w:rsidRPr="004B4151" w:rsidRDefault="006065FF" w:rsidP="006065FF">
      <w:pPr>
        <w:pStyle w:val="ResumeHeading"/>
      </w:pPr>
      <w:r w:rsidRPr="004B4151">
        <w:t>Experience Summary</w:t>
      </w:r>
    </w:p>
    <w:tbl>
      <w:tblPr>
        <w:tblStyle w:val="TableGrid"/>
        <w:tblpPr w:leftFromText="288" w:rightFromText="288" w:vertAnchor="text" w:horzAnchor="margin" w:tblpXSpec="right" w:tblpY="-10"/>
        <w:tblOverlap w:val="never"/>
        <w:tblW w:w="0" w:type="auto"/>
        <w:tblLook w:val="04A0" w:firstRow="1" w:lastRow="0" w:firstColumn="1" w:lastColumn="0" w:noHBand="0" w:noVBand="1"/>
      </w:tblPr>
      <w:tblGrid>
        <w:gridCol w:w="3235"/>
      </w:tblGrid>
      <w:tr w:rsidR="006065FF" w:rsidRPr="00183B3A" w14:paraId="56B6C584" w14:textId="77777777" w:rsidTr="004150FE">
        <w:trPr>
          <w:trHeight w:val="360"/>
        </w:trPr>
        <w:tc>
          <w:tcPr>
            <w:tcW w:w="3235" w:type="dxa"/>
            <w:tcBorders>
              <w:top w:val="nil"/>
              <w:left w:val="nil"/>
              <w:bottom w:val="nil"/>
              <w:right w:val="nil"/>
            </w:tcBorders>
            <w:shd w:val="clear" w:color="auto" w:fill="005587"/>
            <w:vAlign w:val="center"/>
          </w:tcPr>
          <w:p w14:paraId="3AE74E61" w14:textId="77777777" w:rsidR="006065FF" w:rsidRPr="00183B3A" w:rsidRDefault="006065FF" w:rsidP="004150FE">
            <w:pPr>
              <w:pStyle w:val="CalloutTitle"/>
            </w:pPr>
            <w:r>
              <w:t xml:space="preserve">CALLOUT 2 BOX </w:t>
            </w:r>
            <w:r w:rsidRPr="00183B3A">
              <w:t>TITLE TEXT</w:t>
            </w:r>
          </w:p>
        </w:tc>
      </w:tr>
      <w:tr w:rsidR="006065FF" w:rsidRPr="00183B3A" w14:paraId="4D844B6D" w14:textId="77777777" w:rsidTr="004150FE">
        <w:trPr>
          <w:trHeight w:val="1620"/>
        </w:trPr>
        <w:tc>
          <w:tcPr>
            <w:tcW w:w="3235" w:type="dxa"/>
            <w:tcBorders>
              <w:top w:val="nil"/>
              <w:left w:val="nil"/>
              <w:bottom w:val="single" w:sz="18" w:space="0" w:color="005587"/>
              <w:right w:val="nil"/>
            </w:tcBorders>
            <w:vAlign w:val="center"/>
          </w:tcPr>
          <w:p w14:paraId="3CC43078" w14:textId="77777777" w:rsidR="006065FF" w:rsidRPr="008818FD" w:rsidRDefault="006065FF" w:rsidP="004150FE">
            <w:pPr>
              <w:pStyle w:val="Callout2Body"/>
              <w:framePr w:hSpace="0" w:wrap="auto" w:vAnchor="margin" w:hAnchor="text" w:xAlign="left" w:yAlign="inline"/>
              <w:suppressOverlap w:val="0"/>
              <w:rPr>
                <w:i/>
              </w:rPr>
            </w:pPr>
            <w:r w:rsidRPr="00080556">
              <w:rPr>
                <w:rStyle w:val="CharacterItalics"/>
              </w:rPr>
              <w:t xml:space="preserve">Lorem ipsum dolor </w:t>
            </w:r>
            <w:proofErr w:type="gramStart"/>
            <w:r w:rsidRPr="00080556">
              <w:rPr>
                <w:rStyle w:val="CharacterItalics"/>
              </w:rPr>
              <w:t>sit</w:t>
            </w:r>
            <w:proofErr w:type="gramEnd"/>
            <w:r w:rsidRPr="00080556">
              <w:rPr>
                <w:rStyle w:val="CharacterItalics"/>
              </w:rPr>
              <w:t xml:space="preserve"> </w:t>
            </w:r>
            <w:proofErr w:type="spellStart"/>
            <w:r w:rsidRPr="00080556">
              <w:rPr>
                <w:rStyle w:val="CharacterItalics"/>
              </w:rPr>
              <w:t>amet</w:t>
            </w:r>
            <w:proofErr w:type="spellEnd"/>
            <w:r w:rsidRPr="00080556">
              <w:rPr>
                <w:rStyle w:val="CharacterItalics"/>
              </w:rPr>
              <w:t xml:space="preserve">, </w:t>
            </w:r>
            <w:proofErr w:type="spellStart"/>
            <w:r w:rsidRPr="00080556">
              <w:rPr>
                <w:rStyle w:val="CharacterItalics"/>
              </w:rPr>
              <w:t>consectetuer</w:t>
            </w:r>
            <w:proofErr w:type="spellEnd"/>
            <w:r w:rsidRPr="00080556">
              <w:rPr>
                <w:rStyle w:val="CharacterItalics"/>
              </w:rPr>
              <w:t xml:space="preserve"> </w:t>
            </w:r>
            <w:proofErr w:type="spellStart"/>
            <w:r w:rsidRPr="00080556">
              <w:rPr>
                <w:rStyle w:val="CharacterItalics"/>
              </w:rPr>
              <w:t>adipiscing</w:t>
            </w:r>
            <w:proofErr w:type="spellEnd"/>
            <w:r w:rsidRPr="00080556">
              <w:rPr>
                <w:rStyle w:val="CharacterItalics"/>
              </w:rPr>
              <w:t xml:space="preserve"> </w:t>
            </w:r>
            <w:proofErr w:type="spellStart"/>
            <w:r w:rsidRPr="00080556">
              <w:rPr>
                <w:rStyle w:val="CharacterItalics"/>
              </w:rPr>
              <w:t>elit</w:t>
            </w:r>
            <w:proofErr w:type="spellEnd"/>
            <w:r w:rsidRPr="00080556">
              <w:rPr>
                <w:rStyle w:val="CharacterItalics"/>
              </w:rPr>
              <w:t xml:space="preserve">. Maecenas </w:t>
            </w:r>
            <w:proofErr w:type="spellStart"/>
            <w:r w:rsidRPr="00080556">
              <w:rPr>
                <w:rStyle w:val="CharacterItalics"/>
              </w:rPr>
              <w:t>porttitor</w:t>
            </w:r>
            <w:proofErr w:type="spellEnd"/>
            <w:r w:rsidRPr="00080556">
              <w:rPr>
                <w:rStyle w:val="CharacterItalics"/>
              </w:rPr>
              <w:t xml:space="preserve"> </w:t>
            </w:r>
            <w:proofErr w:type="spellStart"/>
            <w:r w:rsidRPr="00080556">
              <w:rPr>
                <w:rStyle w:val="CharacterItalics"/>
              </w:rPr>
              <w:t>congue</w:t>
            </w:r>
            <w:proofErr w:type="spellEnd"/>
            <w:r w:rsidRPr="00080556">
              <w:rPr>
                <w:rStyle w:val="CharacterItalics"/>
              </w:rPr>
              <w:t xml:space="preserve"> </w:t>
            </w:r>
            <w:proofErr w:type="spellStart"/>
            <w:r w:rsidRPr="00080556">
              <w:rPr>
                <w:rStyle w:val="CharacterItalics"/>
              </w:rPr>
              <w:t>massa</w:t>
            </w:r>
            <w:proofErr w:type="spellEnd"/>
            <w:r w:rsidRPr="00080556">
              <w:rPr>
                <w:rStyle w:val="CharacterItalics"/>
              </w:rPr>
              <w:t xml:space="preserve">. </w:t>
            </w:r>
            <w:proofErr w:type="spellStart"/>
            <w:r w:rsidRPr="00080556">
              <w:rPr>
                <w:rStyle w:val="CharacterItalics"/>
              </w:rPr>
              <w:t>Fusce</w:t>
            </w:r>
            <w:proofErr w:type="spellEnd"/>
            <w:r w:rsidRPr="00080556">
              <w:rPr>
                <w:rStyle w:val="CharacterItalics"/>
              </w:rPr>
              <w:t xml:space="preserve"> </w:t>
            </w:r>
            <w:proofErr w:type="spellStart"/>
            <w:r w:rsidRPr="00080556">
              <w:rPr>
                <w:rStyle w:val="CharacterItalics"/>
              </w:rPr>
              <w:t>posuere</w:t>
            </w:r>
            <w:proofErr w:type="spellEnd"/>
            <w:r w:rsidRPr="00080556">
              <w:rPr>
                <w:rStyle w:val="CharacterItalics"/>
              </w:rPr>
              <w:t xml:space="preserve">, magna sed pulvinar </w:t>
            </w:r>
            <w:proofErr w:type="spellStart"/>
            <w:r w:rsidRPr="00080556">
              <w:rPr>
                <w:rStyle w:val="CharacterItalics"/>
              </w:rPr>
              <w:t>ultricies</w:t>
            </w:r>
            <w:proofErr w:type="spellEnd"/>
            <w:r w:rsidRPr="00080556">
              <w:rPr>
                <w:rStyle w:val="CharacterItalics"/>
              </w:rPr>
              <w:t xml:space="preserve">, </w:t>
            </w:r>
            <w:proofErr w:type="spellStart"/>
            <w:r w:rsidRPr="00080556">
              <w:rPr>
                <w:rStyle w:val="CharacterItalics"/>
              </w:rPr>
              <w:t>purus</w:t>
            </w:r>
            <w:proofErr w:type="spellEnd"/>
            <w:r w:rsidRPr="00080556">
              <w:rPr>
                <w:rStyle w:val="CharacterItalics"/>
              </w:rPr>
              <w:t xml:space="preserve"> </w:t>
            </w:r>
            <w:proofErr w:type="spellStart"/>
            <w:r w:rsidRPr="00080556">
              <w:rPr>
                <w:rStyle w:val="CharacterItalics"/>
              </w:rPr>
              <w:t>lectus</w:t>
            </w:r>
            <w:proofErr w:type="spellEnd"/>
            <w:r w:rsidRPr="00080556">
              <w:rPr>
                <w:rStyle w:val="CharacterItalics"/>
              </w:rPr>
              <w:t xml:space="preserve"> </w:t>
            </w:r>
            <w:proofErr w:type="spellStart"/>
            <w:r w:rsidRPr="00080556">
              <w:rPr>
                <w:rStyle w:val="CharacterItalics"/>
              </w:rPr>
              <w:t>malesuada</w:t>
            </w:r>
            <w:proofErr w:type="spellEnd"/>
            <w:r w:rsidRPr="00080556">
              <w:rPr>
                <w:rStyle w:val="CharacterItalics"/>
              </w:rPr>
              <w:t xml:space="preserve"> libero, sit </w:t>
            </w:r>
            <w:proofErr w:type="spellStart"/>
            <w:r w:rsidRPr="00080556">
              <w:rPr>
                <w:rStyle w:val="CharacterItalics"/>
              </w:rPr>
              <w:t>amet</w:t>
            </w:r>
            <w:proofErr w:type="spellEnd"/>
            <w:r w:rsidRPr="00080556">
              <w:rPr>
                <w:rStyle w:val="CharacterItalics"/>
              </w:rPr>
              <w:t xml:space="preserve"> </w:t>
            </w:r>
            <w:proofErr w:type="spellStart"/>
            <w:r w:rsidRPr="00080556">
              <w:rPr>
                <w:rStyle w:val="CharacterItalics"/>
              </w:rPr>
              <w:t>commodo</w:t>
            </w:r>
            <w:proofErr w:type="spellEnd"/>
            <w:r w:rsidRPr="00080556">
              <w:rPr>
                <w:rStyle w:val="CharacterItalics"/>
              </w:rPr>
              <w:t xml:space="preserve"> magna eros </w:t>
            </w:r>
            <w:proofErr w:type="spellStart"/>
            <w:r w:rsidRPr="00080556">
              <w:rPr>
                <w:rStyle w:val="CharacterItalics"/>
              </w:rPr>
              <w:t>quis</w:t>
            </w:r>
            <w:proofErr w:type="spellEnd"/>
            <w:r w:rsidRPr="00080556">
              <w:rPr>
                <w:rStyle w:val="CharacterItalics"/>
              </w:rPr>
              <w:t xml:space="preserve"> </w:t>
            </w:r>
            <w:proofErr w:type="spellStart"/>
            <w:r w:rsidRPr="00080556">
              <w:rPr>
                <w:rStyle w:val="CharacterItalics"/>
              </w:rPr>
              <w:t>urna</w:t>
            </w:r>
            <w:proofErr w:type="spellEnd"/>
            <w:r w:rsidRPr="00080556">
              <w:rPr>
                <w:rStyle w:val="CharacterItalics"/>
              </w:rPr>
              <w:t>.</w:t>
            </w:r>
          </w:p>
        </w:tc>
      </w:tr>
    </w:tbl>
    <w:p w14:paraId="674E7AA6" w14:textId="77777777" w:rsidR="006065FF" w:rsidRDefault="006065FF" w:rsidP="006065FF">
      <w:pPr>
        <w:pStyle w:val="BodyText"/>
      </w:pPr>
      <w:r w:rsidRPr="004B4151">
        <w:t>Give a synopsis of candidate's experience with focus on relevant tasks, duties, work, accomplishments. Spell out numbers zero to nine; use numerical values for 10 and higher, unless the number represents a dollar amount (i.e., $1 Million). Also, please refer to the candidate as Title plus Last Name, for example: Ms. Smith has over 15 years of experience in financial management.</w:t>
      </w:r>
    </w:p>
    <w:p w14:paraId="48C41B47" w14:textId="77777777" w:rsidR="006065FF" w:rsidRPr="004B4151" w:rsidRDefault="006065FF" w:rsidP="006065FF">
      <w:pPr>
        <w:pStyle w:val="BodyText"/>
      </w:pPr>
      <w:r w:rsidRPr="004B4151">
        <w:t xml:space="preserve">Example: Mr. Smith has more than 12 years of extensive IT experience, specializing in complex programs. He has experience with data governance, data management, meta-data management, data warehousing, data cleansing and enterprise reporting. Mr. Smith has worked in many industries and environments, including </w:t>
      </w:r>
      <w:proofErr w:type="gramStart"/>
      <w:r w:rsidRPr="004B4151">
        <w:t>past experience</w:t>
      </w:r>
      <w:proofErr w:type="gramEnd"/>
      <w:r w:rsidRPr="004B4151">
        <w:t xml:space="preserve"> working with DHS. He has a demonstrated track record of program management as well as bringing projects to closure in challenging environments.</w:t>
      </w:r>
    </w:p>
    <w:p w14:paraId="26575EFE" w14:textId="77777777" w:rsidR="006065FF" w:rsidRPr="004B4151" w:rsidRDefault="006065FF" w:rsidP="006065FF">
      <w:pPr>
        <w:pStyle w:val="ResumeHeading"/>
      </w:pPr>
      <w:r w:rsidRPr="004B4151">
        <w:t>Recent Experience</w:t>
      </w:r>
    </w:p>
    <w:p w14:paraId="00E3F4D8" w14:textId="77777777" w:rsidR="006065FF" w:rsidRPr="0037159E" w:rsidRDefault="006065FF" w:rsidP="006065FF">
      <w:pPr>
        <w:pStyle w:val="ResumeJobTitle"/>
      </w:pPr>
      <w:r>
        <w:t xml:space="preserve">Resume </w:t>
      </w:r>
      <w:r w:rsidRPr="0037159E">
        <w:t>Job Title</w:t>
      </w:r>
      <w:r w:rsidRPr="0037159E">
        <w:tab/>
        <w:t>Dates</w:t>
      </w:r>
    </w:p>
    <w:p w14:paraId="7A9D35D2" w14:textId="77777777" w:rsidR="006065FF" w:rsidRPr="004B4151" w:rsidRDefault="006065FF" w:rsidP="006065FF">
      <w:pPr>
        <w:pStyle w:val="ResumeHeading"/>
      </w:pPr>
      <w:r w:rsidRPr="004B4151">
        <w:t>Employment History</w:t>
      </w:r>
    </w:p>
    <w:p w14:paraId="7C26B345" w14:textId="77777777" w:rsidR="006065FF" w:rsidRPr="004B4151" w:rsidRDefault="006065FF" w:rsidP="006065FF">
      <w:pPr>
        <w:pStyle w:val="Bulletlevel1"/>
        <w:tabs>
          <w:tab w:val="clear" w:pos="360"/>
        </w:tabs>
      </w:pPr>
      <w:r w:rsidRPr="004B4151">
        <w:t>Company, Title, (From – To)</w:t>
      </w:r>
    </w:p>
    <w:p w14:paraId="015BE1F5" w14:textId="77777777" w:rsidR="006065FF" w:rsidRPr="004B4151" w:rsidRDefault="006065FF" w:rsidP="006065FF">
      <w:pPr>
        <w:pStyle w:val="ResumeHeading"/>
      </w:pPr>
      <w:r w:rsidRPr="004B4151">
        <w:t>Education</w:t>
      </w:r>
    </w:p>
    <w:p w14:paraId="3CF82A2D" w14:textId="77777777" w:rsidR="006065FF" w:rsidRPr="004B4151" w:rsidRDefault="006065FF" w:rsidP="006065FF">
      <w:pPr>
        <w:pStyle w:val="Bulletlevel1"/>
        <w:tabs>
          <w:tab w:val="clear" w:pos="360"/>
        </w:tabs>
      </w:pPr>
      <w:r w:rsidRPr="004B4151">
        <w:t>Degree, Field, School</w:t>
      </w:r>
    </w:p>
    <w:p w14:paraId="1776E6B4" w14:textId="77777777" w:rsidR="006065FF" w:rsidRDefault="006065FF" w:rsidP="00CE4E4D">
      <w:pPr>
        <w:pStyle w:val="BodyText"/>
      </w:pPr>
      <w:r>
        <w:br w:type="page"/>
      </w:r>
    </w:p>
    <w:p w14:paraId="477D4AFA" w14:textId="77777777" w:rsidR="006065FF" w:rsidRDefault="006065FF" w:rsidP="006065FF">
      <w:pPr>
        <w:pStyle w:val="Heading2"/>
        <w:rPr>
          <w:rStyle w:val="ResumeName14pts"/>
          <w:i/>
          <w:iCs w:val="0"/>
        </w:rPr>
      </w:pPr>
      <w:bookmarkStart w:id="29" w:name="_Toc228252932"/>
      <w:r>
        <w:lastRenderedPageBreak/>
        <w:t>A.</w:t>
      </w:r>
      <w:r w:rsidR="005B726A">
        <w:t>3</w:t>
      </w:r>
      <w:r>
        <w:tab/>
      </w:r>
      <w:r w:rsidRPr="006065FF">
        <w:t>Project Manager (Form 1095-A &amp; CCHC)</w:t>
      </w:r>
      <w:bookmarkEnd w:id="29"/>
    </w:p>
    <w:p w14:paraId="2CB22C84" w14:textId="77777777" w:rsidR="006065FF" w:rsidRPr="00296F28" w:rsidRDefault="006065FF" w:rsidP="006065FF">
      <w:pPr>
        <w:pStyle w:val="ResumeNameEntity"/>
        <w:rPr>
          <w:b/>
          <w:iCs/>
        </w:rPr>
      </w:pPr>
      <w:r>
        <w:rPr>
          <w:rStyle w:val="ResumeName14pts"/>
          <w:i w:val="0"/>
          <w:iCs w:val="0"/>
        </w:rPr>
        <w:t>Name</w:t>
      </w:r>
      <w:r>
        <w:rPr>
          <w:rStyle w:val="ResumeName14pts"/>
        </w:rPr>
        <w:tab/>
      </w:r>
      <w:r w:rsidRPr="003461D9">
        <w:t>Legal Entity, Title</w:t>
      </w:r>
    </w:p>
    <w:p w14:paraId="4A6299AC" w14:textId="77777777" w:rsidR="006065FF" w:rsidRPr="0070652A" w:rsidRDefault="006065FF" w:rsidP="006065FF">
      <w:pPr>
        <w:pStyle w:val="ResumeProposedRole"/>
      </w:pPr>
      <w:r>
        <w:t>Labor Category</w:t>
      </w:r>
      <w:r w:rsidRPr="0070652A">
        <w:t xml:space="preserve">:</w:t>
      </w:r>
    </w:p>
    <w:p w14:paraId="0C159047" w14:textId="77777777" w:rsidR="006065FF" w:rsidRPr="004B4151" w:rsidRDefault="006065FF" w:rsidP="006065FF">
      <w:pPr>
        <w:pStyle w:val="ResumeHeading"/>
      </w:pPr>
      <w:r w:rsidRPr="004B4151">
        <w:t>Experience Summary</w:t>
      </w:r>
    </w:p>
    <w:tbl>
      <w:tblPr>
        <w:tblStyle w:val="TableGrid"/>
        <w:tblpPr w:leftFromText="288" w:rightFromText="288" w:vertAnchor="text" w:horzAnchor="margin" w:tblpXSpec="right" w:tblpY="-10"/>
        <w:tblOverlap w:val="never"/>
        <w:tblW w:w="0" w:type="auto"/>
        <w:tblLook w:val="04A0" w:firstRow="1" w:lastRow="0" w:firstColumn="1" w:lastColumn="0" w:noHBand="0" w:noVBand="1"/>
      </w:tblPr>
      <w:tblGrid>
        <w:gridCol w:w="3235"/>
      </w:tblGrid>
      <w:tr w:rsidR="006065FF" w:rsidRPr="00183B3A" w14:paraId="42A58922" w14:textId="77777777" w:rsidTr="004150FE">
        <w:trPr>
          <w:trHeight w:val="360"/>
        </w:trPr>
        <w:tc>
          <w:tcPr>
            <w:tcW w:w="3235" w:type="dxa"/>
            <w:tcBorders>
              <w:top w:val="nil"/>
              <w:left w:val="nil"/>
              <w:bottom w:val="nil"/>
              <w:right w:val="nil"/>
            </w:tcBorders>
            <w:shd w:val="clear" w:color="auto" w:fill="005587"/>
            <w:vAlign w:val="center"/>
          </w:tcPr>
          <w:p w14:paraId="324CAD6A" w14:textId="77777777" w:rsidR="006065FF" w:rsidRPr="00183B3A" w:rsidRDefault="006065FF" w:rsidP="004150FE">
            <w:pPr>
              <w:pStyle w:val="CalloutTitle"/>
            </w:pPr>
            <w:r>
              <w:t xml:space="preserve">CALLOUT 2 BOX </w:t>
            </w:r>
            <w:r w:rsidRPr="00183B3A">
              <w:t>TITLE TEXT</w:t>
            </w:r>
          </w:p>
        </w:tc>
      </w:tr>
      <w:tr w:rsidR="006065FF" w:rsidRPr="00183B3A" w14:paraId="5CAB1893" w14:textId="77777777" w:rsidTr="004150FE">
        <w:trPr>
          <w:trHeight w:val="1620"/>
        </w:trPr>
        <w:tc>
          <w:tcPr>
            <w:tcW w:w="3235" w:type="dxa"/>
            <w:tcBorders>
              <w:top w:val="nil"/>
              <w:left w:val="nil"/>
              <w:bottom w:val="single" w:sz="18" w:space="0" w:color="005587"/>
              <w:right w:val="nil"/>
            </w:tcBorders>
            <w:vAlign w:val="center"/>
          </w:tcPr>
          <w:p w14:paraId="638ABE15" w14:textId="77777777" w:rsidR="006065FF" w:rsidRPr="008818FD" w:rsidRDefault="006065FF" w:rsidP="004150FE">
            <w:pPr>
              <w:pStyle w:val="Callout2Body"/>
              <w:framePr w:hSpace="0" w:wrap="auto" w:vAnchor="margin" w:hAnchor="text" w:xAlign="left" w:yAlign="inline"/>
              <w:suppressOverlap w:val="0"/>
              <w:rPr>
                <w:i/>
              </w:rPr>
            </w:pPr>
            <w:r w:rsidRPr="00080556">
              <w:rPr>
                <w:rStyle w:val="CharacterItalics"/>
              </w:rPr>
              <w:t xml:space="preserve">Lorem ipsum dolor </w:t>
            </w:r>
            <w:proofErr w:type="gramStart"/>
            <w:r w:rsidRPr="00080556">
              <w:rPr>
                <w:rStyle w:val="CharacterItalics"/>
              </w:rPr>
              <w:t>sit</w:t>
            </w:r>
            <w:proofErr w:type="gramEnd"/>
            <w:r w:rsidRPr="00080556">
              <w:rPr>
                <w:rStyle w:val="CharacterItalics"/>
              </w:rPr>
              <w:t xml:space="preserve"> </w:t>
            </w:r>
            <w:proofErr w:type="spellStart"/>
            <w:r w:rsidRPr="00080556">
              <w:rPr>
                <w:rStyle w:val="CharacterItalics"/>
              </w:rPr>
              <w:t>amet</w:t>
            </w:r>
            <w:proofErr w:type="spellEnd"/>
            <w:r w:rsidRPr="00080556">
              <w:rPr>
                <w:rStyle w:val="CharacterItalics"/>
              </w:rPr>
              <w:t xml:space="preserve">, </w:t>
            </w:r>
            <w:proofErr w:type="spellStart"/>
            <w:r w:rsidRPr="00080556">
              <w:rPr>
                <w:rStyle w:val="CharacterItalics"/>
              </w:rPr>
              <w:t>consectetuer</w:t>
            </w:r>
            <w:proofErr w:type="spellEnd"/>
            <w:r w:rsidRPr="00080556">
              <w:rPr>
                <w:rStyle w:val="CharacterItalics"/>
              </w:rPr>
              <w:t xml:space="preserve"> </w:t>
            </w:r>
            <w:proofErr w:type="spellStart"/>
            <w:r w:rsidRPr="00080556">
              <w:rPr>
                <w:rStyle w:val="CharacterItalics"/>
              </w:rPr>
              <w:t>adipiscing</w:t>
            </w:r>
            <w:proofErr w:type="spellEnd"/>
            <w:r w:rsidRPr="00080556">
              <w:rPr>
                <w:rStyle w:val="CharacterItalics"/>
              </w:rPr>
              <w:t xml:space="preserve"> </w:t>
            </w:r>
            <w:proofErr w:type="spellStart"/>
            <w:r w:rsidRPr="00080556">
              <w:rPr>
                <w:rStyle w:val="CharacterItalics"/>
              </w:rPr>
              <w:t>elit</w:t>
            </w:r>
            <w:proofErr w:type="spellEnd"/>
            <w:r w:rsidRPr="00080556">
              <w:rPr>
                <w:rStyle w:val="CharacterItalics"/>
              </w:rPr>
              <w:t xml:space="preserve">. Maecenas </w:t>
            </w:r>
            <w:proofErr w:type="spellStart"/>
            <w:r w:rsidRPr="00080556">
              <w:rPr>
                <w:rStyle w:val="CharacterItalics"/>
              </w:rPr>
              <w:t>porttitor</w:t>
            </w:r>
            <w:proofErr w:type="spellEnd"/>
            <w:r w:rsidRPr="00080556">
              <w:rPr>
                <w:rStyle w:val="CharacterItalics"/>
              </w:rPr>
              <w:t xml:space="preserve"> </w:t>
            </w:r>
            <w:proofErr w:type="spellStart"/>
            <w:r w:rsidRPr="00080556">
              <w:rPr>
                <w:rStyle w:val="CharacterItalics"/>
              </w:rPr>
              <w:t>congue</w:t>
            </w:r>
            <w:proofErr w:type="spellEnd"/>
            <w:r w:rsidRPr="00080556">
              <w:rPr>
                <w:rStyle w:val="CharacterItalics"/>
              </w:rPr>
              <w:t xml:space="preserve"> </w:t>
            </w:r>
            <w:proofErr w:type="spellStart"/>
            <w:r w:rsidRPr="00080556">
              <w:rPr>
                <w:rStyle w:val="CharacterItalics"/>
              </w:rPr>
              <w:t>massa</w:t>
            </w:r>
            <w:proofErr w:type="spellEnd"/>
            <w:r w:rsidRPr="00080556">
              <w:rPr>
                <w:rStyle w:val="CharacterItalics"/>
              </w:rPr>
              <w:t xml:space="preserve">. </w:t>
            </w:r>
            <w:proofErr w:type="spellStart"/>
            <w:r w:rsidRPr="00080556">
              <w:rPr>
                <w:rStyle w:val="CharacterItalics"/>
              </w:rPr>
              <w:t>Fusce</w:t>
            </w:r>
            <w:proofErr w:type="spellEnd"/>
            <w:r w:rsidRPr="00080556">
              <w:rPr>
                <w:rStyle w:val="CharacterItalics"/>
              </w:rPr>
              <w:t xml:space="preserve"> </w:t>
            </w:r>
            <w:proofErr w:type="spellStart"/>
            <w:r w:rsidRPr="00080556">
              <w:rPr>
                <w:rStyle w:val="CharacterItalics"/>
              </w:rPr>
              <w:t>posuere</w:t>
            </w:r>
            <w:proofErr w:type="spellEnd"/>
            <w:r w:rsidRPr="00080556">
              <w:rPr>
                <w:rStyle w:val="CharacterItalics"/>
              </w:rPr>
              <w:t xml:space="preserve">, magna sed pulvinar </w:t>
            </w:r>
            <w:proofErr w:type="spellStart"/>
            <w:r w:rsidRPr="00080556">
              <w:rPr>
                <w:rStyle w:val="CharacterItalics"/>
              </w:rPr>
              <w:t>ultricies</w:t>
            </w:r>
            <w:proofErr w:type="spellEnd"/>
            <w:r w:rsidRPr="00080556">
              <w:rPr>
                <w:rStyle w:val="CharacterItalics"/>
              </w:rPr>
              <w:t xml:space="preserve">, </w:t>
            </w:r>
            <w:proofErr w:type="spellStart"/>
            <w:r w:rsidRPr="00080556">
              <w:rPr>
                <w:rStyle w:val="CharacterItalics"/>
              </w:rPr>
              <w:t>purus</w:t>
            </w:r>
            <w:proofErr w:type="spellEnd"/>
            <w:r w:rsidRPr="00080556">
              <w:rPr>
                <w:rStyle w:val="CharacterItalics"/>
              </w:rPr>
              <w:t xml:space="preserve"> </w:t>
            </w:r>
            <w:proofErr w:type="spellStart"/>
            <w:r w:rsidRPr="00080556">
              <w:rPr>
                <w:rStyle w:val="CharacterItalics"/>
              </w:rPr>
              <w:t>lectus</w:t>
            </w:r>
            <w:proofErr w:type="spellEnd"/>
            <w:r w:rsidRPr="00080556">
              <w:rPr>
                <w:rStyle w:val="CharacterItalics"/>
              </w:rPr>
              <w:t xml:space="preserve"> </w:t>
            </w:r>
            <w:proofErr w:type="spellStart"/>
            <w:r w:rsidRPr="00080556">
              <w:rPr>
                <w:rStyle w:val="CharacterItalics"/>
              </w:rPr>
              <w:t>malesuada</w:t>
            </w:r>
            <w:proofErr w:type="spellEnd"/>
            <w:r w:rsidRPr="00080556">
              <w:rPr>
                <w:rStyle w:val="CharacterItalics"/>
              </w:rPr>
              <w:t xml:space="preserve"> libero, sit </w:t>
            </w:r>
            <w:proofErr w:type="spellStart"/>
            <w:r w:rsidRPr="00080556">
              <w:rPr>
                <w:rStyle w:val="CharacterItalics"/>
              </w:rPr>
              <w:t>amet</w:t>
            </w:r>
            <w:proofErr w:type="spellEnd"/>
            <w:r w:rsidRPr="00080556">
              <w:rPr>
                <w:rStyle w:val="CharacterItalics"/>
              </w:rPr>
              <w:t xml:space="preserve"> </w:t>
            </w:r>
            <w:proofErr w:type="spellStart"/>
            <w:r w:rsidRPr="00080556">
              <w:rPr>
                <w:rStyle w:val="CharacterItalics"/>
              </w:rPr>
              <w:t>commodo</w:t>
            </w:r>
            <w:proofErr w:type="spellEnd"/>
            <w:r w:rsidRPr="00080556">
              <w:rPr>
                <w:rStyle w:val="CharacterItalics"/>
              </w:rPr>
              <w:t xml:space="preserve"> magna eros </w:t>
            </w:r>
            <w:proofErr w:type="spellStart"/>
            <w:r w:rsidRPr="00080556">
              <w:rPr>
                <w:rStyle w:val="CharacterItalics"/>
              </w:rPr>
              <w:t>quis</w:t>
            </w:r>
            <w:proofErr w:type="spellEnd"/>
            <w:r w:rsidRPr="00080556">
              <w:rPr>
                <w:rStyle w:val="CharacterItalics"/>
              </w:rPr>
              <w:t xml:space="preserve"> </w:t>
            </w:r>
            <w:proofErr w:type="spellStart"/>
            <w:r w:rsidRPr="00080556">
              <w:rPr>
                <w:rStyle w:val="CharacterItalics"/>
              </w:rPr>
              <w:t>urna</w:t>
            </w:r>
            <w:proofErr w:type="spellEnd"/>
            <w:r w:rsidRPr="00080556">
              <w:rPr>
                <w:rStyle w:val="CharacterItalics"/>
              </w:rPr>
              <w:t>.</w:t>
            </w:r>
          </w:p>
        </w:tc>
      </w:tr>
    </w:tbl>
    <w:p w14:paraId="2ADA9D4A" w14:textId="77777777" w:rsidR="006065FF" w:rsidRDefault="006065FF" w:rsidP="006065FF">
      <w:pPr>
        <w:pStyle w:val="BodyText"/>
      </w:pPr>
      <w:r w:rsidRPr="004B4151">
        <w:t>Give a synopsis of candidate's experience with focus on relevant tasks, duties, work, accomplishments. Spell out numbers zero to nine; use numerical values for 10 and higher, unless the number represents a dollar amount (i.e., $1 Million). Also, please refer to the candidate as Title plus Last Name, for example: Ms. Smith has over 15 years of experience in financial management.</w:t>
      </w:r>
    </w:p>
    <w:p w14:paraId="1FD0EA37" w14:textId="77777777" w:rsidR="006065FF" w:rsidRPr="004B4151" w:rsidRDefault="006065FF" w:rsidP="006065FF">
      <w:pPr>
        <w:pStyle w:val="BodyText"/>
      </w:pPr>
      <w:r w:rsidRPr="004B4151">
        <w:t xml:space="preserve">Example: Mr. Smith has more than 12 years of extensive IT experience, specializing in complex programs. He has experience with data governance, data management, meta-data management, data warehousing, data cleansing and enterprise reporting. Mr. Smith has worked in many industries and environments, including </w:t>
      </w:r>
      <w:proofErr w:type="gramStart"/>
      <w:r w:rsidRPr="004B4151">
        <w:t>past experience</w:t>
      </w:r>
      <w:proofErr w:type="gramEnd"/>
      <w:r w:rsidRPr="004B4151">
        <w:t xml:space="preserve"> working with DHS. He has a demonstrated track record of program management as well as bringing projects to closure in challenging environments.</w:t>
      </w:r>
    </w:p>
    <w:p w14:paraId="2CB5FAA7" w14:textId="77777777" w:rsidR="006065FF" w:rsidRPr="004B4151" w:rsidRDefault="006065FF" w:rsidP="006065FF">
      <w:pPr>
        <w:pStyle w:val="ResumeHeading"/>
      </w:pPr>
      <w:r w:rsidRPr="004B4151">
        <w:t>Recent Experience</w:t>
      </w:r>
    </w:p>
    <w:p w14:paraId="5C5D94C2" w14:textId="77777777" w:rsidR="006065FF" w:rsidRPr="0037159E" w:rsidRDefault="006065FF" w:rsidP="006065FF">
      <w:pPr>
        <w:pStyle w:val="ResumeJobTitle"/>
      </w:pPr>
      <w:r>
        <w:t xml:space="preserve">Resume </w:t>
      </w:r>
      <w:r w:rsidRPr="0037159E">
        <w:t>Job Title</w:t>
      </w:r>
      <w:r w:rsidRPr="0037159E">
        <w:tab/>
        <w:t>Dates</w:t>
      </w:r>
    </w:p>
    <w:p w14:paraId="7344E7A3" w14:textId="77777777" w:rsidR="006065FF" w:rsidRPr="004B4151" w:rsidRDefault="006065FF" w:rsidP="006065FF">
      <w:pPr>
        <w:pStyle w:val="ResumeHeading"/>
      </w:pPr>
      <w:r w:rsidRPr="004B4151">
        <w:t>Employment History</w:t>
      </w:r>
    </w:p>
    <w:p w14:paraId="35775B57" w14:textId="77777777" w:rsidR="006065FF" w:rsidRPr="004B4151" w:rsidRDefault="006065FF" w:rsidP="006065FF">
      <w:pPr>
        <w:pStyle w:val="Bulletlevel1"/>
        <w:tabs>
          <w:tab w:val="clear" w:pos="360"/>
        </w:tabs>
      </w:pPr>
      <w:r w:rsidRPr="004B4151">
        <w:t>Company, Title, (From – To)</w:t>
      </w:r>
    </w:p>
    <w:p w14:paraId="4864D95D" w14:textId="77777777" w:rsidR="006065FF" w:rsidRPr="004B4151" w:rsidRDefault="006065FF" w:rsidP="006065FF">
      <w:pPr>
        <w:pStyle w:val="ResumeHeading"/>
      </w:pPr>
      <w:r w:rsidRPr="004B4151">
        <w:t>Education</w:t>
      </w:r>
    </w:p>
    <w:p w14:paraId="5FF39961" w14:textId="77777777" w:rsidR="006065FF" w:rsidRPr="004B4151" w:rsidRDefault="006065FF" w:rsidP="006065FF">
      <w:pPr>
        <w:pStyle w:val="Bulletlevel1"/>
        <w:tabs>
          <w:tab w:val="clear" w:pos="360"/>
        </w:tabs>
      </w:pPr>
      <w:r w:rsidRPr="004B4151">
        <w:t>Degree, Field, School</w:t>
      </w:r>
    </w:p>
    <w:p w14:paraId="1F4FFADA" w14:textId="77777777" w:rsidR="005B726A" w:rsidRDefault="005B726A" w:rsidP="00CE4E4D">
      <w:pPr>
        <w:pStyle w:val="BodyText"/>
      </w:pPr>
      <w:r>
        <w:br w:type="page"/>
      </w:r>
    </w:p>
    <w:p w14:paraId="5A574427" w14:textId="77777777" w:rsidR="005B726A" w:rsidRDefault="005B726A" w:rsidP="005B726A">
      <w:pPr>
        <w:pStyle w:val="Heading2"/>
        <w:rPr>
          <w:rStyle w:val="ResumeName14pts"/>
          <w:i/>
          <w:iCs w:val="0"/>
        </w:rPr>
      </w:pPr>
      <w:bookmarkStart w:id="30" w:name="_Toc228252933"/>
      <w:r>
        <w:lastRenderedPageBreak/>
        <w:t>A.4</w:t>
      </w:r>
      <w:r>
        <w:tab/>
      </w:r>
      <w:r w:rsidRPr="006065FF">
        <w:t xml:space="preserve">Project Manager </w:t>
      </w:r>
      <w:r w:rsidR="005173D2" w:rsidRPr="005173D2">
        <w:t>(IT Data and Technical Support)</w:t>
      </w:r>
      <w:bookmarkEnd w:id="30"/>
    </w:p>
    <w:p w14:paraId="60DE6688" w14:textId="77777777" w:rsidR="005B726A" w:rsidRPr="00296F28" w:rsidRDefault="005B726A" w:rsidP="005B726A">
      <w:pPr>
        <w:pStyle w:val="ResumeNameEntity"/>
        <w:rPr>
          <w:b/>
          <w:iCs/>
        </w:rPr>
      </w:pPr>
      <w:r>
        <w:rPr>
          <w:rStyle w:val="ResumeName14pts"/>
          <w:i w:val="0"/>
          <w:iCs w:val="0"/>
        </w:rPr>
        <w:t>Name</w:t>
      </w:r>
      <w:r>
        <w:rPr>
          <w:rStyle w:val="ResumeName14pts"/>
        </w:rPr>
        <w:tab/>
      </w:r>
      <w:r w:rsidRPr="003461D9">
        <w:t>Legal Entity, Title</w:t>
      </w:r>
    </w:p>
    <w:p w14:paraId="4F104B7E" w14:textId="77777777" w:rsidR="005B726A" w:rsidRPr="0070652A" w:rsidRDefault="005B726A" w:rsidP="005B726A">
      <w:pPr>
        <w:pStyle w:val="ResumeProposedRole"/>
      </w:pPr>
      <w:r>
        <w:t>Labor Category</w:t>
      </w:r>
      <w:r w:rsidRPr="0070652A">
        <w:t xml:space="preserve">:</w:t>
      </w:r>
    </w:p>
    <w:p w14:paraId="3CF2FB0F" w14:textId="77777777" w:rsidR="005B726A" w:rsidRPr="004B4151" w:rsidRDefault="005B726A" w:rsidP="005B726A">
      <w:pPr>
        <w:pStyle w:val="ResumeHeading"/>
      </w:pPr>
      <w:r w:rsidRPr="004B4151">
        <w:t>Experience Summary</w:t>
      </w:r>
    </w:p>
    <w:tbl>
      <w:tblPr>
        <w:tblStyle w:val="TableGrid"/>
        <w:tblpPr w:leftFromText="288" w:rightFromText="288" w:vertAnchor="text" w:horzAnchor="margin" w:tblpXSpec="right" w:tblpY="-10"/>
        <w:tblOverlap w:val="never"/>
        <w:tblW w:w="0" w:type="auto"/>
        <w:tblLook w:val="04A0" w:firstRow="1" w:lastRow="0" w:firstColumn="1" w:lastColumn="0" w:noHBand="0" w:noVBand="1"/>
      </w:tblPr>
      <w:tblGrid>
        <w:gridCol w:w="3235"/>
      </w:tblGrid>
      <w:tr w:rsidR="005B726A" w:rsidRPr="00183B3A" w14:paraId="3051B134" w14:textId="77777777" w:rsidTr="004150FE">
        <w:trPr>
          <w:trHeight w:val="360"/>
        </w:trPr>
        <w:tc>
          <w:tcPr>
            <w:tcW w:w="3235" w:type="dxa"/>
            <w:tcBorders>
              <w:top w:val="nil"/>
              <w:left w:val="nil"/>
              <w:bottom w:val="nil"/>
              <w:right w:val="nil"/>
            </w:tcBorders>
            <w:shd w:val="clear" w:color="auto" w:fill="005587"/>
            <w:vAlign w:val="center"/>
          </w:tcPr>
          <w:p w14:paraId="509647EA" w14:textId="77777777" w:rsidR="005B726A" w:rsidRPr="00183B3A" w:rsidRDefault="005B726A" w:rsidP="004150FE">
            <w:pPr>
              <w:pStyle w:val="CalloutTitle"/>
            </w:pPr>
            <w:r>
              <w:t xml:space="preserve">CALLOUT 2 BOX </w:t>
            </w:r>
            <w:r w:rsidRPr="00183B3A">
              <w:t>TITLE TEXT</w:t>
            </w:r>
          </w:p>
        </w:tc>
      </w:tr>
      <w:tr w:rsidR="005B726A" w:rsidRPr="00183B3A" w14:paraId="4E16E408" w14:textId="77777777" w:rsidTr="004150FE">
        <w:trPr>
          <w:trHeight w:val="1620"/>
        </w:trPr>
        <w:tc>
          <w:tcPr>
            <w:tcW w:w="3235" w:type="dxa"/>
            <w:tcBorders>
              <w:top w:val="nil"/>
              <w:left w:val="nil"/>
              <w:bottom w:val="single" w:sz="18" w:space="0" w:color="005587"/>
              <w:right w:val="nil"/>
            </w:tcBorders>
            <w:vAlign w:val="center"/>
          </w:tcPr>
          <w:p w14:paraId="4907DF86" w14:textId="77777777" w:rsidR="005B726A" w:rsidRPr="008818FD" w:rsidRDefault="005B726A" w:rsidP="004150FE">
            <w:pPr>
              <w:pStyle w:val="Callout2Body"/>
              <w:framePr w:hSpace="0" w:wrap="auto" w:vAnchor="margin" w:hAnchor="text" w:xAlign="left" w:yAlign="inline"/>
              <w:suppressOverlap w:val="0"/>
              <w:rPr>
                <w:i/>
              </w:rPr>
            </w:pPr>
            <w:r w:rsidRPr="00080556">
              <w:rPr>
                <w:rStyle w:val="CharacterItalics"/>
              </w:rPr>
              <w:t xml:space="preserve">Lorem ipsum dolor </w:t>
            </w:r>
            <w:proofErr w:type="gramStart"/>
            <w:r w:rsidRPr="00080556">
              <w:rPr>
                <w:rStyle w:val="CharacterItalics"/>
              </w:rPr>
              <w:t>sit</w:t>
            </w:r>
            <w:proofErr w:type="gramEnd"/>
            <w:r w:rsidRPr="00080556">
              <w:rPr>
                <w:rStyle w:val="CharacterItalics"/>
              </w:rPr>
              <w:t xml:space="preserve"> </w:t>
            </w:r>
            <w:proofErr w:type="spellStart"/>
            <w:r w:rsidRPr="00080556">
              <w:rPr>
                <w:rStyle w:val="CharacterItalics"/>
              </w:rPr>
              <w:t>amet</w:t>
            </w:r>
            <w:proofErr w:type="spellEnd"/>
            <w:r w:rsidRPr="00080556">
              <w:rPr>
                <w:rStyle w:val="CharacterItalics"/>
              </w:rPr>
              <w:t xml:space="preserve">, </w:t>
            </w:r>
            <w:proofErr w:type="spellStart"/>
            <w:r w:rsidRPr="00080556">
              <w:rPr>
                <w:rStyle w:val="CharacterItalics"/>
              </w:rPr>
              <w:t>consectetuer</w:t>
            </w:r>
            <w:proofErr w:type="spellEnd"/>
            <w:r w:rsidRPr="00080556">
              <w:rPr>
                <w:rStyle w:val="CharacterItalics"/>
              </w:rPr>
              <w:t xml:space="preserve"> </w:t>
            </w:r>
            <w:proofErr w:type="spellStart"/>
            <w:r w:rsidRPr="00080556">
              <w:rPr>
                <w:rStyle w:val="CharacterItalics"/>
              </w:rPr>
              <w:t>adipiscing</w:t>
            </w:r>
            <w:proofErr w:type="spellEnd"/>
            <w:r w:rsidRPr="00080556">
              <w:rPr>
                <w:rStyle w:val="CharacterItalics"/>
              </w:rPr>
              <w:t xml:space="preserve"> </w:t>
            </w:r>
            <w:proofErr w:type="spellStart"/>
            <w:r w:rsidRPr="00080556">
              <w:rPr>
                <w:rStyle w:val="CharacterItalics"/>
              </w:rPr>
              <w:t>elit</w:t>
            </w:r>
            <w:proofErr w:type="spellEnd"/>
            <w:r w:rsidRPr="00080556">
              <w:rPr>
                <w:rStyle w:val="CharacterItalics"/>
              </w:rPr>
              <w:t xml:space="preserve">. Maecenas </w:t>
            </w:r>
            <w:proofErr w:type="spellStart"/>
            <w:r w:rsidRPr="00080556">
              <w:rPr>
                <w:rStyle w:val="CharacterItalics"/>
              </w:rPr>
              <w:t>porttitor</w:t>
            </w:r>
            <w:proofErr w:type="spellEnd"/>
            <w:r w:rsidRPr="00080556">
              <w:rPr>
                <w:rStyle w:val="CharacterItalics"/>
              </w:rPr>
              <w:t xml:space="preserve"> </w:t>
            </w:r>
            <w:proofErr w:type="spellStart"/>
            <w:r w:rsidRPr="00080556">
              <w:rPr>
                <w:rStyle w:val="CharacterItalics"/>
              </w:rPr>
              <w:t>congue</w:t>
            </w:r>
            <w:proofErr w:type="spellEnd"/>
            <w:r w:rsidRPr="00080556">
              <w:rPr>
                <w:rStyle w:val="CharacterItalics"/>
              </w:rPr>
              <w:t xml:space="preserve"> </w:t>
            </w:r>
            <w:proofErr w:type="spellStart"/>
            <w:r w:rsidRPr="00080556">
              <w:rPr>
                <w:rStyle w:val="CharacterItalics"/>
              </w:rPr>
              <w:t>massa</w:t>
            </w:r>
            <w:proofErr w:type="spellEnd"/>
            <w:r w:rsidRPr="00080556">
              <w:rPr>
                <w:rStyle w:val="CharacterItalics"/>
              </w:rPr>
              <w:t xml:space="preserve">. </w:t>
            </w:r>
            <w:proofErr w:type="spellStart"/>
            <w:r w:rsidRPr="00080556">
              <w:rPr>
                <w:rStyle w:val="CharacterItalics"/>
              </w:rPr>
              <w:t>Fusce</w:t>
            </w:r>
            <w:proofErr w:type="spellEnd"/>
            <w:r w:rsidRPr="00080556">
              <w:rPr>
                <w:rStyle w:val="CharacterItalics"/>
              </w:rPr>
              <w:t xml:space="preserve"> </w:t>
            </w:r>
            <w:proofErr w:type="spellStart"/>
            <w:r w:rsidRPr="00080556">
              <w:rPr>
                <w:rStyle w:val="CharacterItalics"/>
              </w:rPr>
              <w:t>posuere</w:t>
            </w:r>
            <w:proofErr w:type="spellEnd"/>
            <w:r w:rsidRPr="00080556">
              <w:rPr>
                <w:rStyle w:val="CharacterItalics"/>
              </w:rPr>
              <w:t xml:space="preserve">, magna sed pulvinar </w:t>
            </w:r>
            <w:proofErr w:type="spellStart"/>
            <w:r w:rsidRPr="00080556">
              <w:rPr>
                <w:rStyle w:val="CharacterItalics"/>
              </w:rPr>
              <w:t>ultricies</w:t>
            </w:r>
            <w:proofErr w:type="spellEnd"/>
            <w:r w:rsidRPr="00080556">
              <w:rPr>
                <w:rStyle w:val="CharacterItalics"/>
              </w:rPr>
              <w:t xml:space="preserve">, </w:t>
            </w:r>
            <w:proofErr w:type="spellStart"/>
            <w:r w:rsidRPr="00080556">
              <w:rPr>
                <w:rStyle w:val="CharacterItalics"/>
              </w:rPr>
              <w:t>purus</w:t>
            </w:r>
            <w:proofErr w:type="spellEnd"/>
            <w:r w:rsidRPr="00080556">
              <w:rPr>
                <w:rStyle w:val="CharacterItalics"/>
              </w:rPr>
              <w:t xml:space="preserve"> </w:t>
            </w:r>
            <w:proofErr w:type="spellStart"/>
            <w:r w:rsidRPr="00080556">
              <w:rPr>
                <w:rStyle w:val="CharacterItalics"/>
              </w:rPr>
              <w:t>lectus</w:t>
            </w:r>
            <w:proofErr w:type="spellEnd"/>
            <w:r w:rsidRPr="00080556">
              <w:rPr>
                <w:rStyle w:val="CharacterItalics"/>
              </w:rPr>
              <w:t xml:space="preserve"> </w:t>
            </w:r>
            <w:proofErr w:type="spellStart"/>
            <w:r w:rsidRPr="00080556">
              <w:rPr>
                <w:rStyle w:val="CharacterItalics"/>
              </w:rPr>
              <w:t>malesuada</w:t>
            </w:r>
            <w:proofErr w:type="spellEnd"/>
            <w:r w:rsidRPr="00080556">
              <w:rPr>
                <w:rStyle w:val="CharacterItalics"/>
              </w:rPr>
              <w:t xml:space="preserve"> libero, sit </w:t>
            </w:r>
            <w:proofErr w:type="spellStart"/>
            <w:r w:rsidRPr="00080556">
              <w:rPr>
                <w:rStyle w:val="CharacterItalics"/>
              </w:rPr>
              <w:t>amet</w:t>
            </w:r>
            <w:proofErr w:type="spellEnd"/>
            <w:r w:rsidRPr="00080556">
              <w:rPr>
                <w:rStyle w:val="CharacterItalics"/>
              </w:rPr>
              <w:t xml:space="preserve"> </w:t>
            </w:r>
            <w:proofErr w:type="spellStart"/>
            <w:r w:rsidRPr="00080556">
              <w:rPr>
                <w:rStyle w:val="CharacterItalics"/>
              </w:rPr>
              <w:t>commodo</w:t>
            </w:r>
            <w:proofErr w:type="spellEnd"/>
            <w:r w:rsidRPr="00080556">
              <w:rPr>
                <w:rStyle w:val="CharacterItalics"/>
              </w:rPr>
              <w:t xml:space="preserve"> magna eros </w:t>
            </w:r>
            <w:proofErr w:type="spellStart"/>
            <w:r w:rsidRPr="00080556">
              <w:rPr>
                <w:rStyle w:val="CharacterItalics"/>
              </w:rPr>
              <w:t>quis</w:t>
            </w:r>
            <w:proofErr w:type="spellEnd"/>
            <w:r w:rsidRPr="00080556">
              <w:rPr>
                <w:rStyle w:val="CharacterItalics"/>
              </w:rPr>
              <w:t xml:space="preserve"> </w:t>
            </w:r>
            <w:proofErr w:type="spellStart"/>
            <w:r w:rsidRPr="00080556">
              <w:rPr>
                <w:rStyle w:val="CharacterItalics"/>
              </w:rPr>
              <w:t>urna</w:t>
            </w:r>
            <w:proofErr w:type="spellEnd"/>
            <w:r w:rsidRPr="00080556">
              <w:rPr>
                <w:rStyle w:val="CharacterItalics"/>
              </w:rPr>
              <w:t>.</w:t>
            </w:r>
          </w:p>
        </w:tc>
      </w:tr>
    </w:tbl>
    <w:p w14:paraId="5F36E444" w14:textId="77777777" w:rsidR="005B726A" w:rsidRDefault="005B726A" w:rsidP="005B726A">
      <w:pPr>
        <w:pStyle w:val="BodyText"/>
      </w:pPr>
      <w:r w:rsidRPr="004B4151">
        <w:t>Give a synopsis of candidate's experience with focus on relevant tasks, duties, work, accomplishments. Spell out numbers zero to nine; use numerical values for 10 and higher, unless the number represents a dollar amount (i.e., $1 Million). Also, please refer to the candidate as Title plus Last Name, for example: Ms. Smith has over 15 years of experience in financial management.</w:t>
      </w:r>
    </w:p>
    <w:p w14:paraId="57DFEAFB" w14:textId="77777777" w:rsidR="005B726A" w:rsidRPr="004B4151" w:rsidRDefault="005B726A" w:rsidP="005B726A">
      <w:pPr>
        <w:pStyle w:val="BodyText"/>
      </w:pPr>
      <w:r w:rsidRPr="004B4151">
        <w:t xml:space="preserve">Example: Mr. Smith has more than 12 years of extensive IT experience, specializing in complex programs. He has experience with data governance, data management, meta-data management, data warehousing, data cleansing and enterprise reporting. Mr. Smith has worked in many industries and environments, including </w:t>
      </w:r>
      <w:proofErr w:type="gramStart"/>
      <w:r w:rsidRPr="004B4151">
        <w:t>past experience</w:t>
      </w:r>
      <w:proofErr w:type="gramEnd"/>
      <w:r w:rsidRPr="004B4151">
        <w:t xml:space="preserve"> working with DHS. He has a demonstrated track record of program management as well as bringing projects to closure in challenging environments.</w:t>
      </w:r>
    </w:p>
    <w:p w14:paraId="444676B3" w14:textId="77777777" w:rsidR="005B726A" w:rsidRPr="004B4151" w:rsidRDefault="005B726A" w:rsidP="005B726A">
      <w:pPr>
        <w:pStyle w:val="ResumeHeading"/>
      </w:pPr>
      <w:r w:rsidRPr="004B4151">
        <w:t>Recent Experience</w:t>
      </w:r>
    </w:p>
    <w:p w14:paraId="5E4490DC" w14:textId="77777777" w:rsidR="005B726A" w:rsidRPr="0037159E" w:rsidRDefault="005B726A" w:rsidP="005B726A">
      <w:pPr>
        <w:pStyle w:val="ResumeJobTitle"/>
      </w:pPr>
      <w:r>
        <w:t xml:space="preserve">Resume </w:t>
      </w:r>
      <w:r w:rsidRPr="0037159E">
        <w:t>Job Title</w:t>
      </w:r>
      <w:r w:rsidRPr="0037159E">
        <w:tab/>
        <w:t>Dates</w:t>
      </w:r>
    </w:p>
    <w:p w14:paraId="1ED47229" w14:textId="77777777" w:rsidR="005B726A" w:rsidRPr="004B4151" w:rsidRDefault="005B726A" w:rsidP="005B726A">
      <w:pPr>
        <w:pStyle w:val="ResumeHeading"/>
      </w:pPr>
      <w:r w:rsidRPr="004B4151">
        <w:t>Employment History</w:t>
      </w:r>
    </w:p>
    <w:p w14:paraId="572C4D75" w14:textId="77777777" w:rsidR="005B726A" w:rsidRPr="004B4151" w:rsidRDefault="005B726A" w:rsidP="005B726A">
      <w:pPr>
        <w:pStyle w:val="Bulletlevel1"/>
        <w:tabs>
          <w:tab w:val="clear" w:pos="360"/>
        </w:tabs>
      </w:pPr>
      <w:r w:rsidRPr="004B4151">
        <w:t>Company, Title, (From – To)</w:t>
      </w:r>
    </w:p>
    <w:p w14:paraId="152B0449" w14:textId="77777777" w:rsidR="005B726A" w:rsidRPr="004B4151" w:rsidRDefault="005B726A" w:rsidP="005B726A">
      <w:pPr>
        <w:pStyle w:val="ResumeHeading"/>
      </w:pPr>
      <w:r w:rsidRPr="004B4151">
        <w:t>Education</w:t>
      </w:r>
    </w:p>
    <w:p w14:paraId="2E501D77" w14:textId="77777777" w:rsidR="005B726A" w:rsidRPr="004B4151" w:rsidRDefault="005B726A" w:rsidP="005B726A">
      <w:pPr>
        <w:pStyle w:val="Bulletlevel1"/>
        <w:tabs>
          <w:tab w:val="clear" w:pos="360"/>
        </w:tabs>
      </w:pPr>
      <w:r w:rsidRPr="004B4151">
        <w:t>Degree, Field, School</w:t>
      </w:r>
    </w:p>
    <w:p w14:paraId="528739DE" w14:textId="77777777" w:rsidR="005173D2" w:rsidRDefault="005173D2" w:rsidP="00CE4E4D">
      <w:pPr>
        <w:pStyle w:val="BodyText"/>
      </w:pPr>
      <w:r>
        <w:br w:type="page"/>
      </w:r>
    </w:p>
    <w:p w14:paraId="28C3D91C" w14:textId="77777777" w:rsidR="005173D2" w:rsidRDefault="005173D2" w:rsidP="005173D2">
      <w:pPr>
        <w:pStyle w:val="Heading2"/>
        <w:rPr>
          <w:rStyle w:val="ResumeName14pts"/>
          <w:i/>
          <w:iCs w:val="0"/>
        </w:rPr>
      </w:pPr>
      <w:bookmarkStart w:id="31" w:name="_Toc228252934"/>
      <w:r>
        <w:lastRenderedPageBreak/>
        <w:t>A.5</w:t>
      </w:r>
      <w:r>
        <w:tab/>
      </w:r>
      <w:r w:rsidR="00CE5E62" w:rsidRPr="00CE5E62">
        <w:t>Technical Director</w:t>
      </w:r>
      <w:bookmarkEnd w:id="31"/>
    </w:p>
    <w:p w14:paraId="7C6CCA61" w14:textId="77777777" w:rsidR="005173D2" w:rsidRPr="00296F28" w:rsidRDefault="005173D2" w:rsidP="005173D2">
      <w:pPr>
        <w:pStyle w:val="ResumeNameEntity"/>
        <w:rPr>
          <w:b/>
          <w:iCs/>
        </w:rPr>
      </w:pPr>
      <w:r>
        <w:rPr>
          <w:rStyle w:val="ResumeName14pts"/>
          <w:i w:val="0"/>
          <w:iCs w:val="0"/>
        </w:rPr>
        <w:t>Name</w:t>
      </w:r>
      <w:r>
        <w:rPr>
          <w:rStyle w:val="ResumeName14pts"/>
        </w:rPr>
        <w:tab/>
      </w:r>
      <w:r w:rsidRPr="003461D9">
        <w:t>Legal Entity, Title</w:t>
      </w:r>
    </w:p>
    <w:p w14:paraId="749CE8D1" w14:textId="77777777" w:rsidR="005173D2" w:rsidRPr="0070652A" w:rsidRDefault="005173D2" w:rsidP="005173D2">
      <w:pPr>
        <w:pStyle w:val="ResumeProposedRole"/>
      </w:pPr>
      <w:r>
        <w:t>Labor Category</w:t>
      </w:r>
      <w:r w:rsidRPr="0070652A">
        <w:t xml:space="preserve">:</w:t>
      </w:r>
    </w:p>
    <w:p w14:paraId="098A5B80" w14:textId="77777777" w:rsidR="005173D2" w:rsidRPr="004B4151" w:rsidRDefault="005173D2" w:rsidP="005173D2">
      <w:pPr>
        <w:pStyle w:val="ResumeHeading"/>
      </w:pPr>
      <w:r w:rsidRPr="004B4151">
        <w:t>Experience Summary</w:t>
      </w:r>
    </w:p>
    <w:tbl>
      <w:tblPr>
        <w:tblStyle w:val="TableGrid"/>
        <w:tblpPr w:leftFromText="288" w:rightFromText="288" w:vertAnchor="text" w:horzAnchor="margin" w:tblpXSpec="right" w:tblpY="-10"/>
        <w:tblOverlap w:val="never"/>
        <w:tblW w:w="0" w:type="auto"/>
        <w:tblLook w:val="04A0" w:firstRow="1" w:lastRow="0" w:firstColumn="1" w:lastColumn="0" w:noHBand="0" w:noVBand="1"/>
      </w:tblPr>
      <w:tblGrid>
        <w:gridCol w:w="3235"/>
      </w:tblGrid>
      <w:tr w:rsidR="005173D2" w:rsidRPr="00183B3A" w14:paraId="3C13F4EE" w14:textId="77777777" w:rsidTr="004150FE">
        <w:trPr>
          <w:trHeight w:val="360"/>
        </w:trPr>
        <w:tc>
          <w:tcPr>
            <w:tcW w:w="3235" w:type="dxa"/>
            <w:tcBorders>
              <w:top w:val="nil"/>
              <w:left w:val="nil"/>
              <w:bottom w:val="nil"/>
              <w:right w:val="nil"/>
            </w:tcBorders>
            <w:shd w:val="clear" w:color="auto" w:fill="005587"/>
            <w:vAlign w:val="center"/>
          </w:tcPr>
          <w:p w14:paraId="1BE50595" w14:textId="77777777" w:rsidR="005173D2" w:rsidRPr="00183B3A" w:rsidRDefault="005173D2" w:rsidP="004150FE">
            <w:pPr>
              <w:pStyle w:val="CalloutTitle"/>
            </w:pPr>
            <w:r>
              <w:t xml:space="preserve">CALLOUT 2 BOX </w:t>
            </w:r>
            <w:r w:rsidRPr="00183B3A">
              <w:t>TITLE TEXT</w:t>
            </w:r>
          </w:p>
        </w:tc>
      </w:tr>
      <w:tr w:rsidR="005173D2" w:rsidRPr="00183B3A" w14:paraId="1EF1683F" w14:textId="77777777" w:rsidTr="004150FE">
        <w:trPr>
          <w:trHeight w:val="1620"/>
        </w:trPr>
        <w:tc>
          <w:tcPr>
            <w:tcW w:w="3235" w:type="dxa"/>
            <w:tcBorders>
              <w:top w:val="nil"/>
              <w:left w:val="nil"/>
              <w:bottom w:val="single" w:sz="18" w:space="0" w:color="005587"/>
              <w:right w:val="nil"/>
            </w:tcBorders>
            <w:vAlign w:val="center"/>
          </w:tcPr>
          <w:p w14:paraId="64A81318" w14:textId="77777777" w:rsidR="005173D2" w:rsidRPr="008818FD" w:rsidRDefault="005173D2" w:rsidP="004150FE">
            <w:pPr>
              <w:pStyle w:val="Callout2Body"/>
              <w:framePr w:hSpace="0" w:wrap="auto" w:vAnchor="margin" w:hAnchor="text" w:xAlign="left" w:yAlign="inline"/>
              <w:suppressOverlap w:val="0"/>
              <w:rPr>
                <w:i/>
              </w:rPr>
            </w:pPr>
            <w:r w:rsidRPr="00080556">
              <w:rPr>
                <w:rStyle w:val="CharacterItalics"/>
              </w:rPr>
              <w:t xml:space="preserve">Lorem ipsum dolor </w:t>
            </w:r>
            <w:proofErr w:type="gramStart"/>
            <w:r w:rsidRPr="00080556">
              <w:rPr>
                <w:rStyle w:val="CharacterItalics"/>
              </w:rPr>
              <w:t>sit</w:t>
            </w:r>
            <w:proofErr w:type="gramEnd"/>
            <w:r w:rsidRPr="00080556">
              <w:rPr>
                <w:rStyle w:val="CharacterItalics"/>
              </w:rPr>
              <w:t xml:space="preserve"> </w:t>
            </w:r>
            <w:proofErr w:type="spellStart"/>
            <w:r w:rsidRPr="00080556">
              <w:rPr>
                <w:rStyle w:val="CharacterItalics"/>
              </w:rPr>
              <w:t>amet</w:t>
            </w:r>
            <w:proofErr w:type="spellEnd"/>
            <w:r w:rsidRPr="00080556">
              <w:rPr>
                <w:rStyle w:val="CharacterItalics"/>
              </w:rPr>
              <w:t xml:space="preserve">, </w:t>
            </w:r>
            <w:proofErr w:type="spellStart"/>
            <w:r w:rsidRPr="00080556">
              <w:rPr>
                <w:rStyle w:val="CharacterItalics"/>
              </w:rPr>
              <w:t>consectetuer</w:t>
            </w:r>
            <w:proofErr w:type="spellEnd"/>
            <w:r w:rsidRPr="00080556">
              <w:rPr>
                <w:rStyle w:val="CharacterItalics"/>
              </w:rPr>
              <w:t xml:space="preserve"> </w:t>
            </w:r>
            <w:proofErr w:type="spellStart"/>
            <w:r w:rsidRPr="00080556">
              <w:rPr>
                <w:rStyle w:val="CharacterItalics"/>
              </w:rPr>
              <w:t>adipiscing</w:t>
            </w:r>
            <w:proofErr w:type="spellEnd"/>
            <w:r w:rsidRPr="00080556">
              <w:rPr>
                <w:rStyle w:val="CharacterItalics"/>
              </w:rPr>
              <w:t xml:space="preserve"> </w:t>
            </w:r>
            <w:proofErr w:type="spellStart"/>
            <w:r w:rsidRPr="00080556">
              <w:rPr>
                <w:rStyle w:val="CharacterItalics"/>
              </w:rPr>
              <w:t>elit</w:t>
            </w:r>
            <w:proofErr w:type="spellEnd"/>
            <w:r w:rsidRPr="00080556">
              <w:rPr>
                <w:rStyle w:val="CharacterItalics"/>
              </w:rPr>
              <w:t xml:space="preserve">. Maecenas </w:t>
            </w:r>
            <w:proofErr w:type="spellStart"/>
            <w:r w:rsidRPr="00080556">
              <w:rPr>
                <w:rStyle w:val="CharacterItalics"/>
              </w:rPr>
              <w:t>porttitor</w:t>
            </w:r>
            <w:proofErr w:type="spellEnd"/>
            <w:r w:rsidRPr="00080556">
              <w:rPr>
                <w:rStyle w:val="CharacterItalics"/>
              </w:rPr>
              <w:t xml:space="preserve"> </w:t>
            </w:r>
            <w:proofErr w:type="spellStart"/>
            <w:r w:rsidRPr="00080556">
              <w:rPr>
                <w:rStyle w:val="CharacterItalics"/>
              </w:rPr>
              <w:t>congue</w:t>
            </w:r>
            <w:proofErr w:type="spellEnd"/>
            <w:r w:rsidRPr="00080556">
              <w:rPr>
                <w:rStyle w:val="CharacterItalics"/>
              </w:rPr>
              <w:t xml:space="preserve"> </w:t>
            </w:r>
            <w:proofErr w:type="spellStart"/>
            <w:r w:rsidRPr="00080556">
              <w:rPr>
                <w:rStyle w:val="CharacterItalics"/>
              </w:rPr>
              <w:t>massa</w:t>
            </w:r>
            <w:proofErr w:type="spellEnd"/>
            <w:r w:rsidRPr="00080556">
              <w:rPr>
                <w:rStyle w:val="CharacterItalics"/>
              </w:rPr>
              <w:t xml:space="preserve">. </w:t>
            </w:r>
            <w:proofErr w:type="spellStart"/>
            <w:r w:rsidRPr="00080556">
              <w:rPr>
                <w:rStyle w:val="CharacterItalics"/>
              </w:rPr>
              <w:t>Fusce</w:t>
            </w:r>
            <w:proofErr w:type="spellEnd"/>
            <w:r w:rsidRPr="00080556">
              <w:rPr>
                <w:rStyle w:val="CharacterItalics"/>
              </w:rPr>
              <w:t xml:space="preserve"> </w:t>
            </w:r>
            <w:proofErr w:type="spellStart"/>
            <w:r w:rsidRPr="00080556">
              <w:rPr>
                <w:rStyle w:val="CharacterItalics"/>
              </w:rPr>
              <w:t>posuere</w:t>
            </w:r>
            <w:proofErr w:type="spellEnd"/>
            <w:r w:rsidRPr="00080556">
              <w:rPr>
                <w:rStyle w:val="CharacterItalics"/>
              </w:rPr>
              <w:t xml:space="preserve">, magna sed pulvinar </w:t>
            </w:r>
            <w:proofErr w:type="spellStart"/>
            <w:r w:rsidRPr="00080556">
              <w:rPr>
                <w:rStyle w:val="CharacterItalics"/>
              </w:rPr>
              <w:t>ultricies</w:t>
            </w:r>
            <w:proofErr w:type="spellEnd"/>
            <w:r w:rsidRPr="00080556">
              <w:rPr>
                <w:rStyle w:val="CharacterItalics"/>
              </w:rPr>
              <w:t xml:space="preserve">, </w:t>
            </w:r>
            <w:proofErr w:type="spellStart"/>
            <w:r w:rsidRPr="00080556">
              <w:rPr>
                <w:rStyle w:val="CharacterItalics"/>
              </w:rPr>
              <w:t>purus</w:t>
            </w:r>
            <w:proofErr w:type="spellEnd"/>
            <w:r w:rsidRPr="00080556">
              <w:rPr>
                <w:rStyle w:val="CharacterItalics"/>
              </w:rPr>
              <w:t xml:space="preserve"> </w:t>
            </w:r>
            <w:proofErr w:type="spellStart"/>
            <w:r w:rsidRPr="00080556">
              <w:rPr>
                <w:rStyle w:val="CharacterItalics"/>
              </w:rPr>
              <w:t>lectus</w:t>
            </w:r>
            <w:proofErr w:type="spellEnd"/>
            <w:r w:rsidRPr="00080556">
              <w:rPr>
                <w:rStyle w:val="CharacterItalics"/>
              </w:rPr>
              <w:t xml:space="preserve"> </w:t>
            </w:r>
            <w:proofErr w:type="spellStart"/>
            <w:r w:rsidRPr="00080556">
              <w:rPr>
                <w:rStyle w:val="CharacterItalics"/>
              </w:rPr>
              <w:t>malesuada</w:t>
            </w:r>
            <w:proofErr w:type="spellEnd"/>
            <w:r w:rsidRPr="00080556">
              <w:rPr>
                <w:rStyle w:val="CharacterItalics"/>
              </w:rPr>
              <w:t xml:space="preserve"> libero, sit </w:t>
            </w:r>
            <w:proofErr w:type="spellStart"/>
            <w:r w:rsidRPr="00080556">
              <w:rPr>
                <w:rStyle w:val="CharacterItalics"/>
              </w:rPr>
              <w:t>amet</w:t>
            </w:r>
            <w:proofErr w:type="spellEnd"/>
            <w:r w:rsidRPr="00080556">
              <w:rPr>
                <w:rStyle w:val="CharacterItalics"/>
              </w:rPr>
              <w:t xml:space="preserve"> </w:t>
            </w:r>
            <w:proofErr w:type="spellStart"/>
            <w:r w:rsidRPr="00080556">
              <w:rPr>
                <w:rStyle w:val="CharacterItalics"/>
              </w:rPr>
              <w:t>commodo</w:t>
            </w:r>
            <w:proofErr w:type="spellEnd"/>
            <w:r w:rsidRPr="00080556">
              <w:rPr>
                <w:rStyle w:val="CharacterItalics"/>
              </w:rPr>
              <w:t xml:space="preserve"> magna eros </w:t>
            </w:r>
            <w:proofErr w:type="spellStart"/>
            <w:r w:rsidRPr="00080556">
              <w:rPr>
                <w:rStyle w:val="CharacterItalics"/>
              </w:rPr>
              <w:t>quis</w:t>
            </w:r>
            <w:proofErr w:type="spellEnd"/>
            <w:r w:rsidRPr="00080556">
              <w:rPr>
                <w:rStyle w:val="CharacterItalics"/>
              </w:rPr>
              <w:t xml:space="preserve"> </w:t>
            </w:r>
            <w:proofErr w:type="spellStart"/>
            <w:r w:rsidRPr="00080556">
              <w:rPr>
                <w:rStyle w:val="CharacterItalics"/>
              </w:rPr>
              <w:t>urna</w:t>
            </w:r>
            <w:proofErr w:type="spellEnd"/>
            <w:r w:rsidRPr="00080556">
              <w:rPr>
                <w:rStyle w:val="CharacterItalics"/>
              </w:rPr>
              <w:t>.</w:t>
            </w:r>
          </w:p>
        </w:tc>
      </w:tr>
    </w:tbl>
    <w:p w14:paraId="2E38FB46" w14:textId="77777777" w:rsidR="005173D2" w:rsidRDefault="005173D2" w:rsidP="005173D2">
      <w:pPr>
        <w:pStyle w:val="BodyText"/>
      </w:pPr>
      <w:r w:rsidRPr="004B4151">
        <w:t>Give a synopsis of candidate's experience with focus on relevant tasks, duties, work, accomplishments. Spell out numbers zero to nine; use numerical values for 10 and higher, unless the number represents a dollar amount (i.e., $1 Million). Also, please refer to the candidate as Title plus Last Name, for example: Ms. Smith has over 15 years of experience in financial management.</w:t>
      </w:r>
    </w:p>
    <w:p w14:paraId="5B0C83B8" w14:textId="77777777" w:rsidR="005173D2" w:rsidRPr="004B4151" w:rsidRDefault="005173D2" w:rsidP="005173D2">
      <w:pPr>
        <w:pStyle w:val="BodyText"/>
      </w:pPr>
      <w:r w:rsidRPr="004B4151">
        <w:t xml:space="preserve">Example: Mr. Smith has more than 12 years of extensive IT experience, specializing in complex programs. He has experience with data governance, data management, meta-data management, data warehousing, data cleansing and enterprise reporting. Mr. Smith has worked in many industries and environments, including </w:t>
      </w:r>
      <w:proofErr w:type="gramStart"/>
      <w:r w:rsidRPr="004B4151">
        <w:t>past experience</w:t>
      </w:r>
      <w:proofErr w:type="gramEnd"/>
      <w:r w:rsidRPr="004B4151">
        <w:t xml:space="preserve"> working with DHS. He has a demonstrated track record of program management as well as bringing projects to closure in challenging environments.</w:t>
      </w:r>
    </w:p>
    <w:p w14:paraId="0A261B24" w14:textId="77777777" w:rsidR="005173D2" w:rsidRPr="004B4151" w:rsidRDefault="005173D2" w:rsidP="005173D2">
      <w:pPr>
        <w:pStyle w:val="ResumeHeading"/>
      </w:pPr>
      <w:r w:rsidRPr="004B4151">
        <w:t>Recent Experience</w:t>
      </w:r>
    </w:p>
    <w:p w14:paraId="72EBD9C4" w14:textId="77777777" w:rsidR="005173D2" w:rsidRPr="0037159E" w:rsidRDefault="005173D2" w:rsidP="005173D2">
      <w:pPr>
        <w:pStyle w:val="ResumeJobTitle"/>
      </w:pPr>
      <w:r>
        <w:t xml:space="preserve">Resume </w:t>
      </w:r>
      <w:r w:rsidRPr="0037159E">
        <w:t>Job Title</w:t>
      </w:r>
      <w:r w:rsidRPr="0037159E">
        <w:tab/>
        <w:t>Dates</w:t>
      </w:r>
    </w:p>
    <w:p w14:paraId="04E5CBCF" w14:textId="77777777" w:rsidR="005173D2" w:rsidRPr="004B4151" w:rsidRDefault="005173D2" w:rsidP="005173D2">
      <w:pPr>
        <w:pStyle w:val="ResumeHeading"/>
      </w:pPr>
      <w:r w:rsidRPr="004B4151">
        <w:t>Employment History</w:t>
      </w:r>
    </w:p>
    <w:p w14:paraId="7EC88383" w14:textId="77777777" w:rsidR="005173D2" w:rsidRPr="004B4151" w:rsidRDefault="005173D2" w:rsidP="005173D2">
      <w:pPr>
        <w:pStyle w:val="Bulletlevel1"/>
        <w:tabs>
          <w:tab w:val="clear" w:pos="360"/>
        </w:tabs>
      </w:pPr>
      <w:r w:rsidRPr="004B4151">
        <w:t>Company, Title, (From – To)</w:t>
      </w:r>
    </w:p>
    <w:p w14:paraId="1DD6A59D" w14:textId="77777777" w:rsidR="005173D2" w:rsidRPr="004B4151" w:rsidRDefault="005173D2" w:rsidP="005173D2">
      <w:pPr>
        <w:pStyle w:val="ResumeHeading"/>
      </w:pPr>
      <w:r w:rsidRPr="004B4151">
        <w:t>Education</w:t>
      </w:r>
    </w:p>
    <w:p w14:paraId="4E9C37A6" w14:textId="77777777" w:rsidR="005173D2" w:rsidRPr="004B4151" w:rsidRDefault="005173D2" w:rsidP="005173D2">
      <w:pPr>
        <w:pStyle w:val="Bulletlevel1"/>
        <w:tabs>
          <w:tab w:val="clear" w:pos="360"/>
        </w:tabs>
      </w:pPr>
      <w:r w:rsidRPr="004B4151">
        <w:t>Degree, Field, School</w:t>
      </w:r>
    </w:p>
    <w:p w14:paraId="5A0FBD4F" w14:textId="77777777" w:rsidR="005173D2" w:rsidRPr="00CE4E4D" w:rsidRDefault="005173D2" w:rsidP="005173D2">
      <w:pPr>
        <w:pStyle w:val="BodyText"/>
      </w:pPr>
    </w:p>
    <w:p w14:paraId="28DE7005" w14:textId="77777777" w:rsidR="00CE5E62" w:rsidRDefault="00CE5E62" w:rsidP="00CE4E4D">
      <w:pPr>
        <w:pStyle w:val="BodyText"/>
      </w:pPr>
      <w:r>
        <w:br w:type="page"/>
      </w:r>
    </w:p>
    <w:p w14:paraId="787C2E01" w14:textId="77777777" w:rsidR="00CE5E62" w:rsidRDefault="00CE5E62" w:rsidP="00CE5E62">
      <w:pPr>
        <w:pStyle w:val="Heading2"/>
        <w:rPr>
          <w:rStyle w:val="ResumeName14pts"/>
          <w:i/>
          <w:iCs w:val="0"/>
        </w:rPr>
      </w:pPr>
      <w:bookmarkStart w:id="32" w:name="_Toc228252935"/>
      <w:r>
        <w:lastRenderedPageBreak/>
        <w:t>A.6</w:t>
      </w:r>
      <w:r>
        <w:tab/>
      </w:r>
      <w:r w:rsidR="006079C6" w:rsidRPr="006079C6">
        <w:t>Security and Privacy Officer</w:t>
      </w:r>
      <w:bookmarkEnd w:id="32"/>
    </w:p>
    <w:p w14:paraId="4EFDD36C" w14:textId="77777777" w:rsidR="00CE5E62" w:rsidRPr="00296F28" w:rsidRDefault="00CE5E62" w:rsidP="00CE5E62">
      <w:pPr>
        <w:pStyle w:val="ResumeNameEntity"/>
        <w:rPr>
          <w:b/>
          <w:iCs/>
        </w:rPr>
      </w:pPr>
      <w:r>
        <w:rPr>
          <w:rStyle w:val="ResumeName14pts"/>
          <w:i w:val="0"/>
          <w:iCs w:val="0"/>
        </w:rPr>
        <w:t>Name</w:t>
      </w:r>
      <w:r>
        <w:rPr>
          <w:rStyle w:val="ResumeName14pts"/>
        </w:rPr>
        <w:tab/>
      </w:r>
      <w:r w:rsidRPr="003461D9">
        <w:t>Legal Entity, Title</w:t>
      </w:r>
    </w:p>
    <w:p w14:paraId="7AA4C832" w14:textId="77777777" w:rsidR="00CE5E62" w:rsidRPr="0070652A" w:rsidRDefault="00CE5E62" w:rsidP="00CE5E62">
      <w:pPr>
        <w:pStyle w:val="ResumeProposedRole"/>
      </w:pPr>
      <w:r>
        <w:t>Labor Category</w:t>
      </w:r>
      <w:r w:rsidRPr="0070652A">
        <w:t xml:space="preserve">:</w:t>
      </w:r>
    </w:p>
    <w:p w14:paraId="28DF0396" w14:textId="77777777" w:rsidR="00CE5E62" w:rsidRPr="004B4151" w:rsidRDefault="00CE5E62" w:rsidP="00CE5E62">
      <w:pPr>
        <w:pStyle w:val="ResumeHeading"/>
      </w:pPr>
      <w:r w:rsidRPr="004B4151">
        <w:t>Experience Summary</w:t>
      </w:r>
    </w:p>
    <w:tbl>
      <w:tblPr>
        <w:tblStyle w:val="TableGrid"/>
        <w:tblpPr w:leftFromText="288" w:rightFromText="288" w:vertAnchor="text" w:horzAnchor="margin" w:tblpXSpec="right" w:tblpY="-10"/>
        <w:tblOverlap w:val="never"/>
        <w:tblW w:w="0" w:type="auto"/>
        <w:tblLook w:val="04A0" w:firstRow="1" w:lastRow="0" w:firstColumn="1" w:lastColumn="0" w:noHBand="0" w:noVBand="1"/>
      </w:tblPr>
      <w:tblGrid>
        <w:gridCol w:w="3235"/>
      </w:tblGrid>
      <w:tr w:rsidR="00CE5E62" w:rsidRPr="00183B3A" w14:paraId="2DCE9807" w14:textId="77777777" w:rsidTr="004150FE">
        <w:trPr>
          <w:trHeight w:val="360"/>
        </w:trPr>
        <w:tc>
          <w:tcPr>
            <w:tcW w:w="3235" w:type="dxa"/>
            <w:tcBorders>
              <w:top w:val="nil"/>
              <w:left w:val="nil"/>
              <w:bottom w:val="nil"/>
              <w:right w:val="nil"/>
            </w:tcBorders>
            <w:shd w:val="clear" w:color="auto" w:fill="005587"/>
            <w:vAlign w:val="center"/>
          </w:tcPr>
          <w:p w14:paraId="0E996544" w14:textId="77777777" w:rsidR="00CE5E62" w:rsidRPr="00183B3A" w:rsidRDefault="00CE5E62" w:rsidP="004150FE">
            <w:pPr>
              <w:pStyle w:val="CalloutTitle"/>
            </w:pPr>
            <w:r>
              <w:t xml:space="preserve">CALLOUT 2 BOX </w:t>
            </w:r>
            <w:r w:rsidRPr="00183B3A">
              <w:t>TITLE TEXT</w:t>
            </w:r>
          </w:p>
        </w:tc>
      </w:tr>
      <w:tr w:rsidR="00CE5E62" w:rsidRPr="00183B3A" w14:paraId="62F05BD6" w14:textId="77777777" w:rsidTr="004150FE">
        <w:trPr>
          <w:trHeight w:val="1620"/>
        </w:trPr>
        <w:tc>
          <w:tcPr>
            <w:tcW w:w="3235" w:type="dxa"/>
            <w:tcBorders>
              <w:top w:val="nil"/>
              <w:left w:val="nil"/>
              <w:bottom w:val="single" w:sz="18" w:space="0" w:color="005587"/>
              <w:right w:val="nil"/>
            </w:tcBorders>
            <w:vAlign w:val="center"/>
          </w:tcPr>
          <w:p w14:paraId="69AB1277" w14:textId="77777777" w:rsidR="00CE5E62" w:rsidRPr="008818FD" w:rsidRDefault="00CE5E62" w:rsidP="004150FE">
            <w:pPr>
              <w:pStyle w:val="Callout2Body"/>
              <w:framePr w:hSpace="0" w:wrap="auto" w:vAnchor="margin" w:hAnchor="text" w:xAlign="left" w:yAlign="inline"/>
              <w:suppressOverlap w:val="0"/>
              <w:rPr>
                <w:i/>
              </w:rPr>
            </w:pPr>
            <w:r w:rsidRPr="00080556">
              <w:rPr>
                <w:rStyle w:val="CharacterItalics"/>
              </w:rPr>
              <w:t xml:space="preserve">Lorem ipsum dolor </w:t>
            </w:r>
            <w:proofErr w:type="gramStart"/>
            <w:r w:rsidRPr="00080556">
              <w:rPr>
                <w:rStyle w:val="CharacterItalics"/>
              </w:rPr>
              <w:t>sit</w:t>
            </w:r>
            <w:proofErr w:type="gramEnd"/>
            <w:r w:rsidRPr="00080556">
              <w:rPr>
                <w:rStyle w:val="CharacterItalics"/>
              </w:rPr>
              <w:t xml:space="preserve"> </w:t>
            </w:r>
            <w:proofErr w:type="spellStart"/>
            <w:r w:rsidRPr="00080556">
              <w:rPr>
                <w:rStyle w:val="CharacterItalics"/>
              </w:rPr>
              <w:t>amet</w:t>
            </w:r>
            <w:proofErr w:type="spellEnd"/>
            <w:r w:rsidRPr="00080556">
              <w:rPr>
                <w:rStyle w:val="CharacterItalics"/>
              </w:rPr>
              <w:t xml:space="preserve">, </w:t>
            </w:r>
            <w:proofErr w:type="spellStart"/>
            <w:r w:rsidRPr="00080556">
              <w:rPr>
                <w:rStyle w:val="CharacterItalics"/>
              </w:rPr>
              <w:t>consectetuer</w:t>
            </w:r>
            <w:proofErr w:type="spellEnd"/>
            <w:r w:rsidRPr="00080556">
              <w:rPr>
                <w:rStyle w:val="CharacterItalics"/>
              </w:rPr>
              <w:t xml:space="preserve"> </w:t>
            </w:r>
            <w:proofErr w:type="spellStart"/>
            <w:r w:rsidRPr="00080556">
              <w:rPr>
                <w:rStyle w:val="CharacterItalics"/>
              </w:rPr>
              <w:t>adipiscing</w:t>
            </w:r>
            <w:proofErr w:type="spellEnd"/>
            <w:r w:rsidRPr="00080556">
              <w:rPr>
                <w:rStyle w:val="CharacterItalics"/>
              </w:rPr>
              <w:t xml:space="preserve"> </w:t>
            </w:r>
            <w:proofErr w:type="spellStart"/>
            <w:r w:rsidRPr="00080556">
              <w:rPr>
                <w:rStyle w:val="CharacterItalics"/>
              </w:rPr>
              <w:t>elit</w:t>
            </w:r>
            <w:proofErr w:type="spellEnd"/>
            <w:r w:rsidRPr="00080556">
              <w:rPr>
                <w:rStyle w:val="CharacterItalics"/>
              </w:rPr>
              <w:t xml:space="preserve">. Maecenas </w:t>
            </w:r>
            <w:proofErr w:type="spellStart"/>
            <w:r w:rsidRPr="00080556">
              <w:rPr>
                <w:rStyle w:val="CharacterItalics"/>
              </w:rPr>
              <w:t>porttitor</w:t>
            </w:r>
            <w:proofErr w:type="spellEnd"/>
            <w:r w:rsidRPr="00080556">
              <w:rPr>
                <w:rStyle w:val="CharacterItalics"/>
              </w:rPr>
              <w:t xml:space="preserve"> </w:t>
            </w:r>
            <w:proofErr w:type="spellStart"/>
            <w:r w:rsidRPr="00080556">
              <w:rPr>
                <w:rStyle w:val="CharacterItalics"/>
              </w:rPr>
              <w:t>congue</w:t>
            </w:r>
            <w:proofErr w:type="spellEnd"/>
            <w:r w:rsidRPr="00080556">
              <w:rPr>
                <w:rStyle w:val="CharacterItalics"/>
              </w:rPr>
              <w:t xml:space="preserve"> </w:t>
            </w:r>
            <w:proofErr w:type="spellStart"/>
            <w:r w:rsidRPr="00080556">
              <w:rPr>
                <w:rStyle w:val="CharacterItalics"/>
              </w:rPr>
              <w:t>massa</w:t>
            </w:r>
            <w:proofErr w:type="spellEnd"/>
            <w:r w:rsidRPr="00080556">
              <w:rPr>
                <w:rStyle w:val="CharacterItalics"/>
              </w:rPr>
              <w:t xml:space="preserve">. </w:t>
            </w:r>
            <w:proofErr w:type="spellStart"/>
            <w:r w:rsidRPr="00080556">
              <w:rPr>
                <w:rStyle w:val="CharacterItalics"/>
              </w:rPr>
              <w:t>Fusce</w:t>
            </w:r>
            <w:proofErr w:type="spellEnd"/>
            <w:r w:rsidRPr="00080556">
              <w:rPr>
                <w:rStyle w:val="CharacterItalics"/>
              </w:rPr>
              <w:t xml:space="preserve"> </w:t>
            </w:r>
            <w:proofErr w:type="spellStart"/>
            <w:r w:rsidRPr="00080556">
              <w:rPr>
                <w:rStyle w:val="CharacterItalics"/>
              </w:rPr>
              <w:t>posuere</w:t>
            </w:r>
            <w:proofErr w:type="spellEnd"/>
            <w:r w:rsidRPr="00080556">
              <w:rPr>
                <w:rStyle w:val="CharacterItalics"/>
              </w:rPr>
              <w:t xml:space="preserve">, magna sed pulvinar </w:t>
            </w:r>
            <w:proofErr w:type="spellStart"/>
            <w:r w:rsidRPr="00080556">
              <w:rPr>
                <w:rStyle w:val="CharacterItalics"/>
              </w:rPr>
              <w:t>ultricies</w:t>
            </w:r>
            <w:proofErr w:type="spellEnd"/>
            <w:r w:rsidRPr="00080556">
              <w:rPr>
                <w:rStyle w:val="CharacterItalics"/>
              </w:rPr>
              <w:t xml:space="preserve">, </w:t>
            </w:r>
            <w:proofErr w:type="spellStart"/>
            <w:r w:rsidRPr="00080556">
              <w:rPr>
                <w:rStyle w:val="CharacterItalics"/>
              </w:rPr>
              <w:t>purus</w:t>
            </w:r>
            <w:proofErr w:type="spellEnd"/>
            <w:r w:rsidRPr="00080556">
              <w:rPr>
                <w:rStyle w:val="CharacterItalics"/>
              </w:rPr>
              <w:t xml:space="preserve"> </w:t>
            </w:r>
            <w:proofErr w:type="spellStart"/>
            <w:r w:rsidRPr="00080556">
              <w:rPr>
                <w:rStyle w:val="CharacterItalics"/>
              </w:rPr>
              <w:t>lectus</w:t>
            </w:r>
            <w:proofErr w:type="spellEnd"/>
            <w:r w:rsidRPr="00080556">
              <w:rPr>
                <w:rStyle w:val="CharacterItalics"/>
              </w:rPr>
              <w:t xml:space="preserve"> </w:t>
            </w:r>
            <w:proofErr w:type="spellStart"/>
            <w:r w:rsidRPr="00080556">
              <w:rPr>
                <w:rStyle w:val="CharacterItalics"/>
              </w:rPr>
              <w:t>malesuada</w:t>
            </w:r>
            <w:proofErr w:type="spellEnd"/>
            <w:r w:rsidRPr="00080556">
              <w:rPr>
                <w:rStyle w:val="CharacterItalics"/>
              </w:rPr>
              <w:t xml:space="preserve"> libero, sit </w:t>
            </w:r>
            <w:proofErr w:type="spellStart"/>
            <w:r w:rsidRPr="00080556">
              <w:rPr>
                <w:rStyle w:val="CharacterItalics"/>
              </w:rPr>
              <w:t>amet</w:t>
            </w:r>
            <w:proofErr w:type="spellEnd"/>
            <w:r w:rsidRPr="00080556">
              <w:rPr>
                <w:rStyle w:val="CharacterItalics"/>
              </w:rPr>
              <w:t xml:space="preserve"> </w:t>
            </w:r>
            <w:proofErr w:type="spellStart"/>
            <w:r w:rsidRPr="00080556">
              <w:rPr>
                <w:rStyle w:val="CharacterItalics"/>
              </w:rPr>
              <w:t>commodo</w:t>
            </w:r>
            <w:proofErr w:type="spellEnd"/>
            <w:r w:rsidRPr="00080556">
              <w:rPr>
                <w:rStyle w:val="CharacterItalics"/>
              </w:rPr>
              <w:t xml:space="preserve"> magna eros </w:t>
            </w:r>
            <w:proofErr w:type="spellStart"/>
            <w:r w:rsidRPr="00080556">
              <w:rPr>
                <w:rStyle w:val="CharacterItalics"/>
              </w:rPr>
              <w:t>quis</w:t>
            </w:r>
            <w:proofErr w:type="spellEnd"/>
            <w:r w:rsidRPr="00080556">
              <w:rPr>
                <w:rStyle w:val="CharacterItalics"/>
              </w:rPr>
              <w:t xml:space="preserve"> </w:t>
            </w:r>
            <w:proofErr w:type="spellStart"/>
            <w:r w:rsidRPr="00080556">
              <w:rPr>
                <w:rStyle w:val="CharacterItalics"/>
              </w:rPr>
              <w:t>urna</w:t>
            </w:r>
            <w:proofErr w:type="spellEnd"/>
            <w:r w:rsidRPr="00080556">
              <w:rPr>
                <w:rStyle w:val="CharacterItalics"/>
              </w:rPr>
              <w:t>.</w:t>
            </w:r>
          </w:p>
        </w:tc>
      </w:tr>
    </w:tbl>
    <w:p w14:paraId="39FFFD34" w14:textId="77777777" w:rsidR="00CE5E62" w:rsidRDefault="00CE5E62" w:rsidP="00CE5E62">
      <w:pPr>
        <w:pStyle w:val="BodyText"/>
      </w:pPr>
      <w:r w:rsidRPr="004B4151">
        <w:t>Give a synopsis of candidate's experience with focus on relevant tasks, duties, work, accomplishments. Spell out numbers zero to nine; use numerical values for 10 and higher, unless the number represents a dollar amount (i.e., $1 Million). Also, please refer to the candidate as Title plus Last Name, for example: Ms. Smith has over 15 years of experience in financial management.</w:t>
      </w:r>
    </w:p>
    <w:p w14:paraId="2CA19347" w14:textId="77777777" w:rsidR="00CE5E62" w:rsidRPr="004B4151" w:rsidRDefault="00CE5E62" w:rsidP="00CE5E62">
      <w:pPr>
        <w:pStyle w:val="BodyText"/>
      </w:pPr>
      <w:r w:rsidRPr="004B4151">
        <w:t xml:space="preserve">Example: Mr. Smith has more than 12 years of extensive IT experience, specializing in complex programs. He has experience with data governance, data management, meta-data management, data warehousing, data cleansing and enterprise reporting. Mr. Smith has worked in many industries and environments, including </w:t>
      </w:r>
      <w:proofErr w:type="gramStart"/>
      <w:r w:rsidRPr="004B4151">
        <w:t>past experience</w:t>
      </w:r>
      <w:proofErr w:type="gramEnd"/>
      <w:r w:rsidRPr="004B4151">
        <w:t xml:space="preserve"> working with DHS. He has a demonstrated track record of program management as well as bringing projects to closure in challenging environments.</w:t>
      </w:r>
    </w:p>
    <w:p w14:paraId="4D9BC709" w14:textId="77777777" w:rsidR="00CE5E62" w:rsidRPr="004B4151" w:rsidRDefault="00CE5E62" w:rsidP="00CE5E62">
      <w:pPr>
        <w:pStyle w:val="ResumeHeading"/>
      </w:pPr>
      <w:r w:rsidRPr="004B4151">
        <w:t>Recent Experience</w:t>
      </w:r>
    </w:p>
    <w:p w14:paraId="6C2F7F9B" w14:textId="77777777" w:rsidR="00CE5E62" w:rsidRPr="0037159E" w:rsidRDefault="00CE5E62" w:rsidP="00CE5E62">
      <w:pPr>
        <w:pStyle w:val="ResumeJobTitle"/>
      </w:pPr>
      <w:r>
        <w:t xml:space="preserve">Resume </w:t>
      </w:r>
      <w:r w:rsidRPr="0037159E">
        <w:t>Job Title</w:t>
      </w:r>
      <w:r w:rsidRPr="0037159E">
        <w:tab/>
        <w:t>Dates</w:t>
      </w:r>
    </w:p>
    <w:p w14:paraId="10B09606" w14:textId="77777777" w:rsidR="00CE5E62" w:rsidRPr="004B4151" w:rsidRDefault="00CE5E62" w:rsidP="00CE5E62">
      <w:pPr>
        <w:pStyle w:val="ResumeHeading"/>
      </w:pPr>
      <w:r w:rsidRPr="004B4151">
        <w:t>Employment History</w:t>
      </w:r>
    </w:p>
    <w:p w14:paraId="61780E96" w14:textId="77777777" w:rsidR="00CE5E62" w:rsidRPr="004B4151" w:rsidRDefault="00CE5E62" w:rsidP="00CE5E62">
      <w:pPr>
        <w:pStyle w:val="Bulletlevel1"/>
        <w:tabs>
          <w:tab w:val="clear" w:pos="360"/>
        </w:tabs>
      </w:pPr>
      <w:r w:rsidRPr="004B4151">
        <w:t>Company, Title, (From – To)</w:t>
      </w:r>
    </w:p>
    <w:p w14:paraId="55A61B02" w14:textId="77777777" w:rsidR="00CE5E62" w:rsidRPr="004B4151" w:rsidRDefault="00CE5E62" w:rsidP="00CE5E62">
      <w:pPr>
        <w:pStyle w:val="ResumeHeading"/>
      </w:pPr>
      <w:r w:rsidRPr="004B4151">
        <w:t>Education</w:t>
      </w:r>
    </w:p>
    <w:p w14:paraId="60670958" w14:textId="77777777" w:rsidR="00CE5E62" w:rsidRPr="004B4151" w:rsidRDefault="00CE5E62" w:rsidP="00CE5E62">
      <w:pPr>
        <w:pStyle w:val="Bulletlevel1"/>
        <w:tabs>
          <w:tab w:val="clear" w:pos="360"/>
        </w:tabs>
        <w:sectPr w:rsidR="00CE5E62" w:rsidRPr="004B4151" w:rsidSect="000B1BCE">
          <w:footerReference w:type="default" r:id="rId43"/>
          <w:pgSz w:w="12240" w:h="15840" w:code="1"/>
          <w:pgMar w:top="1440" w:right="1440" w:bottom="1440" w:left="1440" w:header="720" w:footer="576" w:gutter="0"/>
          <w:pgNumType w:start="1"/>
          <w:cols w:space="720"/>
          <w:docGrid w:linePitch="360"/>
        </w:sectPr>
      </w:pPr>
      <w:r w:rsidRPr="004B4151">
        <w:t>Degree, Field, School</w:t>
      </w:r>
    </w:p>
    <w:tbl>
      <w:tblPr>
        <w:tblpPr w:leftFromText="187" w:rightFromText="187" w:vertAnchor="text" w:tblpXSpec="right" w:tblpY="26"/>
        <w:tblW w:w="3888" w:type="dxa"/>
        <w:tblBorders>
          <w:top w:val="single" w:sz="4" w:space="0" w:color="007CB0" w:themeColor="accent6"/>
          <w:left w:val="single" w:sz="4" w:space="0" w:color="007CB0" w:themeColor="accent6"/>
          <w:bottom w:val="single" w:sz="4" w:space="0" w:color="007CB0" w:themeColor="accent6"/>
          <w:right w:val="single" w:sz="4" w:space="0" w:color="007CB0" w:themeColor="accent6"/>
          <w:insideH w:val="single" w:sz="4" w:space="0" w:color="007CB0" w:themeColor="accent6"/>
          <w:insideV w:val="single" w:sz="4" w:space="0" w:color="007CB0" w:themeColor="accent6"/>
        </w:tblBorders>
        <w:tblLook w:val="0600" w:firstRow="0" w:lastRow="0" w:firstColumn="0" w:lastColumn="0" w:noHBand="1" w:noVBand="1"/>
      </w:tblPr>
      <w:tblGrid>
        <w:gridCol w:w="3888"/>
      </w:tblGrid>
      <w:tr w:rsidR="004F57A3" w14:paraId="4EC39BDB" w14:textId="77777777" w:rsidTr="008C3979">
        <w:tc>
          <w:tcPr>
            <w:tcW w:w="5000" w:type="pct"/>
            <w:tcBorders>
              <w:top w:val="single" w:sz="4" w:space="0" w:color="005587"/>
              <w:left w:val="single" w:sz="4" w:space="0" w:color="005587"/>
              <w:bottom w:val="single" w:sz="4" w:space="0" w:color="005587"/>
              <w:right w:val="single" w:sz="4" w:space="0" w:color="005587"/>
            </w:tcBorders>
            <w:shd w:val="clear" w:color="auto" w:fill="005587"/>
          </w:tcPr>
          <w:p w14:paraId="6BDE6B34" w14:textId="77777777" w:rsidR="004F57A3" w:rsidRDefault="004F57A3" w:rsidP="006F5E2D">
            <w:pPr>
              <w:pStyle w:val="CalloutTitle"/>
            </w:pPr>
            <w:r>
              <w:lastRenderedPageBreak/>
              <w:t>Callout</w:t>
            </w:r>
            <w:r w:rsidR="004718BB">
              <w:t xml:space="preserve"> 1</w:t>
            </w:r>
            <w:r>
              <w:t xml:space="preserve"> Title</w:t>
            </w:r>
          </w:p>
        </w:tc>
      </w:tr>
      <w:tr w:rsidR="004F57A3" w14:paraId="78753C5E" w14:textId="77777777" w:rsidTr="008B0A6B">
        <w:tc>
          <w:tcPr>
            <w:tcW w:w="5000" w:type="pct"/>
            <w:tcBorders>
              <w:top w:val="single" w:sz="4" w:space="0" w:color="005587"/>
              <w:left w:val="single" w:sz="2" w:space="0" w:color="005587"/>
              <w:bottom w:val="single" w:sz="2" w:space="0" w:color="005587"/>
              <w:right w:val="single" w:sz="2" w:space="0" w:color="005587"/>
            </w:tcBorders>
          </w:tcPr>
          <w:p w14:paraId="413F050A" w14:textId="77777777" w:rsidR="004F57A3" w:rsidRDefault="004F57A3" w:rsidP="006F5E2D">
            <w:pPr>
              <w:pStyle w:val="Callout2Body"/>
              <w:framePr w:hSpace="0" w:wrap="auto" w:vAnchor="margin" w:hAnchor="text" w:xAlign="left" w:yAlign="inline"/>
              <w:suppressOverlap w:val="0"/>
            </w:pPr>
            <w:r>
              <w:t>Callout2 Body</w:t>
            </w:r>
          </w:p>
          <w:p w14:paraId="29B11A5D" w14:textId="77777777" w:rsidR="001A6EA4" w:rsidRPr="001A6EA4" w:rsidRDefault="004F57A3" w:rsidP="001A6EA4">
            <w:pPr>
              <w:pStyle w:val="Callout2CheckmarkBullet"/>
              <w:framePr w:hSpace="0" w:wrap="auto" w:xAlign="left" w:yAlign="inline"/>
              <w:tabs>
                <w:tab w:val="clear" w:pos="180"/>
              </w:tabs>
              <w:suppressOverlap w:val="0"/>
              <w:textboxTightWrap w:val="none"/>
            </w:pPr>
            <w:r>
              <w:t xml:space="preserve">Callout2 </w:t>
            </w:r>
            <w:r w:rsidRPr="00743F21">
              <w:t>Checkmark</w:t>
            </w:r>
            <w:r>
              <w:t xml:space="preserve"> Bullet</w:t>
            </w:r>
          </w:p>
          <w:p w14:paraId="0A4D3170" w14:textId="77777777" w:rsidR="004F57A3" w:rsidRDefault="004F57A3" w:rsidP="00190625">
            <w:pPr>
              <w:pStyle w:val="Callout2Bullet"/>
              <w:framePr w:hSpace="0" w:wrap="auto" w:vAnchor="margin" w:hAnchor="text" w:xAlign="left" w:yAlign="inline"/>
              <w:suppressOverlap w:val="0"/>
            </w:pPr>
            <w:r>
              <w:t>Callout2 Bullet</w:t>
            </w:r>
          </w:p>
          <w:p w14:paraId="4E6E4C62" w14:textId="77777777" w:rsidR="001A6EA4" w:rsidRPr="001A6EA4" w:rsidRDefault="004F57A3" w:rsidP="001A6EA4">
            <w:pPr>
              <w:pStyle w:val="Callout2Bullet2"/>
              <w:framePr w:hSpace="0" w:wrap="auto" w:vAnchor="margin" w:hAnchor="text" w:xAlign="left" w:yAlign="inline"/>
              <w:suppressOverlap w:val="0"/>
            </w:pPr>
            <w:r w:rsidRPr="00A1609F">
              <w:t>Callout</w:t>
            </w:r>
            <w:r>
              <w:t>2</w:t>
            </w:r>
            <w:r w:rsidRPr="00A1609F">
              <w:t xml:space="preserve"> Bullet2</w:t>
            </w:r>
          </w:p>
        </w:tc>
      </w:tr>
    </w:tbl>
    <w:tbl>
      <w:tblPr>
        <w:tblStyle w:val="TableGrid"/>
        <w:tblpPr w:leftFromText="288" w:rightFromText="288" w:vertAnchor="text" w:horzAnchor="page" w:tblpX="7051" w:tblpY="9"/>
        <w:tblOverlap w:val="never"/>
        <w:tblW w:w="0" w:type="auto"/>
        <w:tblLook w:val="04A0" w:firstRow="1" w:lastRow="0" w:firstColumn="1" w:lastColumn="0" w:noHBand="0" w:noVBand="1"/>
      </w:tblPr>
      <w:tblGrid>
        <w:gridCol w:w="3235"/>
      </w:tblGrid>
      <w:tr w:rsidR="006065FF" w:rsidRPr="00183B3A" w14:paraId="5AECF223" w14:textId="77777777" w:rsidTr="006065FF">
        <w:trPr>
          <w:trHeight w:val="360"/>
        </w:trPr>
        <w:tc>
          <w:tcPr>
            <w:tcW w:w="3235" w:type="dxa"/>
            <w:tcBorders>
              <w:top w:val="nil"/>
              <w:left w:val="nil"/>
              <w:bottom w:val="nil"/>
              <w:right w:val="nil"/>
            </w:tcBorders>
            <w:shd w:val="clear" w:color="auto" w:fill="005587"/>
            <w:vAlign w:val="center"/>
          </w:tcPr>
          <w:p w14:paraId="4499CA26" w14:textId="77777777" w:rsidR="006065FF" w:rsidRPr="00183B3A" w:rsidRDefault="006065FF" w:rsidP="006065FF">
            <w:pPr>
              <w:pStyle w:val="CalloutTitle"/>
            </w:pPr>
            <w:r>
              <w:t xml:space="preserve">CALLOUT 2 BOX </w:t>
            </w:r>
            <w:r w:rsidRPr="00183B3A">
              <w:t>TITLE TEXT</w:t>
            </w:r>
          </w:p>
        </w:tc>
      </w:tr>
      <w:tr w:rsidR="006065FF" w:rsidRPr="00183B3A" w14:paraId="04E9C5DE" w14:textId="77777777" w:rsidTr="006065FF">
        <w:trPr>
          <w:trHeight w:val="1620"/>
        </w:trPr>
        <w:tc>
          <w:tcPr>
            <w:tcW w:w="3235" w:type="dxa"/>
            <w:tcBorders>
              <w:top w:val="nil"/>
              <w:left w:val="nil"/>
              <w:bottom w:val="single" w:sz="18" w:space="0" w:color="005587"/>
              <w:right w:val="nil"/>
            </w:tcBorders>
            <w:vAlign w:val="center"/>
          </w:tcPr>
          <w:p w14:paraId="4F121CDA" w14:textId="77777777" w:rsidR="006065FF" w:rsidRPr="00296F28" w:rsidRDefault="006065FF" w:rsidP="006065FF">
            <w:pPr>
              <w:pStyle w:val="Callout2BodyItalic"/>
              <w:framePr w:hSpace="0" w:wrap="auto" w:vAnchor="margin" w:hAnchor="text" w:xAlign="left" w:yAlign="inline"/>
              <w:suppressOverlap w:val="0"/>
            </w:pPr>
            <w:r w:rsidRPr="00296F28">
              <w:t xml:space="preserve">Lorem ipsum dolor </w:t>
            </w:r>
            <w:proofErr w:type="gramStart"/>
            <w:r w:rsidRPr="00296F28">
              <w:t>sit</w:t>
            </w:r>
            <w:proofErr w:type="gramEnd"/>
            <w:r w:rsidRPr="00296F28">
              <w:t xml:space="preserve"> </w:t>
            </w:r>
            <w:proofErr w:type="spellStart"/>
            <w:r w:rsidRPr="00296F28">
              <w:t>amet</w:t>
            </w:r>
            <w:proofErr w:type="spellEnd"/>
            <w:r w:rsidRPr="00296F28">
              <w:t xml:space="preserve">, </w:t>
            </w:r>
            <w:proofErr w:type="spellStart"/>
            <w:r w:rsidRPr="00296F28">
              <w:t>consectetuer</w:t>
            </w:r>
            <w:proofErr w:type="spellEnd"/>
            <w:r w:rsidRPr="00296F28">
              <w:t xml:space="preserve"> </w:t>
            </w:r>
            <w:proofErr w:type="spellStart"/>
            <w:r w:rsidRPr="00296F28">
              <w:t>adipiscing</w:t>
            </w:r>
            <w:proofErr w:type="spellEnd"/>
            <w:r w:rsidRPr="00296F28">
              <w:t xml:space="preserve"> </w:t>
            </w:r>
            <w:proofErr w:type="spellStart"/>
            <w:r w:rsidRPr="00296F28">
              <w:t>elit</w:t>
            </w:r>
            <w:proofErr w:type="spellEnd"/>
            <w:r w:rsidRPr="00296F28">
              <w:t xml:space="preserve">. Maecenas </w:t>
            </w:r>
            <w:proofErr w:type="spellStart"/>
            <w:r w:rsidRPr="00296F28">
              <w:t>porttitor</w:t>
            </w:r>
            <w:proofErr w:type="spellEnd"/>
            <w:r w:rsidRPr="00296F28">
              <w:t xml:space="preserve"> </w:t>
            </w:r>
            <w:proofErr w:type="spellStart"/>
            <w:r w:rsidRPr="00296F28">
              <w:t>congue</w:t>
            </w:r>
            <w:proofErr w:type="spellEnd"/>
            <w:r w:rsidRPr="00296F28">
              <w:t xml:space="preserve"> </w:t>
            </w:r>
            <w:proofErr w:type="spellStart"/>
            <w:r w:rsidRPr="00296F28">
              <w:t>massa</w:t>
            </w:r>
            <w:proofErr w:type="spellEnd"/>
            <w:r w:rsidRPr="00296F28">
              <w:t xml:space="preserve">. </w:t>
            </w:r>
            <w:proofErr w:type="spellStart"/>
            <w:r w:rsidRPr="00296F28">
              <w:t>Fusce</w:t>
            </w:r>
            <w:proofErr w:type="spellEnd"/>
            <w:r w:rsidRPr="00296F28">
              <w:t xml:space="preserve"> </w:t>
            </w:r>
            <w:proofErr w:type="spellStart"/>
            <w:r w:rsidRPr="00296F28">
              <w:t>posuere</w:t>
            </w:r>
            <w:proofErr w:type="spellEnd"/>
            <w:r w:rsidRPr="00296F28">
              <w:t xml:space="preserve">, magna sed pulvinar </w:t>
            </w:r>
            <w:proofErr w:type="spellStart"/>
            <w:r w:rsidRPr="00296F28">
              <w:t>ultricies</w:t>
            </w:r>
            <w:proofErr w:type="spellEnd"/>
            <w:r w:rsidRPr="00296F28">
              <w:t xml:space="preserve">, </w:t>
            </w:r>
            <w:proofErr w:type="spellStart"/>
            <w:r w:rsidRPr="00296F28">
              <w:t>purus</w:t>
            </w:r>
            <w:proofErr w:type="spellEnd"/>
            <w:r w:rsidRPr="00296F28">
              <w:t xml:space="preserve"> </w:t>
            </w:r>
            <w:proofErr w:type="spellStart"/>
            <w:r w:rsidRPr="00296F28">
              <w:t>lectus</w:t>
            </w:r>
            <w:proofErr w:type="spellEnd"/>
            <w:r w:rsidRPr="00296F28">
              <w:t xml:space="preserve"> </w:t>
            </w:r>
            <w:proofErr w:type="spellStart"/>
            <w:r w:rsidRPr="00296F28">
              <w:t>malesuada</w:t>
            </w:r>
            <w:proofErr w:type="spellEnd"/>
            <w:r w:rsidRPr="00296F28">
              <w:t xml:space="preserve"> libero, sit </w:t>
            </w:r>
            <w:proofErr w:type="spellStart"/>
            <w:r w:rsidRPr="00296F28">
              <w:t>amet</w:t>
            </w:r>
            <w:proofErr w:type="spellEnd"/>
            <w:r w:rsidRPr="00296F28">
              <w:t xml:space="preserve"> </w:t>
            </w:r>
            <w:proofErr w:type="spellStart"/>
            <w:r w:rsidRPr="00296F28">
              <w:t>commodo</w:t>
            </w:r>
            <w:proofErr w:type="spellEnd"/>
            <w:r w:rsidRPr="00296F28">
              <w:t xml:space="preserve"> magna eros </w:t>
            </w:r>
            <w:proofErr w:type="spellStart"/>
            <w:r w:rsidRPr="00296F28">
              <w:t>quis</w:t>
            </w:r>
            <w:proofErr w:type="spellEnd"/>
            <w:r w:rsidRPr="00296F28">
              <w:t xml:space="preserve"> </w:t>
            </w:r>
            <w:proofErr w:type="spellStart"/>
            <w:r w:rsidRPr="00296F28">
              <w:t>urna</w:t>
            </w:r>
            <w:proofErr w:type="spellEnd"/>
            <w:r w:rsidRPr="00296F28">
              <w:t>.</w:t>
            </w:r>
          </w:p>
        </w:tc>
      </w:tr>
    </w:tbl>
    <w:tbl>
      <w:tblPr>
        <w:tblStyle w:val="TableGrid"/>
        <w:tblpPr w:leftFromText="288" w:rightFromText="288" w:vertAnchor="text" w:horzAnchor="page" w:tblpX="4938" w:tblpY="-13"/>
        <w:tblOverlap w:val="never"/>
        <w:tblW w:w="0" w:type="auto"/>
        <w:tblBorders>
          <w:top w:val="single" w:sz="18" w:space="0" w:color="007CB0" w:themeColor="accent6"/>
          <w:left w:val="none" w:sz="0" w:space="0" w:color="auto"/>
          <w:bottom w:val="single" w:sz="18" w:space="0" w:color="007CB0" w:themeColor="accent6"/>
          <w:right w:val="none" w:sz="0" w:space="0" w:color="auto"/>
          <w:insideH w:val="none" w:sz="0" w:space="0" w:color="auto"/>
          <w:insideV w:val="none" w:sz="0" w:space="0" w:color="auto"/>
        </w:tblBorders>
        <w:tblLook w:val="04A0" w:firstRow="1" w:lastRow="0" w:firstColumn="1" w:lastColumn="0" w:noHBand="0" w:noVBand="1"/>
      </w:tblPr>
      <w:tblGrid>
        <w:gridCol w:w="1795"/>
        <w:gridCol w:w="4055"/>
      </w:tblGrid>
      <w:tr w:rsidR="00296F28" w14:paraId="59A256A0" w14:textId="77777777">
        <w:trPr>
          <w:trHeight w:val="1215"/>
        </w:trPr>
        <w:tc>
          <w:tcPr>
            <w:tcW w:w="1795" w:type="dxa"/>
            <w:tcBorders>
              <w:top w:val="single" w:sz="18" w:space="0" w:color="005587"/>
              <w:bottom w:val="single" w:sz="18" w:space="0" w:color="005587"/>
            </w:tcBorders>
            <w:vAlign w:val="center"/>
          </w:tcPr>
          <w:p w14:paraId="175893FE" w14:textId="77777777" w:rsidR="00296F28" w:rsidRPr="00F744EE" w:rsidRDefault="00296F28">
            <w:pPr>
              <w:pStyle w:val="CalloutTitle12pt"/>
              <w:framePr w:hSpace="0" w:wrap="auto" w:vAnchor="margin" w:hAnchor="text" w:yAlign="inline"/>
              <w:suppressOverlap w:val="0"/>
            </w:pPr>
            <w:r w:rsidRPr="00F744EE">
              <w:t xml:space="preserve">Callout </w:t>
            </w:r>
            <w:r>
              <w:t xml:space="preserve">3 </w:t>
            </w:r>
            <w:r w:rsidRPr="00F744EE">
              <w:t>Box</w:t>
            </w:r>
          </w:p>
          <w:p w14:paraId="3C322F8C" w14:textId="77777777" w:rsidR="00296F28" w:rsidRPr="00F744EE" w:rsidRDefault="00296F28">
            <w:pPr>
              <w:pStyle w:val="CalloutTitle12pt"/>
              <w:framePr w:hSpace="0" w:wrap="auto" w:vAnchor="margin" w:hAnchor="text" w:yAlign="inline"/>
              <w:suppressOverlap w:val="0"/>
            </w:pPr>
            <w:r w:rsidRPr="00920428">
              <w:t>Title Text</w:t>
            </w:r>
          </w:p>
        </w:tc>
        <w:tc>
          <w:tcPr>
            <w:tcW w:w="4055" w:type="dxa"/>
            <w:tcBorders>
              <w:top w:val="single" w:sz="18" w:space="0" w:color="005587"/>
              <w:bottom w:val="single" w:sz="18" w:space="0" w:color="005587"/>
            </w:tcBorders>
            <w:vAlign w:val="center"/>
          </w:tcPr>
          <w:p w14:paraId="6C56D125" w14:textId="77777777" w:rsidR="008818FD" w:rsidRPr="00296F28" w:rsidRDefault="00296F28" w:rsidP="00296F28">
            <w:pPr>
              <w:pStyle w:val="Callout2BodyItalic"/>
              <w:framePr w:hSpace="0" w:wrap="auto" w:vAnchor="margin" w:hAnchor="text" w:xAlign="left" w:yAlign="inline"/>
              <w:suppressOverlap w:val="0"/>
            </w:pPr>
            <w:r w:rsidRPr="00296F28">
              <w:t xml:space="preserve">Lorem ipsum dolor </w:t>
            </w:r>
            <w:proofErr w:type="gramStart"/>
            <w:r w:rsidRPr="00296F28">
              <w:t>sit</w:t>
            </w:r>
            <w:proofErr w:type="gramEnd"/>
            <w:r w:rsidRPr="00296F28">
              <w:t xml:space="preserve"> </w:t>
            </w:r>
            <w:proofErr w:type="spellStart"/>
            <w:r w:rsidRPr="00296F28">
              <w:t>amet</w:t>
            </w:r>
            <w:proofErr w:type="spellEnd"/>
            <w:r w:rsidRPr="00296F28">
              <w:t xml:space="preserve">, </w:t>
            </w:r>
            <w:proofErr w:type="spellStart"/>
            <w:r w:rsidRPr="00296F28">
              <w:t>consectetuer</w:t>
            </w:r>
            <w:proofErr w:type="spellEnd"/>
            <w:r w:rsidRPr="00296F28">
              <w:t xml:space="preserve"> </w:t>
            </w:r>
            <w:proofErr w:type="spellStart"/>
            <w:r w:rsidRPr="00296F28">
              <w:t>adipiscing</w:t>
            </w:r>
            <w:proofErr w:type="spellEnd"/>
            <w:r w:rsidRPr="00296F28">
              <w:t xml:space="preserve"> </w:t>
            </w:r>
            <w:proofErr w:type="spellStart"/>
            <w:r w:rsidRPr="00296F28">
              <w:t>elit</w:t>
            </w:r>
            <w:proofErr w:type="spellEnd"/>
            <w:r w:rsidRPr="00296F28">
              <w:t xml:space="preserve">. Maecenas </w:t>
            </w:r>
            <w:proofErr w:type="spellStart"/>
            <w:r w:rsidRPr="00296F28">
              <w:t>porttitor</w:t>
            </w:r>
            <w:proofErr w:type="spellEnd"/>
            <w:r w:rsidRPr="00296F28">
              <w:t xml:space="preserve"> </w:t>
            </w:r>
            <w:proofErr w:type="spellStart"/>
            <w:r w:rsidRPr="00296F28">
              <w:t>congue</w:t>
            </w:r>
            <w:proofErr w:type="spellEnd"/>
            <w:r w:rsidRPr="00296F28">
              <w:t xml:space="preserve"> </w:t>
            </w:r>
            <w:proofErr w:type="spellStart"/>
            <w:r w:rsidRPr="00296F28">
              <w:t>massa</w:t>
            </w:r>
            <w:proofErr w:type="spellEnd"/>
            <w:r w:rsidRPr="00296F28">
              <w:t xml:space="preserve">. </w:t>
            </w:r>
            <w:proofErr w:type="spellStart"/>
            <w:r w:rsidRPr="00296F28">
              <w:t>Fusce</w:t>
            </w:r>
            <w:proofErr w:type="spellEnd"/>
            <w:r w:rsidRPr="00296F28">
              <w:t xml:space="preserve"> </w:t>
            </w:r>
            <w:proofErr w:type="spellStart"/>
            <w:r w:rsidRPr="00296F28">
              <w:t>posuere</w:t>
            </w:r>
            <w:proofErr w:type="spellEnd"/>
            <w:r w:rsidRPr="00296F28">
              <w:t xml:space="preserve">, magna sed pulvinar </w:t>
            </w:r>
            <w:proofErr w:type="spellStart"/>
            <w:r w:rsidRPr="00296F28">
              <w:t>ultricies</w:t>
            </w:r>
            <w:proofErr w:type="spellEnd"/>
            <w:r w:rsidRPr="00296F28">
              <w:t xml:space="preserve">, </w:t>
            </w:r>
            <w:proofErr w:type="spellStart"/>
            <w:r w:rsidRPr="00296F28">
              <w:t>purus</w:t>
            </w:r>
            <w:proofErr w:type="spellEnd"/>
            <w:r w:rsidRPr="00296F28">
              <w:t xml:space="preserve"> </w:t>
            </w:r>
            <w:proofErr w:type="spellStart"/>
            <w:r w:rsidRPr="00296F28">
              <w:t>lectus</w:t>
            </w:r>
            <w:proofErr w:type="spellEnd"/>
            <w:r w:rsidRPr="00296F28">
              <w:t xml:space="preserve"> </w:t>
            </w:r>
            <w:proofErr w:type="spellStart"/>
            <w:r w:rsidRPr="00296F28">
              <w:t>malesuada</w:t>
            </w:r>
            <w:proofErr w:type="spellEnd"/>
            <w:r w:rsidRPr="00296F28">
              <w:t xml:space="preserve"> libero, sit </w:t>
            </w:r>
            <w:proofErr w:type="spellStart"/>
            <w:r w:rsidRPr="00296F28">
              <w:t>amet</w:t>
            </w:r>
            <w:proofErr w:type="spellEnd"/>
            <w:r w:rsidRPr="00296F28">
              <w:t xml:space="preserve"> </w:t>
            </w:r>
            <w:proofErr w:type="spellStart"/>
            <w:r w:rsidRPr="00296F28">
              <w:t>commodo</w:t>
            </w:r>
            <w:proofErr w:type="spellEnd"/>
            <w:r w:rsidRPr="00296F28">
              <w:t xml:space="preserve"> magna eros </w:t>
            </w:r>
            <w:proofErr w:type="spellStart"/>
            <w:r w:rsidRPr="00296F28">
              <w:t>quis</w:t>
            </w:r>
            <w:proofErr w:type="spellEnd"/>
            <w:r w:rsidRPr="00296F28">
              <w:t xml:space="preserve"> </w:t>
            </w:r>
            <w:proofErr w:type="spellStart"/>
            <w:r w:rsidRPr="00296F28">
              <w:t>urna</w:t>
            </w:r>
            <w:proofErr w:type="spellEnd"/>
            <w:r w:rsidRPr="00296F28">
              <w:t>.</w:t>
            </w:r>
          </w:p>
        </w:tc>
      </w:tr>
    </w:tbl>
    <w:tbl>
      <w:tblPr>
        <w:tblStyle w:val="TableGrid"/>
        <w:tblpPr w:leftFromText="144" w:vertAnchor="text" w:tblpXSpec="right" w:tblpY="1"/>
        <w:tblOverlap w:val="never"/>
        <w:tblW w:w="3456"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none" w:sz="0" w:space="0" w:color="auto"/>
          <w:insideV w:val="none" w:sz="0" w:space="0" w:color="auto"/>
        </w:tblBorders>
        <w:tblCellMar>
          <w:left w:w="0" w:type="dxa"/>
          <w:right w:w="0" w:type="dxa"/>
        </w:tblCellMar>
        <w:tblLook w:val="04A0" w:firstRow="1" w:lastRow="0" w:firstColumn="1" w:lastColumn="0" w:noHBand="0" w:noVBand="1"/>
      </w:tblPr>
      <w:tblGrid>
        <w:gridCol w:w="3734"/>
      </w:tblGrid>
      <w:tr w:rsidR="004F57A3" w14:paraId="4DB18F15" w14:textId="77777777">
        <w:trPr>
          <w:cantSplit/>
        </w:trPr>
        <w:tc>
          <w:tcPr>
            <w:tcW w:w="9576" w:type="dxa"/>
          </w:tcPr>
          <w:p w14:paraId="43E21E67" w14:textId="77777777" w:rsidR="004F57A3" w:rsidRDefault="004F57A3">
            <w:pPr>
              <w:pStyle w:val="FigureTitle"/>
            </w:pPr>
            <w:bookmarkStart w:id="33" w:name="_Toc534622387"/>
            <w:r>
              <w:t>Figure X.X-X. Provide Title.</w:t>
            </w:r>
            <w:bookmarkEnd w:id="33"/>
          </w:p>
          <w:p w14:paraId="54B52CEF" w14:textId="77777777" w:rsidR="004F57A3" w:rsidRPr="00524B8E" w:rsidRDefault="004F57A3">
            <w:pPr>
              <w:pStyle w:val="ActionCaption"/>
            </w:pPr>
            <w:r>
              <w:t>Action caption, if needed</w:t>
            </w:r>
          </w:p>
          <w:p w14:paraId="4589ACA8" w14:textId="77777777" w:rsidR="004F57A3" w:rsidRPr="006438C6" w:rsidRDefault="00306F3E">
            <w:pPr>
              <w:pStyle w:val="FigureGraphic"/>
            </w:pPr>
            <w:r>
              <w:rPr>
                <w:noProof/>
              </w:rPr>
              <w:drawing>
                <wp:inline distT="0" distB="0" distL="0" distR="0" wp14:anchorId="31F5E8EE" wp14:editId="41F5C794">
                  <wp:extent cx="2365163" cy="75484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example.jpg"/>
                          <pic:cNvPicPr/>
                        </pic:nvPicPr>
                        <pic:blipFill>
                          <a:blip r:embed="rId44"/>
                          <a:stretch>
                            <a:fillRect/>
                          </a:stretch>
                        </pic:blipFill>
                        <pic:spPr>
                          <a:xfrm>
                            <a:off x="0" y="0"/>
                            <a:ext cx="2489497" cy="794521"/>
                          </a:xfrm>
                          <a:prstGeom prst="rect">
                            <a:avLst/>
                          </a:prstGeom>
                        </pic:spPr>
                      </pic:pic>
                    </a:graphicData>
                  </a:graphic>
                </wp:inline>
              </w:drawing>
            </w:r>
          </w:p>
        </w:tc>
      </w:tr>
    </w:tbl>
    <w:tbl>
      <w:tblPr>
        <w:tblStyle w:val="DeloitteTable2"/>
        <w:tblW w:w="0" w:type="auto"/>
        <w:tblLook w:val="06A0" w:firstRow="1" w:lastRow="0" w:firstColumn="1" w:lastColumn="0" w:noHBand="1" w:noVBand="1"/>
      </w:tblPr>
      <w:tblGrid>
        <w:gridCol w:w="2337"/>
        <w:gridCol w:w="2337"/>
        <w:gridCol w:w="2338"/>
        <w:gridCol w:w="2338"/>
      </w:tblGrid>
      <w:tr w:rsidR="00801C7B" w14:paraId="527C7B5A" w14:textId="77777777" w:rsidTr="00C765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2FCB019B" w14:textId="77777777" w:rsidR="00801C7B" w:rsidRDefault="00801C7B" w:rsidP="00801C7B">
            <w:pPr>
              <w:pStyle w:val="TableHeading"/>
            </w:pPr>
            <w:r>
              <w:t>Table Heading</w:t>
            </w:r>
          </w:p>
        </w:tc>
        <w:tc>
          <w:tcPr>
            <w:tcW w:w="2337" w:type="dxa"/>
          </w:tcPr>
          <w:p w14:paraId="1A095D25" w14:textId="77777777" w:rsidR="00801C7B" w:rsidRDefault="00801C7B" w:rsidP="00801C7B">
            <w:pPr>
              <w:pStyle w:val="TableHeading"/>
              <w:cnfStyle w:val="100000000000" w:firstRow="1" w:lastRow="0" w:firstColumn="0" w:lastColumn="0" w:oddVBand="0" w:evenVBand="0" w:oddHBand="0" w:evenHBand="0" w:firstRowFirstColumn="0" w:firstRowLastColumn="0" w:lastRowFirstColumn="0" w:lastRowLastColumn="0"/>
            </w:pPr>
            <w:r>
              <w:t>Table Heading</w:t>
            </w:r>
          </w:p>
        </w:tc>
        <w:tc>
          <w:tcPr>
            <w:tcW w:w="2338" w:type="dxa"/>
          </w:tcPr>
          <w:p w14:paraId="74471301" w14:textId="77777777" w:rsidR="00801C7B" w:rsidRDefault="00801C7B" w:rsidP="00801C7B">
            <w:pPr>
              <w:pStyle w:val="TableHeading"/>
              <w:cnfStyle w:val="100000000000" w:firstRow="1" w:lastRow="0" w:firstColumn="0" w:lastColumn="0" w:oddVBand="0" w:evenVBand="0" w:oddHBand="0" w:evenHBand="0" w:firstRowFirstColumn="0" w:firstRowLastColumn="0" w:lastRowFirstColumn="0" w:lastRowLastColumn="0"/>
            </w:pPr>
            <w:r>
              <w:t>Table Heading</w:t>
            </w:r>
          </w:p>
        </w:tc>
        <w:tc>
          <w:tcPr>
            <w:tcW w:w="2338" w:type="dxa"/>
          </w:tcPr>
          <w:p w14:paraId="65B100E7" w14:textId="77777777" w:rsidR="00801C7B" w:rsidRDefault="00801C7B" w:rsidP="00801C7B">
            <w:pPr>
              <w:pStyle w:val="TableHeading"/>
              <w:cnfStyle w:val="100000000000" w:firstRow="1" w:lastRow="0" w:firstColumn="0" w:lastColumn="0" w:oddVBand="0" w:evenVBand="0" w:oddHBand="0" w:evenHBand="0" w:firstRowFirstColumn="0" w:firstRowLastColumn="0" w:lastRowFirstColumn="0" w:lastRowLastColumn="0"/>
            </w:pPr>
            <w:r>
              <w:t>Table Heading</w:t>
            </w:r>
          </w:p>
        </w:tc>
      </w:tr>
      <w:tr w:rsidR="00801C7B" w14:paraId="5D91D71D" w14:textId="77777777" w:rsidTr="00C76534">
        <w:tc>
          <w:tcPr>
            <w:cnfStyle w:val="001000000000" w:firstRow="0" w:lastRow="0" w:firstColumn="1" w:lastColumn="0" w:oddVBand="0" w:evenVBand="0" w:oddHBand="0" w:evenHBand="0" w:firstRowFirstColumn="0" w:firstRowLastColumn="0" w:lastRowFirstColumn="0" w:lastRowLastColumn="0"/>
            <w:tcW w:w="2337" w:type="dxa"/>
          </w:tcPr>
          <w:p w14:paraId="0C9518F2" w14:textId="77777777" w:rsidR="00801C7B" w:rsidRDefault="001B6775" w:rsidP="00801C7B">
            <w:pPr>
              <w:pStyle w:val="TableRowHeading"/>
            </w:pPr>
            <w:r>
              <w:t>Table Row Heading</w:t>
            </w:r>
          </w:p>
        </w:tc>
        <w:tc>
          <w:tcPr>
            <w:tcW w:w="2337" w:type="dxa"/>
          </w:tcPr>
          <w:p w14:paraId="4EEAA8F2" w14:textId="77777777" w:rsidR="00801C7B" w:rsidRDefault="001B6775" w:rsidP="00801C7B">
            <w:pPr>
              <w:pStyle w:val="TableBody"/>
              <w:cnfStyle w:val="000000000000" w:firstRow="0" w:lastRow="0" w:firstColumn="0" w:lastColumn="0" w:oddVBand="0" w:evenVBand="0" w:oddHBand="0" w:evenHBand="0" w:firstRowFirstColumn="0" w:firstRowLastColumn="0" w:lastRowFirstColumn="0" w:lastRowLastColumn="0"/>
            </w:pPr>
            <w:r>
              <w:t>Table body</w:t>
            </w:r>
          </w:p>
        </w:tc>
        <w:tc>
          <w:tcPr>
            <w:tcW w:w="2338" w:type="dxa"/>
          </w:tcPr>
          <w:p w14:paraId="1B602C20" w14:textId="77777777" w:rsidR="00801C7B" w:rsidRDefault="001B6775" w:rsidP="001B6775">
            <w:pPr>
              <w:pStyle w:val="TableColumnHeading"/>
              <w:cnfStyle w:val="000000000000" w:firstRow="0" w:lastRow="0" w:firstColumn="0" w:lastColumn="0" w:oddVBand="0" w:evenVBand="0" w:oddHBand="0" w:evenHBand="0" w:firstRowFirstColumn="0" w:firstRowLastColumn="0" w:lastRowFirstColumn="0" w:lastRowLastColumn="0"/>
            </w:pPr>
            <w:r>
              <w:t>Table Column Heading</w:t>
            </w:r>
          </w:p>
        </w:tc>
        <w:tc>
          <w:tcPr>
            <w:tcW w:w="2338" w:type="dxa"/>
          </w:tcPr>
          <w:p w14:paraId="538983CB" w14:textId="77777777" w:rsidR="00801C7B" w:rsidRDefault="001B6775" w:rsidP="001B6775">
            <w:pPr>
              <w:pStyle w:val="TableCheckmark"/>
              <w:cnfStyle w:val="000000000000" w:firstRow="0" w:lastRow="0" w:firstColumn="0" w:lastColumn="0" w:oddVBand="0" w:evenVBand="0" w:oddHBand="0" w:evenHBand="0" w:firstRowFirstColumn="0" w:firstRowLastColumn="0" w:lastRowFirstColumn="0" w:lastRowLastColumn="0"/>
            </w:pPr>
            <w:r>
              <w:t>Table Checkmark</w:t>
            </w:r>
          </w:p>
        </w:tc>
      </w:tr>
      <w:tr w:rsidR="00801C7B" w14:paraId="7A2E3FB3" w14:textId="77777777" w:rsidTr="00C76534">
        <w:tc>
          <w:tcPr>
            <w:cnfStyle w:val="001000000000" w:firstRow="0" w:lastRow="0" w:firstColumn="1" w:lastColumn="0" w:oddVBand="0" w:evenVBand="0" w:oddHBand="0" w:evenHBand="0" w:firstRowFirstColumn="0" w:firstRowLastColumn="0" w:lastRowFirstColumn="0" w:lastRowLastColumn="0"/>
            <w:tcW w:w="2337" w:type="dxa"/>
          </w:tcPr>
          <w:p w14:paraId="3EF6619B" w14:textId="77777777" w:rsidR="00801C7B" w:rsidRDefault="00801C7B" w:rsidP="00801C7B">
            <w:pPr>
              <w:pStyle w:val="TableRowHeading"/>
            </w:pPr>
          </w:p>
        </w:tc>
        <w:tc>
          <w:tcPr>
            <w:tcW w:w="2337" w:type="dxa"/>
          </w:tcPr>
          <w:p w14:paraId="0D0B4AA2" w14:textId="77777777" w:rsidR="00801C7B" w:rsidRDefault="001B6775" w:rsidP="001B6775">
            <w:pPr>
              <w:pStyle w:val="TableBullet1"/>
              <w:cnfStyle w:val="000000000000" w:firstRow="0" w:lastRow="0" w:firstColumn="0" w:lastColumn="0" w:oddVBand="0" w:evenVBand="0" w:oddHBand="0" w:evenHBand="0" w:firstRowFirstColumn="0" w:firstRowLastColumn="0" w:lastRowFirstColumn="0" w:lastRowLastColumn="0"/>
            </w:pPr>
            <w:r>
              <w:t>Table Bullet 1</w:t>
            </w:r>
          </w:p>
        </w:tc>
        <w:tc>
          <w:tcPr>
            <w:tcW w:w="2338" w:type="dxa"/>
          </w:tcPr>
          <w:p w14:paraId="053ADBBB" w14:textId="77777777" w:rsidR="00801C7B" w:rsidRDefault="001B6775" w:rsidP="001B6775">
            <w:pPr>
              <w:pStyle w:val="TableBodyCentered"/>
              <w:cnfStyle w:val="000000000000" w:firstRow="0" w:lastRow="0" w:firstColumn="0" w:lastColumn="0" w:oddVBand="0" w:evenVBand="0" w:oddHBand="0" w:evenHBand="0" w:firstRowFirstColumn="0" w:firstRowLastColumn="0" w:lastRowFirstColumn="0" w:lastRowLastColumn="0"/>
            </w:pPr>
            <w:r>
              <w:t>Table Body Centered</w:t>
            </w:r>
          </w:p>
        </w:tc>
        <w:tc>
          <w:tcPr>
            <w:tcW w:w="2338" w:type="dxa"/>
          </w:tcPr>
          <w:p w14:paraId="3E0C5539" w14:textId="77777777" w:rsidR="00801C7B" w:rsidRDefault="00801C7B" w:rsidP="00801C7B">
            <w:pPr>
              <w:pStyle w:val="TableBody"/>
              <w:cnfStyle w:val="000000000000" w:firstRow="0" w:lastRow="0" w:firstColumn="0" w:lastColumn="0" w:oddVBand="0" w:evenVBand="0" w:oddHBand="0" w:evenHBand="0" w:firstRowFirstColumn="0" w:firstRowLastColumn="0" w:lastRowFirstColumn="0" w:lastRowLastColumn="0"/>
            </w:pPr>
          </w:p>
        </w:tc>
      </w:tr>
      <w:tr w:rsidR="00801C7B" w14:paraId="374A84A7" w14:textId="77777777" w:rsidTr="00C76534">
        <w:tc>
          <w:tcPr>
            <w:cnfStyle w:val="001000000000" w:firstRow="0" w:lastRow="0" w:firstColumn="1" w:lastColumn="0" w:oddVBand="0" w:evenVBand="0" w:oddHBand="0" w:evenHBand="0" w:firstRowFirstColumn="0" w:firstRowLastColumn="0" w:lastRowFirstColumn="0" w:lastRowLastColumn="0"/>
            <w:tcW w:w="2337" w:type="dxa"/>
          </w:tcPr>
          <w:p w14:paraId="5B4EA79E" w14:textId="77777777" w:rsidR="00801C7B" w:rsidRDefault="00801C7B" w:rsidP="00801C7B">
            <w:pPr>
              <w:pStyle w:val="TableRowHeading"/>
            </w:pPr>
          </w:p>
        </w:tc>
        <w:tc>
          <w:tcPr>
            <w:tcW w:w="2337" w:type="dxa"/>
          </w:tcPr>
          <w:p w14:paraId="73814052" w14:textId="77777777" w:rsidR="00801C7B" w:rsidRDefault="001B6775" w:rsidP="001B6775">
            <w:pPr>
              <w:pStyle w:val="TableBullet2"/>
              <w:cnfStyle w:val="000000000000" w:firstRow="0" w:lastRow="0" w:firstColumn="0" w:lastColumn="0" w:oddVBand="0" w:evenVBand="0" w:oddHBand="0" w:evenHBand="0" w:firstRowFirstColumn="0" w:firstRowLastColumn="0" w:lastRowFirstColumn="0" w:lastRowLastColumn="0"/>
            </w:pPr>
            <w:r>
              <w:t>Table Bullet 2</w:t>
            </w:r>
          </w:p>
        </w:tc>
        <w:tc>
          <w:tcPr>
            <w:tcW w:w="2338" w:type="dxa"/>
          </w:tcPr>
          <w:p w14:paraId="408D8785" w14:textId="77777777" w:rsidR="00801C7B" w:rsidRDefault="00801C7B" w:rsidP="00801C7B">
            <w:pPr>
              <w:pStyle w:val="TableBody"/>
              <w:cnfStyle w:val="000000000000" w:firstRow="0" w:lastRow="0" w:firstColumn="0" w:lastColumn="0" w:oddVBand="0" w:evenVBand="0" w:oddHBand="0" w:evenHBand="0" w:firstRowFirstColumn="0" w:firstRowLastColumn="0" w:lastRowFirstColumn="0" w:lastRowLastColumn="0"/>
            </w:pPr>
          </w:p>
        </w:tc>
        <w:tc>
          <w:tcPr>
            <w:tcW w:w="2338" w:type="dxa"/>
          </w:tcPr>
          <w:p w14:paraId="1094CB5E" w14:textId="77777777" w:rsidR="00801C7B" w:rsidRDefault="00801C7B" w:rsidP="00801C7B">
            <w:pPr>
              <w:pStyle w:val="TableBody"/>
              <w:cnfStyle w:val="000000000000" w:firstRow="0" w:lastRow="0" w:firstColumn="0" w:lastColumn="0" w:oddVBand="0" w:evenVBand="0" w:oddHBand="0" w:evenHBand="0" w:firstRowFirstColumn="0" w:firstRowLastColumn="0" w:lastRowFirstColumn="0" w:lastRowLastColumn="0"/>
            </w:pPr>
          </w:p>
        </w:tc>
      </w:tr>
      <w:tr w:rsidR="00801C7B" w14:paraId="49462297" w14:textId="77777777" w:rsidTr="00C76534">
        <w:tc>
          <w:tcPr>
            <w:cnfStyle w:val="001000000000" w:firstRow="0" w:lastRow="0" w:firstColumn="1" w:lastColumn="0" w:oddVBand="0" w:evenVBand="0" w:oddHBand="0" w:evenHBand="0" w:firstRowFirstColumn="0" w:firstRowLastColumn="0" w:lastRowFirstColumn="0" w:lastRowLastColumn="0"/>
            <w:tcW w:w="2337" w:type="dxa"/>
          </w:tcPr>
          <w:p w14:paraId="40CFDAA7" w14:textId="77777777" w:rsidR="00801C7B" w:rsidRDefault="00801C7B" w:rsidP="00801C7B">
            <w:pPr>
              <w:pStyle w:val="TableRowHeading"/>
            </w:pPr>
          </w:p>
        </w:tc>
        <w:tc>
          <w:tcPr>
            <w:tcW w:w="2337" w:type="dxa"/>
          </w:tcPr>
          <w:p w14:paraId="0104064C" w14:textId="77777777" w:rsidR="00801C7B" w:rsidRDefault="001B6775" w:rsidP="001B6775">
            <w:pPr>
              <w:pStyle w:val="TableBullet3"/>
              <w:cnfStyle w:val="000000000000" w:firstRow="0" w:lastRow="0" w:firstColumn="0" w:lastColumn="0" w:oddVBand="0" w:evenVBand="0" w:oddHBand="0" w:evenHBand="0" w:firstRowFirstColumn="0" w:firstRowLastColumn="0" w:lastRowFirstColumn="0" w:lastRowLastColumn="0"/>
            </w:pPr>
            <w:r>
              <w:t>Table Bullet 3</w:t>
            </w:r>
          </w:p>
        </w:tc>
        <w:tc>
          <w:tcPr>
            <w:tcW w:w="2338" w:type="dxa"/>
          </w:tcPr>
          <w:p w14:paraId="12724BFB" w14:textId="77777777" w:rsidR="00801C7B" w:rsidRDefault="00801C7B" w:rsidP="00801C7B">
            <w:pPr>
              <w:pStyle w:val="TableBody"/>
              <w:cnfStyle w:val="000000000000" w:firstRow="0" w:lastRow="0" w:firstColumn="0" w:lastColumn="0" w:oddVBand="0" w:evenVBand="0" w:oddHBand="0" w:evenHBand="0" w:firstRowFirstColumn="0" w:firstRowLastColumn="0" w:lastRowFirstColumn="0" w:lastRowLastColumn="0"/>
            </w:pPr>
          </w:p>
        </w:tc>
        <w:tc>
          <w:tcPr>
            <w:tcW w:w="2338" w:type="dxa"/>
          </w:tcPr>
          <w:p w14:paraId="45D9A2C4" w14:textId="77777777" w:rsidR="00801C7B" w:rsidRDefault="00801C7B" w:rsidP="00801C7B">
            <w:pPr>
              <w:pStyle w:val="TableBody"/>
              <w:cnfStyle w:val="000000000000" w:firstRow="0" w:lastRow="0" w:firstColumn="0" w:lastColumn="0" w:oddVBand="0" w:evenVBand="0" w:oddHBand="0" w:evenHBand="0" w:firstRowFirstColumn="0" w:firstRowLastColumn="0" w:lastRowFirstColumn="0" w:lastRowLastColumn="0"/>
            </w:pPr>
          </w:p>
        </w:tc>
      </w:tr>
    </w:tbl>
    <w:p w14:paraId="22A9D3DF" w14:textId="77777777" w:rsidR="00115250" w:rsidRDefault="00115250">
      <w:pPr>
        <w:spacing w:line="24" w:lineRule="auto"/>
      </w:pPr>
      <w:r>
        <w:br w:type="page"/>
      </w:r>
    </w:p>
    <w:p w14:paraId="6831E3C2" w14:textId="77777777" w:rsidR="00115250" w:rsidRPr="00296F28" w:rsidRDefault="00781919" w:rsidP="005A6B0A">
      <w:pPr>
        <w:pStyle w:val="ResumeNameEntity"/>
        <w:rPr>
          <w:b/>
          <w:iCs/>
        </w:rPr>
      </w:pPr>
      <w:r>
        <w:rPr>
          <w:rStyle w:val="ResumeName14pts"/>
          <w:i w:val="0"/>
          <w:iCs w:val="0"/>
        </w:rPr>
        <w:lastRenderedPageBreak/>
        <w:t>Name</w:t>
      </w:r>
      <w:r w:rsidR="00296F28">
        <w:rPr>
          <w:rStyle w:val="ResumeName14pts"/>
        </w:rPr>
        <w:tab/>
      </w:r>
      <w:r w:rsidR="00115250" w:rsidRPr="003461D9">
        <w:t>Legal Entity, Title</w:t>
      </w:r>
    </w:p>
    <w:p w14:paraId="5CFB69D5" w14:textId="77777777" w:rsidR="00115250" w:rsidRPr="0070652A" w:rsidRDefault="00115250" w:rsidP="0070652A">
      <w:pPr>
        <w:pStyle w:val="ResumeProposedRole"/>
      </w:pPr>
      <w:r w:rsidRPr="0070652A">
        <w:t>Proposed Project Role: Title</w:t>
      </w:r>
    </w:p>
    <w:p w14:paraId="17E550F6" w14:textId="77777777" w:rsidR="00115250" w:rsidRPr="004B4151" w:rsidRDefault="00115250" w:rsidP="0070652A">
      <w:pPr>
        <w:pStyle w:val="ResumeHeading"/>
      </w:pPr>
      <w:r w:rsidRPr="004B4151">
        <w:t>Experience Summary</w:t>
      </w:r>
    </w:p>
    <w:tbl>
      <w:tblPr>
        <w:tblStyle w:val="TableGrid"/>
        <w:tblpPr w:leftFromText="288" w:rightFromText="288" w:vertAnchor="text" w:horzAnchor="margin" w:tblpXSpec="right" w:tblpY="-10"/>
        <w:tblOverlap w:val="never"/>
        <w:tblW w:w="0" w:type="auto"/>
        <w:tblLook w:val="04A0" w:firstRow="1" w:lastRow="0" w:firstColumn="1" w:lastColumn="0" w:noHBand="0" w:noVBand="1"/>
      </w:tblPr>
      <w:tblGrid>
        <w:gridCol w:w="3235"/>
      </w:tblGrid>
      <w:tr w:rsidR="00AA7DD1" w:rsidRPr="00183B3A" w14:paraId="19CF2BEF" w14:textId="77777777">
        <w:trPr>
          <w:trHeight w:val="360"/>
        </w:trPr>
        <w:tc>
          <w:tcPr>
            <w:tcW w:w="3235" w:type="dxa"/>
            <w:tcBorders>
              <w:top w:val="nil"/>
              <w:left w:val="nil"/>
              <w:bottom w:val="nil"/>
              <w:right w:val="nil"/>
            </w:tcBorders>
            <w:shd w:val="clear" w:color="auto" w:fill="005587"/>
            <w:vAlign w:val="center"/>
          </w:tcPr>
          <w:p w14:paraId="535FB5D2" w14:textId="77777777" w:rsidR="00AA7DD1" w:rsidRPr="00183B3A" w:rsidRDefault="00AA7DD1">
            <w:pPr>
              <w:pStyle w:val="CalloutTitle"/>
            </w:pPr>
            <w:r>
              <w:t xml:space="preserve">CALLOUT 2 BOX </w:t>
            </w:r>
            <w:r w:rsidRPr="00183B3A">
              <w:t>TITLE TEXT</w:t>
            </w:r>
          </w:p>
        </w:tc>
      </w:tr>
      <w:tr w:rsidR="00AA7DD1" w:rsidRPr="00183B3A" w14:paraId="7A33D897" w14:textId="77777777">
        <w:trPr>
          <w:trHeight w:val="1620"/>
        </w:trPr>
        <w:tc>
          <w:tcPr>
            <w:tcW w:w="3235" w:type="dxa"/>
            <w:tcBorders>
              <w:top w:val="nil"/>
              <w:left w:val="nil"/>
              <w:bottom w:val="single" w:sz="18" w:space="0" w:color="005587"/>
              <w:right w:val="nil"/>
            </w:tcBorders>
            <w:vAlign w:val="center"/>
          </w:tcPr>
          <w:p w14:paraId="3BD51FDB" w14:textId="77777777" w:rsidR="008818FD" w:rsidRPr="008818FD" w:rsidRDefault="00AA7DD1" w:rsidP="008818FD">
            <w:pPr>
              <w:pStyle w:val="Callout2Body"/>
              <w:framePr w:hSpace="0" w:wrap="auto" w:vAnchor="margin" w:hAnchor="text" w:xAlign="left" w:yAlign="inline"/>
              <w:suppressOverlap w:val="0"/>
              <w:rPr>
                <w:i/>
              </w:rPr>
            </w:pPr>
            <w:r w:rsidRPr="00080556">
              <w:rPr>
                <w:rStyle w:val="CharacterItalics"/>
              </w:rPr>
              <w:t xml:space="preserve">Lorem ipsum dolor </w:t>
            </w:r>
            <w:proofErr w:type="gramStart"/>
            <w:r w:rsidRPr="00080556">
              <w:rPr>
                <w:rStyle w:val="CharacterItalics"/>
              </w:rPr>
              <w:t>sit</w:t>
            </w:r>
            <w:proofErr w:type="gramEnd"/>
            <w:r w:rsidRPr="00080556">
              <w:rPr>
                <w:rStyle w:val="CharacterItalics"/>
              </w:rPr>
              <w:t xml:space="preserve"> </w:t>
            </w:r>
            <w:proofErr w:type="spellStart"/>
            <w:r w:rsidRPr="00080556">
              <w:rPr>
                <w:rStyle w:val="CharacterItalics"/>
              </w:rPr>
              <w:t>amet</w:t>
            </w:r>
            <w:proofErr w:type="spellEnd"/>
            <w:r w:rsidRPr="00080556">
              <w:rPr>
                <w:rStyle w:val="CharacterItalics"/>
              </w:rPr>
              <w:t xml:space="preserve">, </w:t>
            </w:r>
            <w:proofErr w:type="spellStart"/>
            <w:r w:rsidRPr="00080556">
              <w:rPr>
                <w:rStyle w:val="CharacterItalics"/>
              </w:rPr>
              <w:t>consectetuer</w:t>
            </w:r>
            <w:proofErr w:type="spellEnd"/>
            <w:r w:rsidRPr="00080556">
              <w:rPr>
                <w:rStyle w:val="CharacterItalics"/>
              </w:rPr>
              <w:t xml:space="preserve"> </w:t>
            </w:r>
            <w:proofErr w:type="spellStart"/>
            <w:r w:rsidRPr="00080556">
              <w:rPr>
                <w:rStyle w:val="CharacterItalics"/>
              </w:rPr>
              <w:t>adipiscing</w:t>
            </w:r>
            <w:proofErr w:type="spellEnd"/>
            <w:r w:rsidRPr="00080556">
              <w:rPr>
                <w:rStyle w:val="CharacterItalics"/>
              </w:rPr>
              <w:t xml:space="preserve"> </w:t>
            </w:r>
            <w:proofErr w:type="spellStart"/>
            <w:r w:rsidRPr="00080556">
              <w:rPr>
                <w:rStyle w:val="CharacterItalics"/>
              </w:rPr>
              <w:t>elit</w:t>
            </w:r>
            <w:proofErr w:type="spellEnd"/>
            <w:r w:rsidRPr="00080556">
              <w:rPr>
                <w:rStyle w:val="CharacterItalics"/>
              </w:rPr>
              <w:t xml:space="preserve">. Maecenas </w:t>
            </w:r>
            <w:proofErr w:type="spellStart"/>
            <w:r w:rsidRPr="00080556">
              <w:rPr>
                <w:rStyle w:val="CharacterItalics"/>
              </w:rPr>
              <w:t>porttitor</w:t>
            </w:r>
            <w:proofErr w:type="spellEnd"/>
            <w:r w:rsidRPr="00080556">
              <w:rPr>
                <w:rStyle w:val="CharacterItalics"/>
              </w:rPr>
              <w:t xml:space="preserve"> </w:t>
            </w:r>
            <w:proofErr w:type="spellStart"/>
            <w:r w:rsidRPr="00080556">
              <w:rPr>
                <w:rStyle w:val="CharacterItalics"/>
              </w:rPr>
              <w:t>congue</w:t>
            </w:r>
            <w:proofErr w:type="spellEnd"/>
            <w:r w:rsidRPr="00080556">
              <w:rPr>
                <w:rStyle w:val="CharacterItalics"/>
              </w:rPr>
              <w:t xml:space="preserve"> </w:t>
            </w:r>
            <w:proofErr w:type="spellStart"/>
            <w:r w:rsidRPr="00080556">
              <w:rPr>
                <w:rStyle w:val="CharacterItalics"/>
              </w:rPr>
              <w:t>massa</w:t>
            </w:r>
            <w:proofErr w:type="spellEnd"/>
            <w:r w:rsidRPr="00080556">
              <w:rPr>
                <w:rStyle w:val="CharacterItalics"/>
              </w:rPr>
              <w:t xml:space="preserve">. </w:t>
            </w:r>
            <w:proofErr w:type="spellStart"/>
            <w:r w:rsidRPr="00080556">
              <w:rPr>
                <w:rStyle w:val="CharacterItalics"/>
              </w:rPr>
              <w:t>Fusce</w:t>
            </w:r>
            <w:proofErr w:type="spellEnd"/>
            <w:r w:rsidRPr="00080556">
              <w:rPr>
                <w:rStyle w:val="CharacterItalics"/>
              </w:rPr>
              <w:t xml:space="preserve"> </w:t>
            </w:r>
            <w:proofErr w:type="spellStart"/>
            <w:r w:rsidRPr="00080556">
              <w:rPr>
                <w:rStyle w:val="CharacterItalics"/>
              </w:rPr>
              <w:t>posuere</w:t>
            </w:r>
            <w:proofErr w:type="spellEnd"/>
            <w:r w:rsidRPr="00080556">
              <w:rPr>
                <w:rStyle w:val="CharacterItalics"/>
              </w:rPr>
              <w:t xml:space="preserve">, magna sed pulvinar </w:t>
            </w:r>
            <w:proofErr w:type="spellStart"/>
            <w:r w:rsidRPr="00080556">
              <w:rPr>
                <w:rStyle w:val="CharacterItalics"/>
              </w:rPr>
              <w:t>ultricies</w:t>
            </w:r>
            <w:proofErr w:type="spellEnd"/>
            <w:r w:rsidRPr="00080556">
              <w:rPr>
                <w:rStyle w:val="CharacterItalics"/>
              </w:rPr>
              <w:t xml:space="preserve">, </w:t>
            </w:r>
            <w:proofErr w:type="spellStart"/>
            <w:r w:rsidRPr="00080556">
              <w:rPr>
                <w:rStyle w:val="CharacterItalics"/>
              </w:rPr>
              <w:t>purus</w:t>
            </w:r>
            <w:proofErr w:type="spellEnd"/>
            <w:r w:rsidRPr="00080556">
              <w:rPr>
                <w:rStyle w:val="CharacterItalics"/>
              </w:rPr>
              <w:t xml:space="preserve"> </w:t>
            </w:r>
            <w:proofErr w:type="spellStart"/>
            <w:r w:rsidRPr="00080556">
              <w:rPr>
                <w:rStyle w:val="CharacterItalics"/>
              </w:rPr>
              <w:t>lectus</w:t>
            </w:r>
            <w:proofErr w:type="spellEnd"/>
            <w:r w:rsidRPr="00080556">
              <w:rPr>
                <w:rStyle w:val="CharacterItalics"/>
              </w:rPr>
              <w:t xml:space="preserve"> </w:t>
            </w:r>
            <w:proofErr w:type="spellStart"/>
            <w:r w:rsidRPr="00080556">
              <w:rPr>
                <w:rStyle w:val="CharacterItalics"/>
              </w:rPr>
              <w:t>malesuada</w:t>
            </w:r>
            <w:proofErr w:type="spellEnd"/>
            <w:r w:rsidRPr="00080556">
              <w:rPr>
                <w:rStyle w:val="CharacterItalics"/>
              </w:rPr>
              <w:t xml:space="preserve"> libero, sit </w:t>
            </w:r>
            <w:proofErr w:type="spellStart"/>
            <w:r w:rsidRPr="00080556">
              <w:rPr>
                <w:rStyle w:val="CharacterItalics"/>
              </w:rPr>
              <w:t>amet</w:t>
            </w:r>
            <w:proofErr w:type="spellEnd"/>
            <w:r w:rsidRPr="00080556">
              <w:rPr>
                <w:rStyle w:val="CharacterItalics"/>
              </w:rPr>
              <w:t xml:space="preserve"> </w:t>
            </w:r>
            <w:proofErr w:type="spellStart"/>
            <w:r w:rsidRPr="00080556">
              <w:rPr>
                <w:rStyle w:val="CharacterItalics"/>
              </w:rPr>
              <w:t>commodo</w:t>
            </w:r>
            <w:proofErr w:type="spellEnd"/>
            <w:r w:rsidRPr="00080556">
              <w:rPr>
                <w:rStyle w:val="CharacterItalics"/>
              </w:rPr>
              <w:t xml:space="preserve"> magna eros </w:t>
            </w:r>
            <w:proofErr w:type="spellStart"/>
            <w:r w:rsidRPr="00080556">
              <w:rPr>
                <w:rStyle w:val="CharacterItalics"/>
              </w:rPr>
              <w:t>quis</w:t>
            </w:r>
            <w:proofErr w:type="spellEnd"/>
            <w:r w:rsidRPr="00080556">
              <w:rPr>
                <w:rStyle w:val="CharacterItalics"/>
              </w:rPr>
              <w:t xml:space="preserve"> </w:t>
            </w:r>
            <w:proofErr w:type="spellStart"/>
            <w:r w:rsidRPr="00080556">
              <w:rPr>
                <w:rStyle w:val="CharacterItalics"/>
              </w:rPr>
              <w:t>urna</w:t>
            </w:r>
            <w:proofErr w:type="spellEnd"/>
            <w:r w:rsidRPr="00080556">
              <w:rPr>
                <w:rStyle w:val="CharacterItalics"/>
              </w:rPr>
              <w:t>.</w:t>
            </w:r>
          </w:p>
        </w:tc>
      </w:tr>
    </w:tbl>
    <w:p w14:paraId="3209165D" w14:textId="77777777" w:rsidR="00115250" w:rsidRDefault="00115250" w:rsidP="00114E6D">
      <w:pPr>
        <w:pStyle w:val="BodyText"/>
      </w:pPr>
      <w:r w:rsidRPr="004B4151">
        <w:t>Give a synopsis of candidate's experience with focus on relevant tasks, duties, work, accomplishments. Spell out numbers zero to nine; use numerical values for 10 and higher, unless the number represents a dollar amount (i.e., $1 Million). Also, please refer to the candidate as Title plus Last Name, for example: Ms. Smith has over 15 years of experience in financial management.</w:t>
      </w:r>
    </w:p>
    <w:p w14:paraId="21ABAADB" w14:textId="77777777" w:rsidR="00115250" w:rsidRPr="004B4151" w:rsidRDefault="00115250" w:rsidP="00114E6D">
      <w:pPr>
        <w:pStyle w:val="BodyText"/>
      </w:pPr>
      <w:r w:rsidRPr="004B4151">
        <w:t xml:space="preserve">Example: Mr. Smith has more than 12 years of extensive IT experience, specializing in complex programs. He has experience with data governance, data management, meta-data management, data warehousing, data cleansing and enterprise reporting. Mr. Smith has worked in many industries and environments, including </w:t>
      </w:r>
      <w:proofErr w:type="gramStart"/>
      <w:r w:rsidRPr="004B4151">
        <w:t>past experience</w:t>
      </w:r>
      <w:proofErr w:type="gramEnd"/>
      <w:r w:rsidRPr="004B4151">
        <w:t xml:space="preserve"> working with DHS. He has a demonstrated track record of program management as well as bringing projects to closure in challenging environments.</w:t>
      </w:r>
    </w:p>
    <w:p w14:paraId="51C64875" w14:textId="77777777" w:rsidR="00115250" w:rsidRPr="004B4151" w:rsidRDefault="00115250" w:rsidP="00114E6D">
      <w:pPr>
        <w:pStyle w:val="ResumeHeading"/>
      </w:pPr>
      <w:r w:rsidRPr="004B4151">
        <w:t>Recent Experience</w:t>
      </w:r>
    </w:p>
    <w:p w14:paraId="3ED6937C" w14:textId="77777777" w:rsidR="00115250" w:rsidRPr="0037159E" w:rsidRDefault="00115250" w:rsidP="0037159E">
      <w:pPr>
        <w:pStyle w:val="ResumeJobTitle"/>
      </w:pPr>
      <w:r>
        <w:t xml:space="preserve">Resume </w:t>
      </w:r>
      <w:r w:rsidRPr="0037159E">
        <w:t>Job Title</w:t>
      </w:r>
      <w:r w:rsidRPr="0037159E">
        <w:tab/>
        <w:t>Dates</w:t>
      </w:r>
    </w:p>
    <w:p w14:paraId="6558E80E" w14:textId="77777777" w:rsidR="00115250" w:rsidRPr="004B4151" w:rsidRDefault="00115250" w:rsidP="00114E6D">
      <w:pPr>
        <w:pStyle w:val="ResumeHeading"/>
      </w:pPr>
      <w:r w:rsidRPr="004B4151">
        <w:t>Employment History</w:t>
      </w:r>
    </w:p>
    <w:p w14:paraId="1ECB4B90" w14:textId="77777777" w:rsidR="00115250" w:rsidRPr="004B4151" w:rsidRDefault="00115250" w:rsidP="00115250">
      <w:pPr>
        <w:pStyle w:val="Bulletlevel1"/>
        <w:tabs>
          <w:tab w:val="clear" w:pos="360"/>
        </w:tabs>
      </w:pPr>
      <w:r w:rsidRPr="004B4151">
        <w:t>Company, Title, (From – To)</w:t>
      </w:r>
    </w:p>
    <w:p w14:paraId="46C99DAF" w14:textId="77777777" w:rsidR="00115250" w:rsidRPr="004B4151" w:rsidRDefault="00115250" w:rsidP="00114E6D">
      <w:pPr>
        <w:pStyle w:val="ResumeHeading"/>
      </w:pPr>
      <w:r w:rsidRPr="004B4151">
        <w:t>Education</w:t>
      </w:r>
    </w:p>
    <w:p w14:paraId="3FB31752" w14:textId="77777777" w:rsidR="00115250" w:rsidRPr="004B4151" w:rsidRDefault="00115250" w:rsidP="00781919">
      <w:pPr>
        <w:pStyle w:val="Bulletlevel1"/>
        <w:tabs>
          <w:tab w:val="clear" w:pos="360"/>
        </w:tabs>
      </w:pPr>
      <w:r w:rsidRPr="004B4151">
        <w:t>Degree, Field, School</w:t>
      </w:r>
    </w:p>
    <w:p w14:paraId="549268F9" w14:textId="77777777" w:rsidR="00115250" w:rsidRDefault="00115250" w:rsidP="007667EF">
      <w:pPr>
        <w:pStyle w:val="BodyText"/>
      </w:pPr>
    </w:p>
    <w:p w14:paraId="0FD1FD8A" w14:textId="77777777" w:rsidR="00115250" w:rsidRDefault="00115250">
      <w:pPr>
        <w:spacing w:line="24" w:lineRule="auto"/>
      </w:pPr>
      <w:r>
        <w:br w:type="page"/>
      </w:r>
    </w:p>
    <w:p w14:paraId="05F84BE3" w14:textId="77777777" w:rsidR="00115250" w:rsidRDefault="00115250" w:rsidP="00AD5D23">
      <w:pPr>
        <w:pStyle w:val="Subheading1"/>
      </w:pPr>
      <w:r>
        <w:lastRenderedPageBreak/>
        <w:t>Past Performance1-Paragraph</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29" w:type="dxa"/>
          <w:left w:w="58" w:type="dxa"/>
          <w:bottom w:w="43" w:type="dxa"/>
          <w:right w:w="58" w:type="dxa"/>
        </w:tblCellMar>
        <w:tblLook w:val="06A0" w:firstRow="1" w:lastRow="0" w:firstColumn="1" w:lastColumn="0" w:noHBand="1" w:noVBand="1"/>
      </w:tblPr>
      <w:tblGrid>
        <w:gridCol w:w="894"/>
        <w:gridCol w:w="1617"/>
        <w:gridCol w:w="987"/>
        <w:gridCol w:w="809"/>
        <w:gridCol w:w="2426"/>
        <w:gridCol w:w="2599"/>
      </w:tblGrid>
      <w:tr w:rsidR="00C979EB" w:rsidRPr="00AA5125" w14:paraId="5BD608D6" w14:textId="77777777" w:rsidTr="008B0A6B">
        <w:tc>
          <w:tcPr>
            <w:tcW w:w="894" w:type="dxa"/>
            <w:tcBorders>
              <w:top w:val="nil"/>
              <w:left w:val="single" w:sz="18" w:space="0" w:color="005587"/>
              <w:bottom w:val="nil"/>
              <w:right w:val="nil"/>
            </w:tcBorders>
            <w:shd w:val="clear" w:color="auto" w:fill="595959" w:themeFill="text1" w:themeFillTint="A6"/>
            <w:vAlign w:val="center"/>
          </w:tcPr>
          <w:p w14:paraId="2183F226" w14:textId="77777777" w:rsidR="00C979EB" w:rsidRPr="00AA5125" w:rsidRDefault="00C979EB" w:rsidP="00C979EB">
            <w:pPr>
              <w:pStyle w:val="PastPerfTableHeadingCenter"/>
            </w:pPr>
            <w:r w:rsidRPr="00AA5125">
              <w:t>Offeror</w:t>
            </w:r>
          </w:p>
        </w:tc>
        <w:tc>
          <w:tcPr>
            <w:tcW w:w="2611" w:type="dxa"/>
            <w:gridSpan w:val="2"/>
            <w:tcBorders>
              <w:left w:val="nil"/>
            </w:tcBorders>
            <w:vAlign w:val="center"/>
          </w:tcPr>
          <w:p w14:paraId="5DED557F" w14:textId="77777777" w:rsidR="00C979EB" w:rsidRPr="00AA5125" w:rsidRDefault="00C979EB" w:rsidP="00FB2F7F">
            <w:pPr>
              <w:pStyle w:val="PastPerfTableBody"/>
            </w:pPr>
            <w:r w:rsidRPr="00AA5125">
              <w:t>Deloitte</w:t>
            </w:r>
          </w:p>
        </w:tc>
        <w:tc>
          <w:tcPr>
            <w:tcW w:w="810" w:type="dxa"/>
            <w:shd w:val="clear" w:color="auto" w:fill="595959" w:themeFill="text1" w:themeFillTint="A6"/>
            <w:vAlign w:val="center"/>
          </w:tcPr>
          <w:p w14:paraId="74F5E417" w14:textId="77777777" w:rsidR="00C979EB" w:rsidRPr="00AA5125" w:rsidRDefault="00C979EB" w:rsidP="00C979EB">
            <w:pPr>
              <w:pStyle w:val="PastPerfTableHeadingLeft"/>
            </w:pPr>
            <w:r w:rsidRPr="00AA5125">
              <w:t>Client</w:t>
            </w:r>
          </w:p>
        </w:tc>
        <w:tc>
          <w:tcPr>
            <w:tcW w:w="5035" w:type="dxa"/>
            <w:gridSpan w:val="2"/>
            <w:vAlign w:val="center"/>
          </w:tcPr>
          <w:p w14:paraId="183C4955" w14:textId="77777777" w:rsidR="00C979EB" w:rsidRPr="00AA5125" w:rsidRDefault="00C979EB" w:rsidP="00FB2F7F">
            <w:pPr>
              <w:pStyle w:val="PastPerfTableBody"/>
            </w:pPr>
            <w:r w:rsidRPr="00AA5125">
              <w:t>Name of Agency, Company, or Organization</w:t>
            </w:r>
          </w:p>
        </w:tc>
      </w:tr>
      <w:tr w:rsidR="00C979EB" w:rsidRPr="00AA5125" w14:paraId="208C9319" w14:textId="77777777" w:rsidTr="008B0A6B">
        <w:tc>
          <w:tcPr>
            <w:tcW w:w="2515" w:type="dxa"/>
            <w:gridSpan w:val="2"/>
            <w:tcBorders>
              <w:left w:val="single" w:sz="18" w:space="0" w:color="005587"/>
            </w:tcBorders>
            <w:shd w:val="clear" w:color="auto" w:fill="595959" w:themeFill="text1" w:themeFillTint="A6"/>
            <w:vAlign w:val="center"/>
          </w:tcPr>
          <w:p w14:paraId="3D1DD41B" w14:textId="77777777" w:rsidR="00C979EB" w:rsidRPr="00AA5125" w:rsidRDefault="00C979EB" w:rsidP="00C979EB">
            <w:pPr>
              <w:pStyle w:val="PastPerfTableHeadingLeft"/>
            </w:pPr>
            <w:r w:rsidRPr="0019446B">
              <w:t>Project Name</w:t>
            </w:r>
          </w:p>
        </w:tc>
        <w:tc>
          <w:tcPr>
            <w:tcW w:w="6835" w:type="dxa"/>
            <w:gridSpan w:val="4"/>
            <w:vAlign w:val="center"/>
          </w:tcPr>
          <w:p w14:paraId="3C5EEBE5" w14:textId="77777777" w:rsidR="00C979EB" w:rsidRPr="00AA5125" w:rsidRDefault="00C979EB" w:rsidP="00FB2F7F">
            <w:pPr>
              <w:pStyle w:val="PastPerfTableBody"/>
            </w:pPr>
          </w:p>
        </w:tc>
      </w:tr>
      <w:tr w:rsidR="00C979EB" w:rsidRPr="00AA5125" w14:paraId="469B3E17" w14:textId="77777777" w:rsidTr="008B0A6B">
        <w:trPr>
          <w:trHeight w:val="21"/>
        </w:trPr>
        <w:tc>
          <w:tcPr>
            <w:tcW w:w="2515" w:type="dxa"/>
            <w:gridSpan w:val="2"/>
            <w:tcBorders>
              <w:left w:val="single" w:sz="18" w:space="0" w:color="005587"/>
            </w:tcBorders>
            <w:shd w:val="clear" w:color="auto" w:fill="595959" w:themeFill="text1" w:themeFillTint="A6"/>
            <w:vAlign w:val="center"/>
          </w:tcPr>
          <w:p w14:paraId="4BF3F6EE" w14:textId="77777777" w:rsidR="00C979EB" w:rsidRPr="00AA5125" w:rsidRDefault="00C979EB" w:rsidP="00C979EB">
            <w:pPr>
              <w:pStyle w:val="PastPerfTableHeadingLeft"/>
            </w:pPr>
            <w:r w:rsidRPr="0019446B">
              <w:t>Contract Number(s):</w:t>
            </w:r>
          </w:p>
        </w:tc>
        <w:tc>
          <w:tcPr>
            <w:tcW w:w="1800" w:type="dxa"/>
            <w:gridSpan w:val="2"/>
            <w:vAlign w:val="center"/>
          </w:tcPr>
          <w:p w14:paraId="6954E1EC" w14:textId="77777777" w:rsidR="008818FD" w:rsidRPr="00AA5125" w:rsidRDefault="008818FD" w:rsidP="00FB2F7F">
            <w:pPr>
              <w:pStyle w:val="PastPerfTableBody"/>
            </w:pPr>
          </w:p>
        </w:tc>
        <w:tc>
          <w:tcPr>
            <w:tcW w:w="2430" w:type="dxa"/>
            <w:shd w:val="clear" w:color="auto" w:fill="595959" w:themeFill="text1" w:themeFillTint="A6"/>
            <w:vAlign w:val="center"/>
          </w:tcPr>
          <w:p w14:paraId="786C164A" w14:textId="77777777" w:rsidR="00C979EB" w:rsidRPr="0019446B" w:rsidRDefault="00C979EB" w:rsidP="00C979EB">
            <w:pPr>
              <w:pStyle w:val="PastPerfTableHeadingLeft"/>
            </w:pPr>
            <w:r w:rsidRPr="0019446B">
              <w:t>Value of Contract:</w:t>
            </w:r>
          </w:p>
        </w:tc>
        <w:tc>
          <w:tcPr>
            <w:tcW w:w="2605" w:type="dxa"/>
            <w:vAlign w:val="center"/>
          </w:tcPr>
          <w:p w14:paraId="65A002E0" w14:textId="77777777" w:rsidR="00C979EB" w:rsidRPr="00AA5125" w:rsidRDefault="00C979EB" w:rsidP="00FB2F7F">
            <w:pPr>
              <w:pStyle w:val="PastPerfTableBody"/>
            </w:pPr>
          </w:p>
        </w:tc>
      </w:tr>
      <w:tr w:rsidR="00C979EB" w:rsidRPr="00AA5125" w14:paraId="515291EF" w14:textId="77777777" w:rsidTr="000B0B58">
        <w:tc>
          <w:tcPr>
            <w:tcW w:w="2515" w:type="dxa"/>
            <w:gridSpan w:val="2"/>
            <w:tcBorders>
              <w:left w:val="single" w:sz="18" w:space="0" w:color="0070C0"/>
            </w:tcBorders>
            <w:shd w:val="clear" w:color="auto" w:fill="595959" w:themeFill="text1" w:themeFillTint="A6"/>
            <w:vAlign w:val="center"/>
          </w:tcPr>
          <w:p w14:paraId="4CA9D5B7" w14:textId="77777777" w:rsidR="00C979EB" w:rsidRPr="0019446B" w:rsidRDefault="00C979EB" w:rsidP="00C979EB">
            <w:pPr>
              <w:pStyle w:val="PastPerfTableHeadingLeft"/>
            </w:pPr>
            <w:r w:rsidRPr="0019446B">
              <w:t>Contract Type:</w:t>
            </w:r>
          </w:p>
        </w:tc>
        <w:tc>
          <w:tcPr>
            <w:tcW w:w="1800" w:type="dxa"/>
            <w:gridSpan w:val="2"/>
            <w:vAlign w:val="center"/>
          </w:tcPr>
          <w:p w14:paraId="2A78B3C2" w14:textId="77777777" w:rsidR="00C979EB" w:rsidRPr="00AA5125" w:rsidRDefault="00C979EB" w:rsidP="00FB2F7F">
            <w:pPr>
              <w:pStyle w:val="PastPerfTableBody"/>
            </w:pPr>
            <w:r w:rsidRPr="004C2454">
              <w:t xml:space="preserve">e.g., </w:t>
            </w:r>
            <w:r>
              <w:t>T&amp;M, FFP</w:t>
            </w:r>
          </w:p>
        </w:tc>
        <w:tc>
          <w:tcPr>
            <w:tcW w:w="2430" w:type="dxa"/>
            <w:shd w:val="clear" w:color="auto" w:fill="595959" w:themeFill="text1" w:themeFillTint="A6"/>
            <w:vAlign w:val="center"/>
          </w:tcPr>
          <w:p w14:paraId="7394F0FD" w14:textId="77777777" w:rsidR="00C979EB" w:rsidRPr="0019446B" w:rsidRDefault="00C979EB" w:rsidP="00C979EB">
            <w:pPr>
              <w:pStyle w:val="PastPerfTableHeadingLeft"/>
            </w:pPr>
            <w:r w:rsidRPr="0019446B">
              <w:t>Period of Performance:</w:t>
            </w:r>
          </w:p>
        </w:tc>
        <w:tc>
          <w:tcPr>
            <w:tcW w:w="2605" w:type="dxa"/>
            <w:vAlign w:val="center"/>
          </w:tcPr>
          <w:p w14:paraId="33EE201C" w14:textId="77777777" w:rsidR="00C979EB" w:rsidRPr="00AA5125" w:rsidRDefault="00C979EB" w:rsidP="00FB2F7F">
            <w:pPr>
              <w:pStyle w:val="PastPerfTableBody"/>
            </w:pPr>
            <w:r w:rsidRPr="004C2454">
              <w:t>MM/YYYY – MM/YYYY</w:t>
            </w:r>
          </w:p>
        </w:tc>
      </w:tr>
      <w:tr w:rsidR="00C979EB" w:rsidRPr="00AA5125" w14:paraId="71E8E918" w14:textId="77777777" w:rsidTr="000B0B58">
        <w:tc>
          <w:tcPr>
            <w:tcW w:w="2515" w:type="dxa"/>
            <w:gridSpan w:val="2"/>
            <w:tcBorders>
              <w:left w:val="single" w:sz="18" w:space="0" w:color="0070C0"/>
            </w:tcBorders>
            <w:shd w:val="clear" w:color="auto" w:fill="595959" w:themeFill="text1" w:themeFillTint="A6"/>
            <w:vAlign w:val="center"/>
          </w:tcPr>
          <w:p w14:paraId="67B56DC4" w14:textId="77777777" w:rsidR="00C979EB" w:rsidRPr="00AA5125" w:rsidRDefault="00C979EB" w:rsidP="00C979EB">
            <w:pPr>
              <w:pStyle w:val="PastPerfTableHeadingLeft"/>
            </w:pPr>
            <w:r w:rsidRPr="004C2454">
              <w:t>Client Point of Contact:</w:t>
            </w:r>
            <w:r>
              <w:t xml:space="preserve"/>
            </w:r>
          </w:p>
        </w:tc>
        <w:tc>
          <w:tcPr>
            <w:tcW w:w="6835" w:type="dxa"/>
            <w:gridSpan w:val="4"/>
            <w:vAlign w:val="center"/>
          </w:tcPr>
          <w:p w14:paraId="3640E048" w14:textId="77777777" w:rsidR="00C979EB" w:rsidRPr="00AA5125" w:rsidRDefault="00C979EB" w:rsidP="00FB2F7F">
            <w:pPr>
              <w:pStyle w:val="PastPerfTableBody"/>
            </w:pPr>
            <w:proofErr w:type="gramStart"/>
            <w:r w:rsidRPr="004C2454">
              <w:t>Name ,Agency</w:t>
            </w:r>
            <w:proofErr w:type="gramEnd"/>
            <w:r w:rsidRPr="004C2454">
              <w:t>, Phone, Number, Email Address</w:t>
            </w:r>
          </w:p>
        </w:tc>
      </w:tr>
    </w:tbl>
    <w:p w14:paraId="1F3E746B" w14:textId="77777777" w:rsidR="00115250" w:rsidRPr="00B34D27" w:rsidRDefault="00115250" w:rsidP="00C56F51">
      <w:pPr>
        <w:pStyle w:val="Note1"/>
      </w:pPr>
      <w:r w:rsidRPr="00B34D27">
        <w:t xml:space="preserve">Relevance to Agency Name:</w:t>
      </w:r>
    </w:p>
    <w:p w14:paraId="3A04EEA9" w14:textId="77777777" w:rsidR="00115250" w:rsidRDefault="00115250" w:rsidP="00AD5D23">
      <w:pPr>
        <w:pStyle w:val="BodyTextBulletIntro"/>
      </w:pPr>
      <w:r>
        <w:t>Describe in a few bullets the relevance of the project to the opportunity. See generic examples below.</w:t>
      </w:r>
    </w:p>
    <w:p w14:paraId="6A448F4D" w14:textId="77777777" w:rsidR="00115250" w:rsidRPr="002126E7" w:rsidRDefault="00115250" w:rsidP="00115250">
      <w:pPr>
        <w:pStyle w:val="Bulletlevel1"/>
        <w:tabs>
          <w:tab w:val="clear" w:pos="360"/>
        </w:tabs>
      </w:pPr>
      <w:r>
        <w:t>(</w:t>
      </w:r>
      <w:r w:rsidRPr="002126E7">
        <w:t>Example A) Relevance to Agency Name:</w:t>
      </w:r>
    </w:p>
    <w:p w14:paraId="633A68DE" w14:textId="77777777" w:rsidR="00115250" w:rsidRPr="002126E7" w:rsidRDefault="00115250" w:rsidP="00115250">
      <w:pPr>
        <w:pStyle w:val="Bulletlevel1"/>
        <w:tabs>
          <w:tab w:val="clear" w:pos="360"/>
        </w:tabs>
      </w:pPr>
      <w:r w:rsidRPr="002126E7">
        <w:t>Large-scale project with significant financial, reporting, and management implications.</w:t>
      </w:r>
    </w:p>
    <w:p w14:paraId="52D5FC11" w14:textId="77777777" w:rsidR="00115250" w:rsidRPr="002126E7" w:rsidRDefault="00115250" w:rsidP="00115250">
      <w:pPr>
        <w:pStyle w:val="Bulletlevel1"/>
        <w:tabs>
          <w:tab w:val="clear" w:pos="360"/>
        </w:tabs>
      </w:pPr>
      <w:r w:rsidRPr="002126E7">
        <w:t>COTS implementation; replacement of legacy systems.</w:t>
      </w:r>
    </w:p>
    <w:p w14:paraId="7633F5D5" w14:textId="77777777" w:rsidR="00115250" w:rsidRPr="002126E7" w:rsidRDefault="00115250" w:rsidP="00115250">
      <w:pPr>
        <w:pStyle w:val="Bulletlevel1"/>
        <w:tabs>
          <w:tab w:val="clear" w:pos="360"/>
        </w:tabs>
      </w:pPr>
      <w:r w:rsidRPr="002126E7">
        <w:t xml:space="preserve">BPA with multiple task orders, </w:t>
      </w:r>
      <w:proofErr w:type="gramStart"/>
      <w:r w:rsidRPr="002126E7">
        <w:t>similar to</w:t>
      </w:r>
      <w:proofErr w:type="gramEnd"/>
      <w:r w:rsidRPr="002126E7">
        <w:t xml:space="preserve"> an IDIQ contract.</w:t>
      </w:r>
    </w:p>
    <w:p w14:paraId="426AEE88" w14:textId="77777777" w:rsidR="00115250" w:rsidRPr="002126E7" w:rsidRDefault="00115250" w:rsidP="00115250">
      <w:pPr>
        <w:pStyle w:val="Bulletlevel1"/>
        <w:tabs>
          <w:tab w:val="clear" w:pos="360"/>
        </w:tabs>
      </w:pPr>
      <w:r w:rsidRPr="002126E7">
        <w:t>(Example B) Relevance to Agency Name:</w:t>
      </w:r>
    </w:p>
    <w:p w14:paraId="1B4D9E84" w14:textId="77777777" w:rsidR="00115250" w:rsidRPr="002126E7" w:rsidRDefault="00115250" w:rsidP="00115250">
      <w:pPr>
        <w:pStyle w:val="Bulletlevel1"/>
        <w:tabs>
          <w:tab w:val="clear" w:pos="360"/>
        </w:tabs>
      </w:pPr>
      <w:r w:rsidRPr="002126E7">
        <w:t>[Industry name] project with performance, reporting, and maintenance aspects.</w:t>
      </w:r>
    </w:p>
    <w:p w14:paraId="0BC6EFE5" w14:textId="77777777" w:rsidR="00115250" w:rsidRPr="002126E7" w:rsidRDefault="00115250" w:rsidP="00115250">
      <w:pPr>
        <w:pStyle w:val="Bulletlevel1"/>
        <w:tabs>
          <w:tab w:val="clear" w:pos="360"/>
        </w:tabs>
      </w:pPr>
      <w:r w:rsidRPr="002126E7">
        <w:t>Similar organizational, technical, and operational requirements.</w:t>
      </w:r>
    </w:p>
    <w:p w14:paraId="69EDD1AC" w14:textId="77777777" w:rsidR="00115250" w:rsidRDefault="00115250" w:rsidP="00115250">
      <w:pPr>
        <w:pStyle w:val="Bulletlevel1"/>
        <w:tabs>
          <w:tab w:val="clear" w:pos="360"/>
        </w:tabs>
      </w:pPr>
      <w:r w:rsidRPr="002126E7">
        <w:t>COTS integration s</w:t>
      </w:r>
      <w:r>
        <w:t>olution.</w:t>
      </w:r>
    </w:p>
    <w:p w14:paraId="63919723" w14:textId="77777777" w:rsidR="00115250" w:rsidRDefault="00115250" w:rsidP="00C56F51">
      <w:pPr>
        <w:pStyle w:val="Note1"/>
      </w:pPr>
      <w:r>
        <w:t xml:space="preserve">Narrative:</w:t>
      </w:r>
    </w:p>
    <w:p w14:paraId="636009E1" w14:textId="77777777" w:rsidR="00115250" w:rsidRDefault="00115250" w:rsidP="00891697">
      <w:pPr>
        <w:pStyle w:val="BodyText"/>
      </w:pPr>
      <w:r>
        <w:t xml:space="preserve">Description of work performed—briefly outlining the client’s challenge/situation and what you were hired to do. Please describe the scope of the project, noting broad similarities with Agency Name activity requirements. Describe magnitude in terms of dollar amounts, number of personnel fielded, etc. </w:t>
      </w:r>
      <w:r w:rsidRPr="00891697">
        <w:t>Describe</w:t>
      </w:r>
      <w:r>
        <w:t xml:space="preserve"> the project’s complexity in reference to Agency Name or task order requirements and similarities of work performed. Note things delivered, results provided, etc.</w:t>
      </w:r>
    </w:p>
    <w:p w14:paraId="7667F9B7" w14:textId="77777777" w:rsidR="00115250" w:rsidRDefault="00115250" w:rsidP="00891697">
      <w:pPr>
        <w:pStyle w:val="BodyText"/>
      </w:pPr>
      <w:r>
        <w:t xml:space="preserve">(Example A) The ABC project encompasses a wide range of activities, from documentation and user/data requirements tasks to deployment and training. The project’s scope is comparable to Agency Name IDIQ requirements, with similar staffing and technical needs and a similar management methodology used. The ABC project </w:t>
      </w:r>
      <w:proofErr w:type="gramStart"/>
      <w:r>
        <w:t>has involved</w:t>
      </w:r>
      <w:proofErr w:type="gramEnd"/>
      <w:r>
        <w:t xml:space="preserve"> multiple sites and approximately 120 Deloitte team members at peak; it will affect some 6,000 users at full deployment.</w:t>
      </w:r>
    </w:p>
    <w:p w14:paraId="0DE3E0C9" w14:textId="77777777" w:rsidR="00115250" w:rsidRDefault="00115250">
      <w:pPr>
        <w:pStyle w:val="BodyText"/>
      </w:pPr>
      <w:proofErr w:type="gramStart"/>
      <w:r>
        <w:t>Similar to</w:t>
      </w:r>
      <w:proofErr w:type="gramEnd"/>
      <w:r>
        <w:t xml:space="preserve"> Agency Name requirements, the project includes a variety of planning, design, development, and integration activities. Work has been performed under a blanket purchase agreement (BPA) with multiple delivery orders. The Deloitte team worked closely with Agency Name management to build support for the implementation and develop a communications strategy for informing employees about the upcoming transition and provide specialized instruction and support for staff in new roles. As the lead systems integrator and program manager, the Deloitte team was responsible for the following:</w:t>
      </w:r>
    </w:p>
    <w:p w14:paraId="7A3349DF" w14:textId="77777777" w:rsidR="00115250" w:rsidRPr="002126E7" w:rsidRDefault="00115250" w:rsidP="00115250">
      <w:pPr>
        <w:pStyle w:val="Bulletlevel1"/>
        <w:tabs>
          <w:tab w:val="clear" w:pos="360"/>
        </w:tabs>
      </w:pPr>
      <w:r w:rsidRPr="002126E7">
        <w:lastRenderedPageBreak/>
        <w:t xml:space="preserve">Establishing a program governance process and developing a program management office to coordinate this large-scale Oracle roll-out.</w:t>
      </w:r>
    </w:p>
    <w:p w14:paraId="1CA5DB76" w14:textId="77777777" w:rsidR="00115250" w:rsidRDefault="00115250" w:rsidP="00115250">
      <w:pPr>
        <w:pStyle w:val="Bulletlevel1"/>
        <w:tabs>
          <w:tab w:val="clear" w:pos="360"/>
        </w:tabs>
      </w:pPr>
      <w:r w:rsidRPr="002126E7">
        <w:t>Developing and deploying the Oracle-based system at client locations, including replacing and</w:t>
      </w:r>
      <w:r>
        <w:t xml:space="preserve"> retiring legacy financial systems.</w:t>
      </w:r>
    </w:p>
    <w:p w14:paraId="21E103A1" w14:textId="77777777" w:rsidR="00115250" w:rsidRDefault="00115250" w:rsidP="00AD5D23">
      <w:pPr>
        <w:pStyle w:val="BodyTextBulletIntro"/>
      </w:pPr>
      <w:r>
        <w:t xml:space="preserve">(Example B) Support of the Agency Name included a variety of activities </w:t>
      </w:r>
      <w:proofErr w:type="gramStart"/>
      <w:r>
        <w:t>similar to</w:t>
      </w:r>
      <w:proofErr w:type="gramEnd"/>
      <w:r>
        <w:t xml:space="preserve"> Agency Name Task Order Name requirements. This $15 million, multi-year project covers both agency and enterprise-wide technology and management issues.</w:t>
      </w:r>
    </w:p>
    <w:p w14:paraId="5054EF16" w14:textId="77777777" w:rsidR="00115250" w:rsidRPr="002126E7" w:rsidRDefault="00115250" w:rsidP="00115250">
      <w:pPr>
        <w:pStyle w:val="Bulletlevel1"/>
        <w:tabs>
          <w:tab w:val="clear" w:pos="360"/>
        </w:tabs>
      </w:pPr>
      <w:r>
        <w:t xml:space="preserve">The development and implementation of a COTS-based solution during this project is </w:t>
      </w:r>
      <w:r w:rsidRPr="002126E7">
        <w:t xml:space="preserve">comparable to activities described in the Agency Name RFP. Deloitte developed and deployed a Microsoft Project Server, Web-based tool (Tool Name). The Deloitte team adapted and enhanced the tool to support program plan management and collaboration in accordance with requirements provided by the X Business Unit. The team provides advice and planning on communications and audit strategy, analyzes plan thoroughness and feasibility, and assists in content development for best practices guides and methodologies. Deloitte supports compliance efforts to implement methodology for management in assessment, documentation, and reporting on </w:t>
      </w:r>
      <w:proofErr w:type="gramStart"/>
      <w:r w:rsidRPr="002126E7">
        <w:t>the internal</w:t>
      </w:r>
      <w:proofErr w:type="gramEnd"/>
      <w:r w:rsidRPr="002126E7">
        <w:t xml:space="preserve"> controls over financial reporting. Additional actions and results:</w:t>
      </w:r>
    </w:p>
    <w:p w14:paraId="6564F04A" w14:textId="77777777" w:rsidR="00115250" w:rsidRPr="002126E7" w:rsidRDefault="00115250" w:rsidP="00115250">
      <w:pPr>
        <w:pStyle w:val="Bulletlevel1"/>
        <w:tabs>
          <w:tab w:val="clear" w:pos="360"/>
        </w:tabs>
      </w:pPr>
      <w:r w:rsidRPr="002126E7">
        <w:t xml:space="preserve">Bullet 1 text.</w:t>
      </w:r>
    </w:p>
    <w:p w14:paraId="6C6323CB" w14:textId="77777777" w:rsidR="00115250" w:rsidRPr="002126E7" w:rsidRDefault="00115250" w:rsidP="00115250">
      <w:pPr>
        <w:pStyle w:val="Bulletlevel1"/>
        <w:tabs>
          <w:tab w:val="clear" w:pos="360"/>
        </w:tabs>
      </w:pPr>
      <w:r w:rsidRPr="002126E7">
        <w:t>Bullet 2 text.</w:t>
      </w:r>
    </w:p>
    <w:p w14:paraId="32610594" w14:textId="77777777" w:rsidR="00115250" w:rsidRDefault="00115250" w:rsidP="00115250">
      <w:pPr>
        <w:pStyle w:val="Bulletlevel1"/>
        <w:tabs>
          <w:tab w:val="clear" w:pos="360"/>
        </w:tabs>
      </w:pPr>
      <w:r w:rsidRPr="002126E7">
        <w:t xml:space="preserve">Etc.</w:t>
      </w:r>
    </w:p>
    <w:p w14:paraId="4F1FC8B8" w14:textId="77777777" w:rsidR="00115250" w:rsidRDefault="00115250" w:rsidP="00C56F51">
      <w:pPr>
        <w:pStyle w:val="Note1"/>
      </w:pPr>
      <w:r>
        <w:t xml:space="preserve">Solution Benefits:</w:t>
      </w:r>
    </w:p>
    <w:p w14:paraId="11641F67" w14:textId="77777777" w:rsidR="00115250" w:rsidRDefault="00115250">
      <w:pPr>
        <w:pStyle w:val="BodyText"/>
      </w:pPr>
      <w:r>
        <w:t xml:space="preserve">Short description, in bullets, describing benefits provided. Please try to provide hard evidence of measurable </w:t>
      </w:r>
      <w:proofErr w:type="gramStart"/>
      <w:r>
        <w:t>results—</w:t>
      </w:r>
      <w:proofErr w:type="gramEnd"/>
      <w:r>
        <w:t>e.</w:t>
      </w:r>
      <w:proofErr w:type="gramStart"/>
      <w:r>
        <w:t>g.,</w:t>
      </w:r>
      <w:proofErr w:type="gramEnd"/>
      <w:r>
        <w:t xml:space="preserve"> saved $X, reduced errors Y percent, increased efficiency Z percent, etc. See example below.</w:t>
      </w:r>
    </w:p>
    <w:p w14:paraId="49155CC1" w14:textId="77777777" w:rsidR="00115250" w:rsidRDefault="00115250" w:rsidP="00AD5D23">
      <w:pPr>
        <w:pStyle w:val="BodyTextBulletIntro"/>
      </w:pPr>
      <w:r>
        <w:t>(Example) In addition to the engagement goals, the client has benefited from the project by:</w:t>
      </w:r>
    </w:p>
    <w:p w14:paraId="539423A4" w14:textId="77777777" w:rsidR="00115250" w:rsidRPr="002126E7" w:rsidRDefault="00115250" w:rsidP="00115250">
      <w:pPr>
        <w:pStyle w:val="Bulletlevel1"/>
        <w:tabs>
          <w:tab w:val="clear" w:pos="360"/>
        </w:tabs>
      </w:pPr>
      <w:r w:rsidRPr="002126E7">
        <w:t>Eliminating redundant and outdated financial systems.</w:t>
      </w:r>
    </w:p>
    <w:p w14:paraId="75282803" w14:textId="77777777" w:rsidR="00115250" w:rsidRPr="002126E7" w:rsidRDefault="00115250" w:rsidP="00115250">
      <w:pPr>
        <w:pStyle w:val="Bulletlevel1"/>
        <w:tabs>
          <w:tab w:val="clear" w:pos="360"/>
        </w:tabs>
      </w:pPr>
      <w:r w:rsidRPr="002126E7">
        <w:t xml:space="preserve">Implementing a centralized financial platform, which increases compliance with federal accounting standards and management process improvement initiatives.</w:t>
      </w:r>
    </w:p>
    <w:p w14:paraId="2093E856" w14:textId="77777777" w:rsidR="00115250" w:rsidRPr="002126E7" w:rsidRDefault="00115250" w:rsidP="00115250">
      <w:pPr>
        <w:pStyle w:val="Bulletlevel1"/>
        <w:tabs>
          <w:tab w:val="clear" w:pos="360"/>
        </w:tabs>
      </w:pPr>
      <w:r w:rsidRPr="002126E7">
        <w:t xml:space="preserve">Streamlining of operations, resulting in a 30-percent increase in productivity and savings of $4.6 million.</w:t>
      </w:r>
    </w:p>
    <w:p w14:paraId="6544FEC9" w14:textId="77777777" w:rsidR="00115250" w:rsidRPr="002126E7" w:rsidRDefault="00115250" w:rsidP="00115250">
      <w:pPr>
        <w:pStyle w:val="Bulletlevel1"/>
        <w:tabs>
          <w:tab w:val="clear" w:pos="360"/>
        </w:tabs>
      </w:pPr>
      <w:r w:rsidRPr="002126E7">
        <w:t xml:space="preserve">Enhancing ability to obtain enterprise-wide financial information.</w:t>
      </w:r>
    </w:p>
    <w:p w14:paraId="22EF532B" w14:textId="77777777" w:rsidR="00115250" w:rsidRDefault="00115250" w:rsidP="00115250">
      <w:pPr>
        <w:pStyle w:val="Bulletlevel1"/>
        <w:tabs>
          <w:tab w:val="clear" w:pos="360"/>
        </w:tabs>
      </w:pPr>
      <w:r w:rsidRPr="002126E7">
        <w:t>Retirement of more than 45 applications, saving the client over $7 million in maintenan</w:t>
      </w:r>
      <w:r>
        <w:t xml:space="preserve">ce, upgrades, and licenses associated with legacy systems.</w:t>
      </w:r>
    </w:p>
    <w:p w14:paraId="52564C8C" w14:textId="77777777" w:rsidR="00115250" w:rsidRDefault="00115250" w:rsidP="00C56F51">
      <w:pPr>
        <w:pStyle w:val="Note1"/>
      </w:pPr>
      <w:r>
        <w:t xml:space="preserve">Quality of Work Performed:</w:t>
      </w:r>
    </w:p>
    <w:p w14:paraId="53C36BFA" w14:textId="77777777" w:rsidR="00115250" w:rsidRDefault="00115250" w:rsidP="00AD5D23">
      <w:pPr>
        <w:pStyle w:val="BodyTextBulletIntro"/>
      </w:pPr>
      <w:r>
        <w:t xml:space="preserve">Describe the quality of </w:t>
      </w:r>
      <w:proofErr w:type="gramStart"/>
      <w:r>
        <w:t>work—e.g.</w:t>
      </w:r>
      <w:proofErr w:type="gramEnd"/>
      <w:r>
        <w:t xml:space="preserve">, value added to client, add-on work, accolades, client </w:t>
      </w:r>
      <w:proofErr w:type="gramStart"/>
      <w:r>
        <w:t>quote</w:t>
      </w:r>
      <w:proofErr w:type="gramEnd"/>
      <w:r>
        <w:t>, etc. Demonstrate customer satisfaction and excellence in delivery. Be brief. See examples below.</w:t>
      </w:r>
    </w:p>
    <w:p w14:paraId="0B123CDA" w14:textId="77777777" w:rsidR="00115250" w:rsidRPr="002126E7" w:rsidRDefault="00115250" w:rsidP="00115250">
      <w:pPr>
        <w:pStyle w:val="Bulletlevel1"/>
        <w:tabs>
          <w:tab w:val="clear" w:pos="360"/>
        </w:tabs>
      </w:pPr>
      <w:r>
        <w:t xml:space="preserve">(Example A) Deloitte delivered significant value to the client throughout the project, as </w:t>
      </w:r>
      <w:r w:rsidRPr="002126E7">
        <w:t xml:space="preserve">noted above. The client awarded Deloitte additional work: PMO and OCM support were extended from April 1 to September 30, 2006.</w:t>
      </w:r>
    </w:p>
    <w:p w14:paraId="55B5214E" w14:textId="77777777" w:rsidR="00115250" w:rsidRDefault="00115250" w:rsidP="00115250">
      <w:pPr>
        <w:pStyle w:val="Bulletlevel1"/>
        <w:tabs>
          <w:tab w:val="clear" w:pos="360"/>
        </w:tabs>
      </w:pPr>
      <w:r w:rsidRPr="002126E7">
        <w:t>(Exa</w:t>
      </w:r>
      <w:r>
        <w:t xml:space="preserve">mple B) Deloitte’s excellence in delivery has been recognized numerous </w:t>
      </w:r>
      <w:proofErr w:type="gramStart"/>
      <w:r>
        <w:t>times—</w:t>
      </w:r>
      <w:proofErr w:type="gramEnd"/>
      <w:r>
        <w:t>for example:</w:t>
      </w:r>
    </w:p>
    <w:p w14:paraId="20CB8A53" w14:textId="77777777" w:rsidR="00115250" w:rsidRDefault="00115250">
      <w:pPr>
        <w:pStyle w:val="TableBody"/>
      </w:pPr>
      <w:r>
        <w:t>“Deloitte is fantastic. Deloitte team members worked above and beyond, providing innovative and valuable solutions to meet our needs.”</w:t>
      </w:r>
    </w:p>
    <w:p w14:paraId="3B865597" w14:textId="77777777" w:rsidR="00115250" w:rsidRDefault="00115250">
      <w:pPr>
        <w:pStyle w:val="TableBody"/>
      </w:pPr>
      <w:r>
        <w:lastRenderedPageBreak/>
        <w:tab/>
      </w:r>
      <w:r>
        <w:tab/>
      </w:r>
      <w:r>
        <w:tab/>
      </w:r>
      <w:r>
        <w:tab/>
        <w:t xml:space="preserve">—First and Last Name of Individual, Job Title, Agency Name</w:t>
      </w:r>
    </w:p>
    <w:p w14:paraId="2B8E479E" w14:textId="77777777" w:rsidR="00115250" w:rsidRPr="00B34D27" w:rsidRDefault="00115250" w:rsidP="00C56F51">
      <w:pPr>
        <w:pStyle w:val="Note1"/>
      </w:pPr>
      <w:r w:rsidRPr="00B34D27">
        <w:t>Names of subcontractors used, if any, and description of extent of work performed:</w:t>
      </w:r>
    </w:p>
    <w:p w14:paraId="0C5E3000" w14:textId="77777777" w:rsidR="00115250" w:rsidRDefault="00115250">
      <w:pPr>
        <w:pStyle w:val="BodyText"/>
      </w:pPr>
      <w:r>
        <w:t>If none, write “None.” If subcontractors were used, list the companies, work, and approximate value—e.g., “ABC Company: software development, $2 million total value to date; XYZ Corporation: back-file conversion, $1 million total value to date.” If there were too many subcontractors to list, try something like this: “More than 20 subcontractors were used on this project. The total value of work performed by subcontractors was approximately $5 million. Of the total work performed on the contract, approximately 20 percent was subcontracted to historically underutilized businesses.”</w:t>
      </w:r>
    </w:p>
    <w:p w14:paraId="14641AF0" w14:textId="77777777" w:rsidR="00115250" w:rsidRDefault="00115250" w:rsidP="00C56F51">
      <w:pPr>
        <w:pStyle w:val="Note1"/>
      </w:pPr>
      <w:r>
        <w:t xml:space="preserve">Number, type, and severity of any quality, delivery, or cost problems in performing the contract, the corrective action taken, and the effectiveness of the corrective action:</w:t>
      </w:r>
    </w:p>
    <w:p w14:paraId="5F6A1FBC" w14:textId="77777777" w:rsidR="00115250" w:rsidRDefault="00115250">
      <w:pPr>
        <w:pStyle w:val="BodyText"/>
      </w:pPr>
      <w:r>
        <w:t>If none, write “None.” If applicable, provide an example of a problem, corrective action taken, and so on. Demonstrate flexibility, a proactive and cooperative approach, effective program/project management, and responsiveness to contract/client requirements.</w:t>
      </w:r>
    </w:p>
    <w:p w14:paraId="05505222" w14:textId="77777777" w:rsidR="00115250" w:rsidRDefault="00115250" w:rsidP="00E64F9D">
      <w:pPr>
        <w:pStyle w:val="BodyText"/>
      </w:pPr>
    </w:p>
    <w:p w14:paraId="756B85DD" w14:textId="77777777" w:rsidR="00115250" w:rsidRDefault="00115250">
      <w:pPr>
        <w:spacing w:line="24" w:lineRule="auto"/>
      </w:pPr>
      <w:r>
        <w:br w:type="page"/>
      </w:r>
    </w:p>
    <w:p w14:paraId="38FB733C" w14:textId="77777777" w:rsidR="00115250" w:rsidRDefault="00115250" w:rsidP="00C56F51">
      <w:pPr>
        <w:pStyle w:val="Subheading1"/>
        <w:rPr>
          <w:noProof/>
        </w:rPr>
      </w:pPr>
      <w:r>
        <w:rPr>
          <w:noProof/>
        </w:rPr>
        <w:lastRenderedPageBreak/>
        <w:t>Past Performance2-Table</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29" w:type="dxa"/>
          <w:left w:w="58" w:type="dxa"/>
          <w:bottom w:w="43" w:type="dxa"/>
          <w:right w:w="58" w:type="dxa"/>
        </w:tblCellMar>
        <w:tblLook w:val="06A0" w:firstRow="1" w:lastRow="0" w:firstColumn="1" w:lastColumn="0" w:noHBand="1" w:noVBand="1"/>
      </w:tblPr>
      <w:tblGrid>
        <w:gridCol w:w="894"/>
        <w:gridCol w:w="1617"/>
        <w:gridCol w:w="987"/>
        <w:gridCol w:w="809"/>
        <w:gridCol w:w="2426"/>
        <w:gridCol w:w="2599"/>
      </w:tblGrid>
      <w:tr w:rsidR="00FB2F7F" w:rsidRPr="00AA5125" w14:paraId="7291E06A" w14:textId="77777777" w:rsidTr="00C845B6">
        <w:tc>
          <w:tcPr>
            <w:tcW w:w="894" w:type="dxa"/>
            <w:tcBorders>
              <w:top w:val="nil"/>
              <w:left w:val="single" w:sz="18" w:space="0" w:color="005587"/>
              <w:bottom w:val="nil"/>
              <w:right w:val="nil"/>
            </w:tcBorders>
            <w:shd w:val="clear" w:color="auto" w:fill="595959" w:themeFill="text1" w:themeFillTint="A6"/>
            <w:vAlign w:val="center"/>
          </w:tcPr>
          <w:p w14:paraId="218099B1" w14:textId="77777777" w:rsidR="00FB2F7F" w:rsidRPr="00AA5125" w:rsidRDefault="00FB2F7F">
            <w:pPr>
              <w:pStyle w:val="PastPerfTableHeadingCenter"/>
            </w:pPr>
            <w:r w:rsidRPr="00AA5125">
              <w:t>Offeror</w:t>
            </w:r>
          </w:p>
        </w:tc>
        <w:tc>
          <w:tcPr>
            <w:tcW w:w="2611" w:type="dxa"/>
            <w:gridSpan w:val="2"/>
            <w:tcBorders>
              <w:left w:val="nil"/>
            </w:tcBorders>
            <w:vAlign w:val="center"/>
          </w:tcPr>
          <w:p w14:paraId="5D94ED6C" w14:textId="77777777" w:rsidR="00FB2F7F" w:rsidRPr="00AA5125" w:rsidRDefault="00FB2F7F">
            <w:pPr>
              <w:pStyle w:val="PastPerfTableBody"/>
            </w:pPr>
            <w:r w:rsidRPr="00AA5125">
              <w:t>Deloitte</w:t>
            </w:r>
          </w:p>
        </w:tc>
        <w:tc>
          <w:tcPr>
            <w:tcW w:w="810" w:type="dxa"/>
            <w:shd w:val="clear" w:color="auto" w:fill="595959" w:themeFill="text1" w:themeFillTint="A6"/>
            <w:vAlign w:val="center"/>
          </w:tcPr>
          <w:p w14:paraId="35652512" w14:textId="77777777" w:rsidR="00FB2F7F" w:rsidRPr="00AA5125" w:rsidRDefault="00FB2F7F">
            <w:pPr>
              <w:pStyle w:val="PastPerfTableHeadingLeft"/>
            </w:pPr>
            <w:r w:rsidRPr="00AA5125">
              <w:t>Client</w:t>
            </w:r>
          </w:p>
        </w:tc>
        <w:tc>
          <w:tcPr>
            <w:tcW w:w="5035" w:type="dxa"/>
            <w:gridSpan w:val="2"/>
            <w:vAlign w:val="center"/>
          </w:tcPr>
          <w:p w14:paraId="044BFF68" w14:textId="77777777" w:rsidR="00FB2F7F" w:rsidRPr="00AA5125" w:rsidRDefault="00FB2F7F">
            <w:pPr>
              <w:pStyle w:val="PastPerfTableBody"/>
            </w:pPr>
            <w:r w:rsidRPr="00AA5125">
              <w:t>Name of Agency, Company, or Organization</w:t>
            </w:r>
          </w:p>
        </w:tc>
      </w:tr>
      <w:tr w:rsidR="00FB2F7F" w:rsidRPr="00AA5125" w14:paraId="5CE6E8DA" w14:textId="77777777" w:rsidTr="00C845B6">
        <w:tc>
          <w:tcPr>
            <w:tcW w:w="2515" w:type="dxa"/>
            <w:gridSpan w:val="2"/>
            <w:tcBorders>
              <w:left w:val="single" w:sz="18" w:space="0" w:color="005587"/>
            </w:tcBorders>
            <w:shd w:val="clear" w:color="auto" w:fill="595959" w:themeFill="text1" w:themeFillTint="A6"/>
            <w:vAlign w:val="center"/>
          </w:tcPr>
          <w:p w14:paraId="615B4615" w14:textId="77777777" w:rsidR="00FB2F7F" w:rsidRPr="00AA5125" w:rsidRDefault="00FB2F7F">
            <w:pPr>
              <w:pStyle w:val="PastPerfTableHeadingLeft"/>
            </w:pPr>
            <w:r w:rsidRPr="0019446B">
              <w:t>Project Name</w:t>
            </w:r>
          </w:p>
        </w:tc>
        <w:tc>
          <w:tcPr>
            <w:tcW w:w="6835" w:type="dxa"/>
            <w:gridSpan w:val="4"/>
            <w:vAlign w:val="center"/>
          </w:tcPr>
          <w:p w14:paraId="059C6BF9" w14:textId="77777777" w:rsidR="00FB2F7F" w:rsidRPr="00AA5125" w:rsidRDefault="00FB2F7F">
            <w:pPr>
              <w:pStyle w:val="PastPerfTableBody"/>
            </w:pPr>
          </w:p>
        </w:tc>
      </w:tr>
      <w:tr w:rsidR="00FB2F7F" w:rsidRPr="00AA5125" w14:paraId="32C435E0" w14:textId="77777777" w:rsidTr="00C845B6">
        <w:trPr>
          <w:trHeight w:val="21"/>
        </w:trPr>
        <w:tc>
          <w:tcPr>
            <w:tcW w:w="2515" w:type="dxa"/>
            <w:gridSpan w:val="2"/>
            <w:tcBorders>
              <w:left w:val="single" w:sz="18" w:space="0" w:color="005587"/>
            </w:tcBorders>
            <w:shd w:val="clear" w:color="auto" w:fill="595959" w:themeFill="text1" w:themeFillTint="A6"/>
            <w:vAlign w:val="center"/>
          </w:tcPr>
          <w:p w14:paraId="217FD248" w14:textId="77777777" w:rsidR="00FB2F7F" w:rsidRPr="00AA5125" w:rsidRDefault="00FB2F7F">
            <w:pPr>
              <w:pStyle w:val="PastPerfTableHeadingLeft"/>
            </w:pPr>
            <w:r w:rsidRPr="0019446B">
              <w:t>Contract Number(s):</w:t>
            </w:r>
          </w:p>
        </w:tc>
        <w:tc>
          <w:tcPr>
            <w:tcW w:w="1800" w:type="dxa"/>
            <w:gridSpan w:val="2"/>
            <w:vAlign w:val="center"/>
          </w:tcPr>
          <w:p w14:paraId="3FB2DAE4" w14:textId="77777777" w:rsidR="00FB2F7F" w:rsidRPr="00AA5125" w:rsidRDefault="00FB2F7F">
            <w:pPr>
              <w:pStyle w:val="PastPerfTableBody"/>
            </w:pPr>
          </w:p>
        </w:tc>
        <w:tc>
          <w:tcPr>
            <w:tcW w:w="2430" w:type="dxa"/>
            <w:shd w:val="clear" w:color="auto" w:fill="595959" w:themeFill="text1" w:themeFillTint="A6"/>
            <w:vAlign w:val="center"/>
          </w:tcPr>
          <w:p w14:paraId="4B842249" w14:textId="77777777" w:rsidR="00FB2F7F" w:rsidRPr="0019446B" w:rsidRDefault="00FB2F7F">
            <w:pPr>
              <w:pStyle w:val="PastPerfTableHeadingLeft"/>
            </w:pPr>
            <w:r w:rsidRPr="0019446B">
              <w:t>Value of Contract:</w:t>
            </w:r>
          </w:p>
        </w:tc>
        <w:tc>
          <w:tcPr>
            <w:tcW w:w="2605" w:type="dxa"/>
            <w:vAlign w:val="center"/>
          </w:tcPr>
          <w:p w14:paraId="272432F9" w14:textId="77777777" w:rsidR="00FB2F7F" w:rsidRPr="00AA5125" w:rsidRDefault="00FB2F7F">
            <w:pPr>
              <w:pStyle w:val="PastPerfTableBody"/>
            </w:pPr>
          </w:p>
        </w:tc>
      </w:tr>
      <w:tr w:rsidR="00FB2F7F" w:rsidRPr="00AA5125" w14:paraId="507FB359" w14:textId="77777777" w:rsidTr="00C845B6">
        <w:tc>
          <w:tcPr>
            <w:tcW w:w="2515" w:type="dxa"/>
            <w:gridSpan w:val="2"/>
            <w:tcBorders>
              <w:left w:val="single" w:sz="18" w:space="0" w:color="005587"/>
            </w:tcBorders>
            <w:shd w:val="clear" w:color="auto" w:fill="595959" w:themeFill="text1" w:themeFillTint="A6"/>
            <w:vAlign w:val="center"/>
          </w:tcPr>
          <w:p w14:paraId="2C53ADCA" w14:textId="77777777" w:rsidR="00FB2F7F" w:rsidRPr="0019446B" w:rsidRDefault="00FB2F7F">
            <w:pPr>
              <w:pStyle w:val="PastPerfTableHeadingLeft"/>
            </w:pPr>
            <w:r w:rsidRPr="0019446B">
              <w:t>Contract Type:</w:t>
            </w:r>
          </w:p>
        </w:tc>
        <w:tc>
          <w:tcPr>
            <w:tcW w:w="1800" w:type="dxa"/>
            <w:gridSpan w:val="2"/>
            <w:vAlign w:val="center"/>
          </w:tcPr>
          <w:p w14:paraId="213EE8F0" w14:textId="77777777" w:rsidR="00FB2F7F" w:rsidRPr="00AA5125" w:rsidRDefault="00FB2F7F">
            <w:pPr>
              <w:pStyle w:val="PastPerfTableBody"/>
            </w:pPr>
            <w:r w:rsidRPr="004C2454">
              <w:t xml:space="preserve">e.g., </w:t>
            </w:r>
            <w:r>
              <w:t>T&amp;M, FFP</w:t>
            </w:r>
          </w:p>
        </w:tc>
        <w:tc>
          <w:tcPr>
            <w:tcW w:w="2430" w:type="dxa"/>
            <w:shd w:val="clear" w:color="auto" w:fill="595959" w:themeFill="text1" w:themeFillTint="A6"/>
            <w:vAlign w:val="center"/>
          </w:tcPr>
          <w:p w14:paraId="057B0EC4" w14:textId="77777777" w:rsidR="00FB2F7F" w:rsidRPr="0019446B" w:rsidRDefault="00FB2F7F">
            <w:pPr>
              <w:pStyle w:val="PastPerfTableHeadingLeft"/>
            </w:pPr>
            <w:r w:rsidRPr="0019446B">
              <w:t>Period of Performance:</w:t>
            </w:r>
          </w:p>
        </w:tc>
        <w:tc>
          <w:tcPr>
            <w:tcW w:w="2605" w:type="dxa"/>
            <w:vAlign w:val="center"/>
          </w:tcPr>
          <w:p w14:paraId="5CF224EE" w14:textId="77777777" w:rsidR="00FB2F7F" w:rsidRPr="00AA5125" w:rsidRDefault="00FB2F7F">
            <w:pPr>
              <w:pStyle w:val="PastPerfTableBody"/>
            </w:pPr>
            <w:r w:rsidRPr="004C2454">
              <w:t>MM/YYYY – MM/YYYY</w:t>
            </w:r>
          </w:p>
        </w:tc>
      </w:tr>
      <w:tr w:rsidR="00FB2F7F" w:rsidRPr="00AA5125" w14:paraId="61BB764D" w14:textId="77777777" w:rsidTr="00C845B6">
        <w:tc>
          <w:tcPr>
            <w:tcW w:w="2515" w:type="dxa"/>
            <w:gridSpan w:val="2"/>
            <w:tcBorders>
              <w:left w:val="single" w:sz="18" w:space="0" w:color="005587"/>
            </w:tcBorders>
            <w:shd w:val="clear" w:color="auto" w:fill="595959" w:themeFill="text1" w:themeFillTint="A6"/>
            <w:vAlign w:val="center"/>
          </w:tcPr>
          <w:p w14:paraId="4E1044F5" w14:textId="77777777" w:rsidR="00FB2F7F" w:rsidRPr="00AA5125" w:rsidRDefault="00FB2F7F">
            <w:pPr>
              <w:pStyle w:val="PastPerfTableHeadingLeft"/>
            </w:pPr>
            <w:r w:rsidRPr="004C2454">
              <w:t>Client Point of Contact:</w:t>
            </w:r>
            <w:r>
              <w:t xml:space="preserve"/>
            </w:r>
          </w:p>
        </w:tc>
        <w:tc>
          <w:tcPr>
            <w:tcW w:w="6835" w:type="dxa"/>
            <w:gridSpan w:val="4"/>
            <w:vAlign w:val="center"/>
          </w:tcPr>
          <w:p w14:paraId="61324CDC" w14:textId="77777777" w:rsidR="00FB2F7F" w:rsidRPr="00AA5125" w:rsidRDefault="00FB2F7F">
            <w:pPr>
              <w:pStyle w:val="PastPerfTableBody"/>
            </w:pPr>
            <w:proofErr w:type="gramStart"/>
            <w:r w:rsidRPr="004C2454">
              <w:t>Name ,Agency</w:t>
            </w:r>
            <w:proofErr w:type="gramEnd"/>
            <w:r w:rsidRPr="004C2454">
              <w:t>, Phone, Number, Email Address</w:t>
            </w:r>
          </w:p>
        </w:tc>
      </w:tr>
    </w:tbl>
    <w:tbl>
      <w:tblPr>
        <w:tblW w:w="0" w:type="auto"/>
        <w:tbl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insideH w:val="single" w:sz="2" w:space="0" w:color="A6A6A6" w:themeColor="background1" w:themeShade="A6"/>
          <w:insideV w:val="single" w:sz="2" w:space="0" w:color="A6A6A6" w:themeColor="background1" w:themeShade="A6"/>
        </w:tblBorders>
        <w:tblLook w:val="0600" w:firstRow="0" w:lastRow="0" w:firstColumn="0" w:lastColumn="0" w:noHBand="1" w:noVBand="1"/>
      </w:tblPr>
      <w:tblGrid>
        <w:gridCol w:w="9354"/>
      </w:tblGrid>
      <w:tr w:rsidR="00115250" w14:paraId="404B6F99" w14:textId="77777777" w:rsidTr="00F20E93">
        <w:tc>
          <w:tcPr>
            <w:tcW w:w="9576" w:type="dxa"/>
            <w:shd w:val="clear" w:color="auto" w:fill="595959" w:themeFill="text1" w:themeFillTint="A6"/>
          </w:tcPr>
          <w:p w14:paraId="40DED984" w14:textId="77777777" w:rsidR="00115250" w:rsidRDefault="00115250" w:rsidP="00D67ED8">
            <w:pPr>
              <w:pStyle w:val="PastPerfTableHeadingCenter"/>
            </w:pPr>
            <w:r w:rsidRPr="009F2ABC">
              <w:t>Relevance to Agency Name:</w:t>
            </w:r>
          </w:p>
        </w:tc>
      </w:tr>
      <w:tr w:rsidR="00115250" w14:paraId="3D28121A" w14:textId="77777777" w:rsidTr="00471461">
        <w:tc>
          <w:tcPr>
            <w:tcW w:w="9576" w:type="dxa"/>
          </w:tcPr>
          <w:p w14:paraId="290527D6" w14:textId="77777777" w:rsidR="00115250" w:rsidRDefault="00115250" w:rsidP="00957B03">
            <w:pPr>
              <w:pStyle w:val="PastPerfTableSubheading"/>
            </w:pPr>
            <w:r>
              <w:t>Past Perf Table Subheading</w:t>
            </w:r>
          </w:p>
          <w:p w14:paraId="45D5FBC2" w14:textId="77777777" w:rsidR="00115250" w:rsidRDefault="00115250" w:rsidP="006B211B">
            <w:pPr>
              <w:pStyle w:val="PastPerfTableBody"/>
            </w:pPr>
            <w:r>
              <w:t>Past Perf Table Body</w:t>
            </w:r>
          </w:p>
        </w:tc>
      </w:tr>
      <w:tr w:rsidR="00115250" w14:paraId="7116EBEB" w14:textId="77777777" w:rsidTr="00F20E93">
        <w:tc>
          <w:tcPr>
            <w:tcW w:w="9576" w:type="dxa"/>
            <w:shd w:val="clear" w:color="auto" w:fill="595959" w:themeFill="text1" w:themeFillTint="A6"/>
          </w:tcPr>
          <w:p w14:paraId="454B3401" w14:textId="77777777" w:rsidR="00115250" w:rsidRDefault="00115250" w:rsidP="00D67ED8">
            <w:pPr>
              <w:pStyle w:val="PastPerfTableHeadingCenter"/>
            </w:pPr>
            <w:r w:rsidRPr="009F2ABC">
              <w:t>Narrative:</w:t>
            </w:r>
          </w:p>
        </w:tc>
      </w:tr>
      <w:tr w:rsidR="00115250" w14:paraId="2C68B884" w14:textId="77777777" w:rsidTr="00471461">
        <w:tc>
          <w:tcPr>
            <w:tcW w:w="9576" w:type="dxa"/>
          </w:tcPr>
          <w:p w14:paraId="1765833F" w14:textId="77777777" w:rsidR="00115250" w:rsidRDefault="00115250" w:rsidP="00792036">
            <w:pPr>
              <w:pStyle w:val="PastPerfTableBody"/>
            </w:pPr>
          </w:p>
        </w:tc>
      </w:tr>
      <w:tr w:rsidR="00115250" w14:paraId="43529A0C" w14:textId="77777777" w:rsidTr="00F20E93">
        <w:tc>
          <w:tcPr>
            <w:tcW w:w="9576" w:type="dxa"/>
            <w:shd w:val="clear" w:color="auto" w:fill="595959" w:themeFill="text1" w:themeFillTint="A6"/>
          </w:tcPr>
          <w:p w14:paraId="487B755F" w14:textId="77777777" w:rsidR="00115250" w:rsidRDefault="00115250" w:rsidP="00D67ED8">
            <w:pPr>
              <w:pStyle w:val="PastPerfTableHeadingCenter"/>
            </w:pPr>
            <w:r w:rsidRPr="009F2ABC">
              <w:t>Solution Benefits:</w:t>
            </w:r>
          </w:p>
        </w:tc>
      </w:tr>
      <w:tr w:rsidR="00115250" w14:paraId="5B77B89A" w14:textId="77777777" w:rsidTr="00471461">
        <w:tc>
          <w:tcPr>
            <w:tcW w:w="9576" w:type="dxa"/>
          </w:tcPr>
          <w:p w14:paraId="52ECA4B6" w14:textId="77777777" w:rsidR="00115250" w:rsidRDefault="00115250" w:rsidP="00792036">
            <w:pPr>
              <w:pStyle w:val="PastPerfTableBody"/>
            </w:pPr>
          </w:p>
        </w:tc>
      </w:tr>
      <w:tr w:rsidR="00115250" w14:paraId="48855E75" w14:textId="77777777" w:rsidTr="00F20E93">
        <w:tc>
          <w:tcPr>
            <w:tcW w:w="9576" w:type="dxa"/>
            <w:shd w:val="clear" w:color="auto" w:fill="595959" w:themeFill="text1" w:themeFillTint="A6"/>
          </w:tcPr>
          <w:p w14:paraId="1AF1C7A9" w14:textId="77777777" w:rsidR="00115250" w:rsidRDefault="00115250" w:rsidP="00D67ED8">
            <w:pPr>
              <w:pStyle w:val="PastPerfTableHeadingCenter"/>
            </w:pPr>
            <w:r w:rsidRPr="009F2ABC">
              <w:t>Quality of Work Performed:</w:t>
            </w:r>
          </w:p>
        </w:tc>
      </w:tr>
      <w:tr w:rsidR="00115250" w14:paraId="0289F599" w14:textId="77777777" w:rsidTr="00471461">
        <w:tc>
          <w:tcPr>
            <w:tcW w:w="9576" w:type="dxa"/>
          </w:tcPr>
          <w:p w14:paraId="3F8593F5" w14:textId="77777777" w:rsidR="00115250" w:rsidRDefault="00115250" w:rsidP="00792036">
            <w:pPr>
              <w:pStyle w:val="PastPerfTableBody"/>
            </w:pPr>
          </w:p>
        </w:tc>
      </w:tr>
      <w:tr w:rsidR="00115250" w:rsidRPr="009F2ABC" w14:paraId="660A34BF" w14:textId="77777777" w:rsidTr="00F20E93">
        <w:tc>
          <w:tcPr>
            <w:tcW w:w="9576" w:type="dxa"/>
            <w:shd w:val="clear" w:color="auto" w:fill="595959" w:themeFill="text1" w:themeFillTint="A6"/>
          </w:tcPr>
          <w:p w14:paraId="019FAF06" w14:textId="77777777" w:rsidR="00115250" w:rsidRPr="009F2ABC" w:rsidRDefault="00115250" w:rsidP="00D67ED8">
            <w:pPr>
              <w:pStyle w:val="PastPerfTableHeadingCenter"/>
            </w:pPr>
            <w:r w:rsidRPr="009F2ABC">
              <w:t>Names of subcontractors used, if any, and description of extent of work performed:</w:t>
            </w:r>
          </w:p>
        </w:tc>
      </w:tr>
      <w:tr w:rsidR="00115250" w:rsidRPr="009F2ABC" w14:paraId="19488FCD" w14:textId="77777777" w:rsidTr="00471461">
        <w:tc>
          <w:tcPr>
            <w:tcW w:w="9576" w:type="dxa"/>
          </w:tcPr>
          <w:p w14:paraId="309683BC" w14:textId="77777777" w:rsidR="00115250" w:rsidRPr="009F2ABC" w:rsidRDefault="00115250" w:rsidP="00792036">
            <w:pPr>
              <w:pStyle w:val="PastPerfTableBody"/>
            </w:pPr>
          </w:p>
        </w:tc>
      </w:tr>
      <w:tr w:rsidR="00115250" w:rsidRPr="009F2ABC" w14:paraId="0B0223D2" w14:textId="77777777" w:rsidTr="00F20E93">
        <w:tc>
          <w:tcPr>
            <w:tcW w:w="9576" w:type="dxa"/>
            <w:shd w:val="clear" w:color="auto" w:fill="595959" w:themeFill="text1" w:themeFillTint="A6"/>
          </w:tcPr>
          <w:p w14:paraId="0FC17069" w14:textId="77777777" w:rsidR="00115250" w:rsidRPr="009F2ABC" w:rsidRDefault="00115250" w:rsidP="00D67ED8">
            <w:pPr>
              <w:pStyle w:val="PastPerfTableHeadingCenter"/>
            </w:pPr>
            <w:r w:rsidRPr="009F2ABC">
              <w:t>Number, type, and severity of any quality, delivery, or cost problems in performing the contract, the corrective action taken, and the effectiveness of the corrective action:</w:t>
            </w:r>
          </w:p>
        </w:tc>
      </w:tr>
      <w:tr w:rsidR="00115250" w:rsidRPr="009F2ABC" w14:paraId="5DDFED97" w14:textId="77777777" w:rsidTr="00471461">
        <w:tc>
          <w:tcPr>
            <w:tcW w:w="9576" w:type="dxa"/>
          </w:tcPr>
          <w:p w14:paraId="6C24E130" w14:textId="77777777" w:rsidR="00115250" w:rsidRPr="009F2ABC" w:rsidRDefault="00115250" w:rsidP="00792036">
            <w:pPr>
              <w:pStyle w:val="PastPerfTableBody"/>
            </w:pPr>
          </w:p>
        </w:tc>
      </w:tr>
    </w:tbl>
    <w:p w14:paraId="72AA9D22" w14:textId="77777777" w:rsidR="00C65700" w:rsidRDefault="00C65700" w:rsidP="00080556">
      <w:pPr>
        <w:pStyle w:val="ParagraphSpacer"/>
      </w:pPr>
    </w:p>
    <w:p w14:paraId="165B150B" w14:textId="77777777" w:rsidR="00115250" w:rsidRDefault="00115250">
      <w:pPr>
        <w:spacing w:line="24" w:lineRule="auto"/>
      </w:pPr>
      <w:r>
        <w:br w:type="page"/>
      </w:r>
    </w:p>
    <w:p w14:paraId="3F430BDB" w14:textId="77777777" w:rsidR="00115250" w:rsidRDefault="00115250">
      <w:pPr>
        <w:pStyle w:val="Heading1"/>
      </w:pPr>
      <w:bookmarkStart w:id="34" w:name="_Toc228252936"/>
      <w:r>
        <w:lastRenderedPageBreak/>
        <w:t xml:space="preserve">List of </w:t>
      </w:r>
      <w:r w:rsidRPr="00016650">
        <w:t>Acro</w:t>
      </w:r>
      <w:r w:rsidRPr="00992E65">
        <w:t>nym</w:t>
      </w:r>
      <w:r w:rsidRPr="00016650">
        <w:t>s</w:t>
      </w:r>
      <w:r>
        <w:t xml:space="preserve"> and Abbreviations</w:t>
      </w:r>
      <w:bookmarkEnd w:id="3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2316"/>
        <w:gridCol w:w="7034"/>
      </w:tblGrid>
      <w:tr w:rsidR="00115250" w14:paraId="010E5702" w14:textId="77777777" w:rsidTr="000273B8">
        <w:trPr>
          <w:tblHeader/>
        </w:trPr>
        <w:tc>
          <w:tcPr>
            <w:tcW w:w="2316" w:type="dxa"/>
            <w:tcBorders>
              <w:bottom w:val="single" w:sz="18" w:space="0" w:color="0070C0"/>
            </w:tcBorders>
            <w:shd w:val="clear" w:color="auto" w:fill="005587"/>
          </w:tcPr>
          <w:p w14:paraId="0A2AA7A1" w14:textId="77777777" w:rsidR="00115250" w:rsidRPr="008B5DC2" w:rsidRDefault="00115250">
            <w:pPr>
              <w:pStyle w:val="TableHeading"/>
            </w:pPr>
            <w:r>
              <w:t>Acronym</w:t>
            </w:r>
          </w:p>
        </w:tc>
        <w:tc>
          <w:tcPr>
            <w:tcW w:w="7034" w:type="dxa"/>
            <w:tcBorders>
              <w:bottom w:val="single" w:sz="18" w:space="0" w:color="0070C0"/>
            </w:tcBorders>
            <w:shd w:val="clear" w:color="auto" w:fill="005587"/>
          </w:tcPr>
          <w:p w14:paraId="216D8184" w14:textId="77777777" w:rsidR="00115250" w:rsidRPr="008B5DC2" w:rsidRDefault="00115250">
            <w:pPr>
              <w:pStyle w:val="TableHeading"/>
            </w:pPr>
            <w:r>
              <w:t>Definition</w:t>
            </w:r>
          </w:p>
        </w:tc>
      </w:tr>
      <w:tr w:rsidR="00115250" w14:paraId="5C8AFD65" w14:textId="77777777" w:rsidTr="0013314E">
        <w:tc>
          <w:tcPr>
            <w:tcW w:w="2358" w:type="dxa"/>
            <w:tcBorders>
              <w:top w:val="single" w:sz="18" w:space="0" w:color="0070C0"/>
            </w:tcBorders>
          </w:tcPr>
          <w:p w14:paraId="1E2CA818" w14:textId="77777777" w:rsidR="00115250" w:rsidRPr="008B5DC2" w:rsidRDefault="00115250">
            <w:pPr>
              <w:pStyle w:val="TableRowHeading"/>
            </w:pPr>
          </w:p>
        </w:tc>
        <w:tc>
          <w:tcPr>
            <w:tcW w:w="7218" w:type="dxa"/>
            <w:tcBorders>
              <w:top w:val="single" w:sz="18" w:space="0" w:color="0070C0"/>
            </w:tcBorders>
          </w:tcPr>
          <w:p w14:paraId="32395552" w14:textId="77777777" w:rsidR="00115250" w:rsidRPr="008B5DC2" w:rsidRDefault="00115250">
            <w:pPr>
              <w:pStyle w:val="TableBody"/>
            </w:pPr>
          </w:p>
        </w:tc>
      </w:tr>
      <w:tr w:rsidR="00115250" w14:paraId="1EEF6F3F" w14:textId="77777777" w:rsidTr="00992E65">
        <w:tc>
          <w:tcPr>
            <w:tcW w:w="2358" w:type="dxa"/>
          </w:tcPr>
          <w:p w14:paraId="5B2802A4" w14:textId="77777777" w:rsidR="00115250" w:rsidRPr="008B5DC2" w:rsidRDefault="00115250">
            <w:pPr>
              <w:pStyle w:val="TableRowHeading"/>
            </w:pPr>
          </w:p>
        </w:tc>
        <w:tc>
          <w:tcPr>
            <w:tcW w:w="7218" w:type="dxa"/>
          </w:tcPr>
          <w:p w14:paraId="28FA21CD" w14:textId="77777777" w:rsidR="00115250" w:rsidRPr="008B5DC2" w:rsidRDefault="00115250">
            <w:pPr>
              <w:pStyle w:val="TableBody"/>
            </w:pPr>
          </w:p>
        </w:tc>
      </w:tr>
      <w:tr w:rsidR="00115250" w14:paraId="742B7160" w14:textId="77777777" w:rsidTr="00992E65">
        <w:tc>
          <w:tcPr>
            <w:tcW w:w="2358" w:type="dxa"/>
          </w:tcPr>
          <w:p w14:paraId="628B7916" w14:textId="77777777" w:rsidR="00115250" w:rsidRPr="008B5DC2" w:rsidRDefault="00115250">
            <w:pPr>
              <w:pStyle w:val="TableRowHeading"/>
            </w:pPr>
          </w:p>
        </w:tc>
        <w:tc>
          <w:tcPr>
            <w:tcW w:w="7218" w:type="dxa"/>
          </w:tcPr>
          <w:p w14:paraId="1BB1197C" w14:textId="77777777" w:rsidR="00115250" w:rsidRPr="008B5DC2" w:rsidRDefault="00115250">
            <w:pPr>
              <w:pStyle w:val="TableBody"/>
            </w:pPr>
          </w:p>
        </w:tc>
      </w:tr>
      <w:tr w:rsidR="00115250" w14:paraId="438AA4D2" w14:textId="77777777" w:rsidTr="00992E65">
        <w:tc>
          <w:tcPr>
            <w:tcW w:w="2358" w:type="dxa"/>
          </w:tcPr>
          <w:p w14:paraId="41A96D15" w14:textId="77777777" w:rsidR="00115250" w:rsidRPr="008B5DC2" w:rsidRDefault="00115250">
            <w:pPr>
              <w:pStyle w:val="TableRowHeading"/>
            </w:pPr>
          </w:p>
        </w:tc>
        <w:tc>
          <w:tcPr>
            <w:tcW w:w="7218" w:type="dxa"/>
          </w:tcPr>
          <w:p w14:paraId="1BCA8630" w14:textId="77777777" w:rsidR="00115250" w:rsidRPr="008B5DC2" w:rsidRDefault="00115250">
            <w:pPr>
              <w:pStyle w:val="TableBody"/>
            </w:pPr>
          </w:p>
        </w:tc>
      </w:tr>
      <w:tr w:rsidR="00115250" w14:paraId="0DC5CAA3" w14:textId="77777777" w:rsidTr="00992E65">
        <w:tc>
          <w:tcPr>
            <w:tcW w:w="2358" w:type="dxa"/>
          </w:tcPr>
          <w:p w14:paraId="38E1EDC6" w14:textId="77777777" w:rsidR="00115250" w:rsidRPr="008B5DC2" w:rsidRDefault="00115250">
            <w:pPr>
              <w:pStyle w:val="TableRowHeading"/>
            </w:pPr>
          </w:p>
        </w:tc>
        <w:tc>
          <w:tcPr>
            <w:tcW w:w="7218" w:type="dxa"/>
          </w:tcPr>
          <w:p w14:paraId="4E6B8478" w14:textId="77777777" w:rsidR="00115250" w:rsidRPr="008B5DC2" w:rsidRDefault="00115250">
            <w:pPr>
              <w:pStyle w:val="TableBody"/>
            </w:pPr>
          </w:p>
        </w:tc>
      </w:tr>
      <w:tr w:rsidR="00115250" w14:paraId="0FAAE617" w14:textId="77777777" w:rsidTr="00992E65">
        <w:tc>
          <w:tcPr>
            <w:tcW w:w="2358" w:type="dxa"/>
          </w:tcPr>
          <w:p w14:paraId="77FB76EC" w14:textId="77777777" w:rsidR="00115250" w:rsidRPr="008B5DC2" w:rsidRDefault="00115250">
            <w:pPr>
              <w:pStyle w:val="TableRowHeading"/>
            </w:pPr>
          </w:p>
        </w:tc>
        <w:tc>
          <w:tcPr>
            <w:tcW w:w="7218" w:type="dxa"/>
          </w:tcPr>
          <w:p w14:paraId="050E4648" w14:textId="77777777" w:rsidR="00115250" w:rsidRPr="008B5DC2" w:rsidRDefault="00115250">
            <w:pPr>
              <w:pStyle w:val="TableBody"/>
            </w:pPr>
          </w:p>
        </w:tc>
      </w:tr>
      <w:tr w:rsidR="00115250" w14:paraId="071136C3" w14:textId="77777777" w:rsidTr="00992E65">
        <w:tc>
          <w:tcPr>
            <w:tcW w:w="2358" w:type="dxa"/>
          </w:tcPr>
          <w:p w14:paraId="2A49C118" w14:textId="77777777" w:rsidR="00115250" w:rsidRPr="008B5DC2" w:rsidRDefault="00115250">
            <w:pPr>
              <w:pStyle w:val="TableRowHeading"/>
            </w:pPr>
          </w:p>
        </w:tc>
        <w:tc>
          <w:tcPr>
            <w:tcW w:w="7218" w:type="dxa"/>
          </w:tcPr>
          <w:p w14:paraId="6A818D28" w14:textId="77777777" w:rsidR="00115250" w:rsidRPr="008B5DC2" w:rsidRDefault="00115250">
            <w:pPr>
              <w:pStyle w:val="TableBody"/>
            </w:pPr>
          </w:p>
        </w:tc>
      </w:tr>
      <w:tr w:rsidR="00115250" w14:paraId="02221FA4" w14:textId="77777777" w:rsidTr="00992E65">
        <w:tc>
          <w:tcPr>
            <w:tcW w:w="2358" w:type="dxa"/>
          </w:tcPr>
          <w:p w14:paraId="3A6E9AA7" w14:textId="77777777" w:rsidR="00115250" w:rsidRPr="008B5DC2" w:rsidRDefault="00115250">
            <w:pPr>
              <w:pStyle w:val="TableRowHeading"/>
            </w:pPr>
          </w:p>
        </w:tc>
        <w:tc>
          <w:tcPr>
            <w:tcW w:w="7218" w:type="dxa"/>
          </w:tcPr>
          <w:p w14:paraId="402FBAE8" w14:textId="77777777" w:rsidR="00115250" w:rsidRPr="008B5DC2" w:rsidRDefault="00115250">
            <w:pPr>
              <w:pStyle w:val="TableBody"/>
            </w:pPr>
          </w:p>
        </w:tc>
      </w:tr>
      <w:tr w:rsidR="00115250" w14:paraId="5E688E99" w14:textId="77777777" w:rsidTr="00992E65">
        <w:tc>
          <w:tcPr>
            <w:tcW w:w="2358" w:type="dxa"/>
          </w:tcPr>
          <w:p w14:paraId="72248362" w14:textId="77777777" w:rsidR="00115250" w:rsidRPr="008B5DC2" w:rsidRDefault="00115250">
            <w:pPr>
              <w:pStyle w:val="TableRowHeading"/>
            </w:pPr>
          </w:p>
        </w:tc>
        <w:tc>
          <w:tcPr>
            <w:tcW w:w="7218" w:type="dxa"/>
          </w:tcPr>
          <w:p w14:paraId="7DD13844" w14:textId="77777777" w:rsidR="00115250" w:rsidRPr="008B5DC2" w:rsidRDefault="00115250">
            <w:pPr>
              <w:pStyle w:val="TableBody"/>
            </w:pPr>
          </w:p>
        </w:tc>
      </w:tr>
      <w:tr w:rsidR="00115250" w14:paraId="79536194" w14:textId="77777777" w:rsidTr="00992E65">
        <w:tc>
          <w:tcPr>
            <w:tcW w:w="2358" w:type="dxa"/>
          </w:tcPr>
          <w:p w14:paraId="6C337432" w14:textId="77777777" w:rsidR="00115250" w:rsidRPr="008B5DC2" w:rsidRDefault="00115250">
            <w:pPr>
              <w:pStyle w:val="TableRowHeading"/>
            </w:pPr>
          </w:p>
        </w:tc>
        <w:tc>
          <w:tcPr>
            <w:tcW w:w="7218" w:type="dxa"/>
          </w:tcPr>
          <w:p w14:paraId="0CFDA298" w14:textId="77777777" w:rsidR="00115250" w:rsidRPr="008B5DC2" w:rsidRDefault="00115250">
            <w:pPr>
              <w:pStyle w:val="TableBody"/>
            </w:pPr>
          </w:p>
        </w:tc>
      </w:tr>
      <w:tr w:rsidR="00115250" w14:paraId="2CFA95B2" w14:textId="77777777" w:rsidTr="00992E65">
        <w:tc>
          <w:tcPr>
            <w:tcW w:w="2358" w:type="dxa"/>
          </w:tcPr>
          <w:p w14:paraId="0ED36C18" w14:textId="77777777" w:rsidR="00115250" w:rsidRPr="008B5DC2" w:rsidRDefault="00115250">
            <w:pPr>
              <w:pStyle w:val="TableRowHeading"/>
            </w:pPr>
          </w:p>
        </w:tc>
        <w:tc>
          <w:tcPr>
            <w:tcW w:w="7218" w:type="dxa"/>
          </w:tcPr>
          <w:p w14:paraId="5FE69BF9" w14:textId="77777777" w:rsidR="00115250" w:rsidRPr="008B5DC2" w:rsidRDefault="00115250">
            <w:pPr>
              <w:pStyle w:val="TableBody"/>
            </w:pPr>
          </w:p>
        </w:tc>
      </w:tr>
      <w:tr w:rsidR="00115250" w14:paraId="5173B6EF" w14:textId="77777777" w:rsidTr="00992E65">
        <w:tc>
          <w:tcPr>
            <w:tcW w:w="2358" w:type="dxa"/>
          </w:tcPr>
          <w:p w14:paraId="244D9945" w14:textId="77777777" w:rsidR="00115250" w:rsidRPr="008B5DC2" w:rsidRDefault="00115250">
            <w:pPr>
              <w:pStyle w:val="TableRowHeading"/>
            </w:pPr>
          </w:p>
        </w:tc>
        <w:tc>
          <w:tcPr>
            <w:tcW w:w="7218" w:type="dxa"/>
          </w:tcPr>
          <w:p w14:paraId="4FFDAA1B" w14:textId="77777777" w:rsidR="00115250" w:rsidRPr="008B5DC2" w:rsidRDefault="00115250">
            <w:pPr>
              <w:pStyle w:val="TableBody"/>
            </w:pPr>
          </w:p>
        </w:tc>
      </w:tr>
      <w:tr w:rsidR="00115250" w14:paraId="5F0B1B35" w14:textId="77777777" w:rsidTr="00992E65">
        <w:tc>
          <w:tcPr>
            <w:tcW w:w="2358" w:type="dxa"/>
          </w:tcPr>
          <w:p w14:paraId="5F3DC298" w14:textId="77777777" w:rsidR="00115250" w:rsidRPr="008B5DC2" w:rsidRDefault="00115250">
            <w:pPr>
              <w:pStyle w:val="TableRowHeading"/>
            </w:pPr>
          </w:p>
        </w:tc>
        <w:tc>
          <w:tcPr>
            <w:tcW w:w="7218" w:type="dxa"/>
          </w:tcPr>
          <w:p w14:paraId="5F5F1DE7" w14:textId="77777777" w:rsidR="00115250" w:rsidRPr="008B5DC2" w:rsidRDefault="00115250">
            <w:pPr>
              <w:pStyle w:val="TableBody"/>
            </w:pPr>
          </w:p>
        </w:tc>
      </w:tr>
      <w:tr w:rsidR="00115250" w14:paraId="0E1C66F8" w14:textId="77777777" w:rsidTr="00992E65">
        <w:tc>
          <w:tcPr>
            <w:tcW w:w="2358" w:type="dxa"/>
          </w:tcPr>
          <w:p w14:paraId="481F967F" w14:textId="77777777" w:rsidR="00115250" w:rsidRPr="008B5DC2" w:rsidRDefault="00115250">
            <w:pPr>
              <w:pStyle w:val="TableRowHeading"/>
            </w:pPr>
          </w:p>
        </w:tc>
        <w:tc>
          <w:tcPr>
            <w:tcW w:w="7218" w:type="dxa"/>
          </w:tcPr>
          <w:p w14:paraId="7EDD6298" w14:textId="77777777" w:rsidR="00115250" w:rsidRPr="008B5DC2" w:rsidRDefault="00115250">
            <w:pPr>
              <w:pStyle w:val="TableBody"/>
            </w:pPr>
          </w:p>
        </w:tc>
      </w:tr>
      <w:tr w:rsidR="00115250" w14:paraId="07311B9C" w14:textId="77777777" w:rsidTr="00992E65">
        <w:tc>
          <w:tcPr>
            <w:tcW w:w="2358" w:type="dxa"/>
          </w:tcPr>
          <w:p w14:paraId="72A6F469" w14:textId="77777777" w:rsidR="00115250" w:rsidRPr="008B5DC2" w:rsidRDefault="00115250">
            <w:pPr>
              <w:pStyle w:val="TableRowHeading"/>
            </w:pPr>
          </w:p>
        </w:tc>
        <w:tc>
          <w:tcPr>
            <w:tcW w:w="7218" w:type="dxa"/>
          </w:tcPr>
          <w:p w14:paraId="09FB4274" w14:textId="77777777" w:rsidR="00115250" w:rsidRPr="008B5DC2" w:rsidRDefault="00115250">
            <w:pPr>
              <w:pStyle w:val="TableBody"/>
            </w:pPr>
          </w:p>
        </w:tc>
      </w:tr>
      <w:tr w:rsidR="00115250" w14:paraId="25421A22" w14:textId="77777777" w:rsidTr="00992E65">
        <w:tc>
          <w:tcPr>
            <w:tcW w:w="2358" w:type="dxa"/>
          </w:tcPr>
          <w:p w14:paraId="01FCDD62" w14:textId="77777777" w:rsidR="00115250" w:rsidRPr="008B5DC2" w:rsidRDefault="00115250">
            <w:pPr>
              <w:pStyle w:val="TableRowHeading"/>
            </w:pPr>
          </w:p>
        </w:tc>
        <w:tc>
          <w:tcPr>
            <w:tcW w:w="7218" w:type="dxa"/>
          </w:tcPr>
          <w:p w14:paraId="5CC5A46F" w14:textId="77777777" w:rsidR="00115250" w:rsidRPr="008B5DC2" w:rsidRDefault="00115250">
            <w:pPr>
              <w:pStyle w:val="TableBody"/>
            </w:pPr>
          </w:p>
        </w:tc>
      </w:tr>
      <w:tr w:rsidR="00115250" w14:paraId="6CCD03E5" w14:textId="77777777" w:rsidTr="00992E65">
        <w:tc>
          <w:tcPr>
            <w:tcW w:w="2358" w:type="dxa"/>
          </w:tcPr>
          <w:p w14:paraId="73F152BB" w14:textId="77777777" w:rsidR="00115250" w:rsidRPr="008B5DC2" w:rsidRDefault="00115250">
            <w:pPr>
              <w:pStyle w:val="TableRowHeading"/>
            </w:pPr>
          </w:p>
        </w:tc>
        <w:tc>
          <w:tcPr>
            <w:tcW w:w="7218" w:type="dxa"/>
          </w:tcPr>
          <w:p w14:paraId="0BFFBB9C" w14:textId="77777777" w:rsidR="00115250" w:rsidRPr="008B5DC2" w:rsidRDefault="00115250">
            <w:pPr>
              <w:pStyle w:val="TableBody"/>
            </w:pPr>
          </w:p>
        </w:tc>
      </w:tr>
      <w:tr w:rsidR="00115250" w14:paraId="21F11D5F" w14:textId="77777777" w:rsidTr="00992E65">
        <w:tc>
          <w:tcPr>
            <w:tcW w:w="2358" w:type="dxa"/>
          </w:tcPr>
          <w:p w14:paraId="101B5930" w14:textId="77777777" w:rsidR="00115250" w:rsidRPr="008B5DC2" w:rsidRDefault="00115250">
            <w:pPr>
              <w:pStyle w:val="TableRowHeading"/>
            </w:pPr>
          </w:p>
        </w:tc>
        <w:tc>
          <w:tcPr>
            <w:tcW w:w="7218" w:type="dxa"/>
          </w:tcPr>
          <w:p w14:paraId="0439369F" w14:textId="77777777" w:rsidR="00115250" w:rsidRPr="008B5DC2" w:rsidRDefault="00115250">
            <w:pPr>
              <w:pStyle w:val="TableBody"/>
            </w:pPr>
          </w:p>
        </w:tc>
      </w:tr>
      <w:tr w:rsidR="00115250" w14:paraId="17F4B881" w14:textId="77777777" w:rsidTr="00992E65">
        <w:tc>
          <w:tcPr>
            <w:tcW w:w="2358" w:type="dxa"/>
          </w:tcPr>
          <w:p w14:paraId="3A009469" w14:textId="77777777" w:rsidR="00115250" w:rsidRPr="008B5DC2" w:rsidRDefault="00115250">
            <w:pPr>
              <w:pStyle w:val="TableRowHeading"/>
            </w:pPr>
          </w:p>
        </w:tc>
        <w:tc>
          <w:tcPr>
            <w:tcW w:w="7218" w:type="dxa"/>
          </w:tcPr>
          <w:p w14:paraId="434A6440" w14:textId="77777777" w:rsidR="00115250" w:rsidRPr="008B5DC2" w:rsidRDefault="00115250">
            <w:pPr>
              <w:pStyle w:val="TableBody"/>
            </w:pPr>
          </w:p>
        </w:tc>
      </w:tr>
      <w:tr w:rsidR="00115250" w14:paraId="63CF6AFC" w14:textId="77777777" w:rsidTr="00992E65">
        <w:tc>
          <w:tcPr>
            <w:tcW w:w="2358" w:type="dxa"/>
          </w:tcPr>
          <w:p w14:paraId="2256EAC2" w14:textId="77777777" w:rsidR="00115250" w:rsidRPr="008B5DC2" w:rsidRDefault="00115250">
            <w:pPr>
              <w:pStyle w:val="TableRowHeading"/>
            </w:pPr>
          </w:p>
        </w:tc>
        <w:tc>
          <w:tcPr>
            <w:tcW w:w="7218" w:type="dxa"/>
          </w:tcPr>
          <w:p w14:paraId="7B78C94C" w14:textId="77777777" w:rsidR="00115250" w:rsidRPr="008B5DC2" w:rsidRDefault="00115250">
            <w:pPr>
              <w:pStyle w:val="TableBody"/>
            </w:pPr>
          </w:p>
        </w:tc>
      </w:tr>
      <w:tr w:rsidR="00115250" w14:paraId="5631DD8B" w14:textId="77777777" w:rsidTr="00992E65">
        <w:tc>
          <w:tcPr>
            <w:tcW w:w="2358" w:type="dxa"/>
          </w:tcPr>
          <w:p w14:paraId="2748217C" w14:textId="77777777" w:rsidR="00115250" w:rsidRPr="008B5DC2" w:rsidRDefault="00115250">
            <w:pPr>
              <w:pStyle w:val="TableRowHeading"/>
            </w:pPr>
          </w:p>
        </w:tc>
        <w:tc>
          <w:tcPr>
            <w:tcW w:w="7218" w:type="dxa"/>
          </w:tcPr>
          <w:p w14:paraId="15396705" w14:textId="77777777" w:rsidR="00115250" w:rsidRPr="008B5DC2" w:rsidRDefault="00115250">
            <w:pPr>
              <w:pStyle w:val="TableBody"/>
            </w:pPr>
          </w:p>
        </w:tc>
      </w:tr>
      <w:tr w:rsidR="00115250" w14:paraId="15A7090A" w14:textId="77777777" w:rsidTr="00992E65">
        <w:tc>
          <w:tcPr>
            <w:tcW w:w="2358" w:type="dxa"/>
          </w:tcPr>
          <w:p w14:paraId="520CF636" w14:textId="77777777" w:rsidR="00115250" w:rsidRPr="008B5DC2" w:rsidRDefault="00115250">
            <w:pPr>
              <w:pStyle w:val="TableRowHeading"/>
            </w:pPr>
          </w:p>
        </w:tc>
        <w:tc>
          <w:tcPr>
            <w:tcW w:w="7218" w:type="dxa"/>
          </w:tcPr>
          <w:p w14:paraId="564E51DA" w14:textId="77777777" w:rsidR="00115250" w:rsidRPr="008B5DC2" w:rsidRDefault="00115250">
            <w:pPr>
              <w:pStyle w:val="TableBody"/>
            </w:pPr>
          </w:p>
        </w:tc>
      </w:tr>
      <w:tr w:rsidR="00115250" w14:paraId="0D762C07" w14:textId="77777777" w:rsidTr="00992E65">
        <w:tc>
          <w:tcPr>
            <w:tcW w:w="2358" w:type="dxa"/>
          </w:tcPr>
          <w:p w14:paraId="44128D3D" w14:textId="77777777" w:rsidR="00115250" w:rsidRPr="008B5DC2" w:rsidRDefault="00115250">
            <w:pPr>
              <w:pStyle w:val="TableRowHeading"/>
            </w:pPr>
          </w:p>
        </w:tc>
        <w:tc>
          <w:tcPr>
            <w:tcW w:w="7218" w:type="dxa"/>
          </w:tcPr>
          <w:p w14:paraId="16C13760" w14:textId="77777777" w:rsidR="00115250" w:rsidRPr="008B5DC2" w:rsidRDefault="00115250">
            <w:pPr>
              <w:pStyle w:val="TableBody"/>
            </w:pPr>
          </w:p>
        </w:tc>
      </w:tr>
      <w:tr w:rsidR="00115250" w14:paraId="72576A8A" w14:textId="77777777" w:rsidTr="00992E65">
        <w:tc>
          <w:tcPr>
            <w:tcW w:w="2358" w:type="dxa"/>
          </w:tcPr>
          <w:p w14:paraId="0983CD55" w14:textId="77777777" w:rsidR="00115250" w:rsidRPr="008B5DC2" w:rsidRDefault="00115250">
            <w:pPr>
              <w:pStyle w:val="TableRowHeading"/>
            </w:pPr>
          </w:p>
        </w:tc>
        <w:tc>
          <w:tcPr>
            <w:tcW w:w="7218" w:type="dxa"/>
          </w:tcPr>
          <w:p w14:paraId="2068DF9E" w14:textId="77777777" w:rsidR="00115250" w:rsidRPr="008B5DC2" w:rsidRDefault="00115250">
            <w:pPr>
              <w:pStyle w:val="TableBody"/>
            </w:pPr>
          </w:p>
        </w:tc>
      </w:tr>
      <w:tr w:rsidR="00115250" w14:paraId="4F13F0E4" w14:textId="77777777" w:rsidTr="00992E65">
        <w:tc>
          <w:tcPr>
            <w:tcW w:w="2358" w:type="dxa"/>
          </w:tcPr>
          <w:p w14:paraId="1E9F2E8A" w14:textId="77777777" w:rsidR="00115250" w:rsidRPr="008B5DC2" w:rsidRDefault="00115250">
            <w:pPr>
              <w:pStyle w:val="TableRowHeading"/>
            </w:pPr>
          </w:p>
        </w:tc>
        <w:tc>
          <w:tcPr>
            <w:tcW w:w="7218" w:type="dxa"/>
          </w:tcPr>
          <w:p w14:paraId="5BC92817" w14:textId="77777777" w:rsidR="00115250" w:rsidRPr="008B5DC2" w:rsidRDefault="00115250">
            <w:pPr>
              <w:pStyle w:val="TableBody"/>
            </w:pPr>
          </w:p>
        </w:tc>
      </w:tr>
      <w:tr w:rsidR="00115250" w14:paraId="0BB96E3D" w14:textId="77777777" w:rsidTr="00992E65">
        <w:tc>
          <w:tcPr>
            <w:tcW w:w="2358" w:type="dxa"/>
          </w:tcPr>
          <w:p w14:paraId="4B0D424E" w14:textId="77777777" w:rsidR="00115250" w:rsidRPr="008B5DC2" w:rsidRDefault="00115250">
            <w:pPr>
              <w:pStyle w:val="TableRowHeading"/>
            </w:pPr>
          </w:p>
        </w:tc>
        <w:tc>
          <w:tcPr>
            <w:tcW w:w="7218" w:type="dxa"/>
          </w:tcPr>
          <w:p w14:paraId="56B57E41" w14:textId="77777777" w:rsidR="00115250" w:rsidRPr="008B5DC2" w:rsidRDefault="00115250">
            <w:pPr>
              <w:pStyle w:val="TableBody"/>
            </w:pPr>
          </w:p>
        </w:tc>
      </w:tr>
      <w:tr w:rsidR="00115250" w14:paraId="3B30DC49" w14:textId="77777777" w:rsidTr="00992E65">
        <w:tc>
          <w:tcPr>
            <w:tcW w:w="2358" w:type="dxa"/>
          </w:tcPr>
          <w:p w14:paraId="63C6DFD7" w14:textId="77777777" w:rsidR="00115250" w:rsidRPr="008B5DC2" w:rsidRDefault="00115250">
            <w:pPr>
              <w:pStyle w:val="TableRowHeading"/>
            </w:pPr>
          </w:p>
        </w:tc>
        <w:tc>
          <w:tcPr>
            <w:tcW w:w="7218" w:type="dxa"/>
          </w:tcPr>
          <w:p w14:paraId="5F863875" w14:textId="77777777" w:rsidR="00115250" w:rsidRPr="008B5DC2" w:rsidRDefault="00115250">
            <w:pPr>
              <w:pStyle w:val="TableBody"/>
            </w:pPr>
          </w:p>
        </w:tc>
      </w:tr>
      <w:tr w:rsidR="00115250" w14:paraId="1C478B2D" w14:textId="77777777" w:rsidTr="00992E65">
        <w:tc>
          <w:tcPr>
            <w:tcW w:w="2358" w:type="dxa"/>
          </w:tcPr>
          <w:p w14:paraId="5C7FB90E" w14:textId="77777777" w:rsidR="00115250" w:rsidRPr="008B5DC2" w:rsidRDefault="00115250">
            <w:pPr>
              <w:pStyle w:val="TableRowHeading"/>
            </w:pPr>
          </w:p>
        </w:tc>
        <w:tc>
          <w:tcPr>
            <w:tcW w:w="7218" w:type="dxa"/>
          </w:tcPr>
          <w:p w14:paraId="2AEB3471" w14:textId="77777777" w:rsidR="00115250" w:rsidRPr="008B5DC2" w:rsidRDefault="00115250">
            <w:pPr>
              <w:pStyle w:val="TableBody"/>
            </w:pPr>
          </w:p>
        </w:tc>
      </w:tr>
      <w:tr w:rsidR="00115250" w14:paraId="466CC0E2" w14:textId="77777777" w:rsidTr="00992E65">
        <w:tc>
          <w:tcPr>
            <w:tcW w:w="2358" w:type="dxa"/>
          </w:tcPr>
          <w:p w14:paraId="7FB2F2B1" w14:textId="77777777" w:rsidR="00115250" w:rsidRPr="008B5DC2" w:rsidRDefault="00115250">
            <w:pPr>
              <w:pStyle w:val="TableRowHeading"/>
            </w:pPr>
          </w:p>
        </w:tc>
        <w:tc>
          <w:tcPr>
            <w:tcW w:w="7218" w:type="dxa"/>
          </w:tcPr>
          <w:p w14:paraId="0F157D18" w14:textId="77777777" w:rsidR="00115250" w:rsidRPr="008B5DC2" w:rsidRDefault="00115250">
            <w:pPr>
              <w:pStyle w:val="TableBody"/>
            </w:pPr>
          </w:p>
        </w:tc>
      </w:tr>
      <w:tr w:rsidR="00115250" w14:paraId="5692B535" w14:textId="77777777" w:rsidTr="00992E65">
        <w:tc>
          <w:tcPr>
            <w:tcW w:w="2358" w:type="dxa"/>
          </w:tcPr>
          <w:p w14:paraId="55307CA9" w14:textId="77777777" w:rsidR="00115250" w:rsidRPr="008B5DC2" w:rsidRDefault="00115250">
            <w:pPr>
              <w:pStyle w:val="TableRowHeading"/>
            </w:pPr>
          </w:p>
        </w:tc>
        <w:tc>
          <w:tcPr>
            <w:tcW w:w="7218" w:type="dxa"/>
          </w:tcPr>
          <w:p w14:paraId="402B4213" w14:textId="77777777" w:rsidR="00115250" w:rsidRPr="008B5DC2" w:rsidRDefault="00115250">
            <w:pPr>
              <w:pStyle w:val="TableBody"/>
            </w:pPr>
          </w:p>
        </w:tc>
      </w:tr>
      <w:tr w:rsidR="00115250" w14:paraId="5B487239" w14:textId="77777777" w:rsidTr="00992E65">
        <w:tc>
          <w:tcPr>
            <w:tcW w:w="2358" w:type="dxa"/>
          </w:tcPr>
          <w:p w14:paraId="553E9815" w14:textId="77777777" w:rsidR="00115250" w:rsidRPr="008B5DC2" w:rsidRDefault="00115250">
            <w:pPr>
              <w:pStyle w:val="TableRowHeading"/>
            </w:pPr>
          </w:p>
        </w:tc>
        <w:tc>
          <w:tcPr>
            <w:tcW w:w="7218" w:type="dxa"/>
          </w:tcPr>
          <w:p w14:paraId="5D5D31B2" w14:textId="77777777" w:rsidR="00115250" w:rsidRPr="008B5DC2" w:rsidRDefault="00115250">
            <w:pPr>
              <w:pStyle w:val="TableBody"/>
            </w:pPr>
          </w:p>
        </w:tc>
      </w:tr>
      <w:tr w:rsidR="00115250" w14:paraId="475F1841" w14:textId="77777777" w:rsidTr="00992E65">
        <w:tc>
          <w:tcPr>
            <w:tcW w:w="2358" w:type="dxa"/>
          </w:tcPr>
          <w:p w14:paraId="0552D884" w14:textId="77777777" w:rsidR="00115250" w:rsidRPr="008B5DC2" w:rsidRDefault="00115250">
            <w:pPr>
              <w:pStyle w:val="TableRowHeading"/>
            </w:pPr>
          </w:p>
        </w:tc>
        <w:tc>
          <w:tcPr>
            <w:tcW w:w="7218" w:type="dxa"/>
          </w:tcPr>
          <w:p w14:paraId="5648F154" w14:textId="77777777" w:rsidR="00115250" w:rsidRPr="008B5DC2" w:rsidRDefault="00115250">
            <w:pPr>
              <w:pStyle w:val="TableBody"/>
            </w:pPr>
          </w:p>
        </w:tc>
      </w:tr>
      <w:tr w:rsidR="00115250" w14:paraId="26FCBF2C" w14:textId="77777777" w:rsidTr="00992E65">
        <w:tc>
          <w:tcPr>
            <w:tcW w:w="2316" w:type="dxa"/>
          </w:tcPr>
          <w:p w14:paraId="26324F4E" w14:textId="77777777" w:rsidR="00115250" w:rsidRPr="008B5DC2" w:rsidRDefault="00115250">
            <w:pPr>
              <w:pStyle w:val="TableRowHeading"/>
            </w:pPr>
          </w:p>
        </w:tc>
        <w:tc>
          <w:tcPr>
            <w:tcW w:w="7034" w:type="dxa"/>
          </w:tcPr>
          <w:p w14:paraId="73192711" w14:textId="77777777" w:rsidR="00115250" w:rsidRPr="008B5DC2" w:rsidRDefault="00115250">
            <w:pPr>
              <w:pStyle w:val="TableBody"/>
            </w:pPr>
          </w:p>
        </w:tc>
      </w:tr>
      <w:tr w:rsidR="00115250" w14:paraId="7E9A9778" w14:textId="77777777" w:rsidTr="00992E65">
        <w:tc>
          <w:tcPr>
            <w:tcW w:w="2316" w:type="dxa"/>
          </w:tcPr>
          <w:p w14:paraId="493EC889" w14:textId="77777777" w:rsidR="00115250" w:rsidRPr="008B5DC2" w:rsidRDefault="00115250">
            <w:pPr>
              <w:pStyle w:val="TableRowHeading"/>
            </w:pPr>
          </w:p>
        </w:tc>
        <w:tc>
          <w:tcPr>
            <w:tcW w:w="7034" w:type="dxa"/>
          </w:tcPr>
          <w:p w14:paraId="08A0098A" w14:textId="77777777" w:rsidR="00115250" w:rsidRPr="008B5DC2" w:rsidRDefault="00115250">
            <w:pPr>
              <w:pStyle w:val="TableBody"/>
            </w:pPr>
          </w:p>
        </w:tc>
      </w:tr>
      <w:tr w:rsidR="00115250" w14:paraId="29B913B1" w14:textId="77777777" w:rsidTr="00992E65">
        <w:tc>
          <w:tcPr>
            <w:tcW w:w="2316" w:type="dxa"/>
          </w:tcPr>
          <w:p w14:paraId="0BB1DA79" w14:textId="77777777" w:rsidR="00115250" w:rsidRPr="008B5DC2" w:rsidRDefault="00115250">
            <w:pPr>
              <w:pStyle w:val="TableRowHeading"/>
            </w:pPr>
          </w:p>
        </w:tc>
        <w:tc>
          <w:tcPr>
            <w:tcW w:w="7034" w:type="dxa"/>
          </w:tcPr>
          <w:p w14:paraId="4116FB72" w14:textId="77777777" w:rsidR="00115250" w:rsidRPr="008B5DC2" w:rsidRDefault="00115250">
            <w:pPr>
              <w:pStyle w:val="TableBody"/>
            </w:pPr>
          </w:p>
        </w:tc>
      </w:tr>
    </w:tbl>
    <w:p w14:paraId="3C352785" w14:textId="77777777" w:rsidR="00115250" w:rsidRDefault="00115250">
      <w:pPr>
        <w:pStyle w:val="ParagraphSpacer"/>
      </w:pPr>
    </w:p>
    <w:p w14:paraId="5E39F853" w14:textId="77777777" w:rsidR="00024A9E" w:rsidRDefault="00115250">
      <w:pPr>
        <w:spacing w:line="24" w:lineRule="auto"/>
      </w:pPr>
      <w:r>
        <w:br w:type="page"/>
      </w:r>
    </w:p>
    <w:p w14:paraId="70F86E47" w14:textId="77777777" w:rsidR="004C2D9A" w:rsidRDefault="00000000">
      <w:pPr>
        <w:pStyle w:val="Heading1"/>
      </w:pPr>
      <w:bookmarkStart w:id="35" w:name="_Toc228252937"/>
      <w:r>
        <w:lastRenderedPageBreak/>
        <w:t>Compliance Matrix</w:t>
      </w:r>
      <w:bookmarkEnd w:id="35"/>
    </w:p>
    <w:p w14:paraId="05AB89BD" w14:textId="77777777" w:rsidR="004C2D9A" w:rsidRDefault="00000000">
      <w:pPr>
        <w:pStyle w:val="BodyText"/>
      </w:pPr>
      <w:r>
        <w:t xml:space="preserve">The matrix below </w:t>
      </w:r>
      <w:proofErr w:type="gramStart"/>
      <w:r>
        <w:t>cross-walks</w:t>
      </w:r>
      <w:proofErr w:type="gramEnd"/>
      <w:r>
        <w:t xml:space="preserve"> every Statement of Work (SOW) task and every Volume I evaluation sub-factor in Attachment 2 to the Volume I section and page where Deloitte's response appears. The Compliance Matrix is provided in accordance with the indexing guidance in Attachment 2 and is advisory in nature; it imparts no information beyond the identification of content and is therefore not counted against the Volume I forty-page limit.</w:t>
      </w:r>
    </w:p>
    <w:p w14:paraId="20CFD986" w14:textId="77777777" w:rsidR="004C2D9A" w:rsidRDefault="00000000">
      <w:pPr>
        <w:pStyle w:val="TableTitle"/>
      </w:pPr>
      <w:r>
        <w:t xml:space="preserve">Table CM-1. </w:t>
      </w:r>
      <w:proofErr w:type="gramStart"/>
      <w:r>
        <w:t>Cross-Walk</w:t>
      </w:r>
      <w:proofErr w:type="gramEnd"/>
      <w:r>
        <w:t xml:space="preserve"> of SOW Requirements and Attachment 2 Evaluation Factors to Volume I Sections.</w:t>
      </w:r>
    </w:p>
    <w:tbl>
      <w:tblPr>
        <w:tblStyle w:val="TableGrid"/>
        <w:tblW w:w="0" w:type="auto"/>
        <w:tblLook w:val="04A0" w:firstRow="1" w:lastRow="0" w:firstColumn="1" w:lastColumn="0" w:noHBand="0" w:noVBand="1"/>
      </w:tblPr>
      <w:tblGrid>
        <w:gridCol w:w="3117"/>
        <w:gridCol w:w="3116"/>
        <w:gridCol w:w="3117"/>
      </w:tblGrid>
      <w:tr w:rsidR="004C2D9A" w14:paraId="3B35C21F" w14:textId="77777777">
        <w:tc>
          <w:tcPr>
            <w:tcW w:w="3120" w:type="dxa"/>
          </w:tcPr>
          <w:p w14:paraId="60D8B68E" w14:textId="77777777" w:rsidR="004C2D9A" w:rsidRDefault="00000000">
            <w:r>
              <w:t>Requirement</w:t>
            </w:r>
          </w:p>
        </w:tc>
        <w:tc>
          <w:tcPr>
            <w:tcW w:w="3120" w:type="dxa"/>
          </w:tcPr>
          <w:p w14:paraId="74E04D5C" w14:textId="77777777" w:rsidR="004C2D9A" w:rsidRDefault="00000000">
            <w:r>
              <w:t>SOW / Attachment 2 Reference</w:t>
            </w:r>
          </w:p>
        </w:tc>
        <w:tc>
          <w:tcPr>
            <w:tcW w:w="3120" w:type="dxa"/>
          </w:tcPr>
          <w:p w14:paraId="5C04B237" w14:textId="77777777" w:rsidR="004C2D9A" w:rsidRDefault="00000000">
            <w:r>
              <w:t>Volume I Section / Page</w:t>
            </w:r>
          </w:p>
        </w:tc>
      </w:tr>
      <w:tr w:rsidR="004C2D9A" w14:paraId="05F6669F" w14:textId="77777777">
        <w:tc>
          <w:tcPr>
            <w:tcW w:w="3120" w:type="dxa"/>
          </w:tcPr>
          <w:p w14:paraId="1864E672" w14:textId="77777777" w:rsidR="004C2D9A" w:rsidRDefault="00000000">
            <w:r>
              <w:t>Att. 2 Factor 1: Technical Understanding &amp; Approach</w:t>
            </w:r>
          </w:p>
        </w:tc>
        <w:tc>
          <w:tcPr>
            <w:tcW w:w="3120" w:type="dxa"/>
          </w:tcPr>
          <w:p w14:paraId="71E96C51" w14:textId="77777777" w:rsidR="004C2D9A" w:rsidRDefault="00000000">
            <w:r>
              <w:t>Att. 2 §Volume I Section 1</w:t>
            </w:r>
          </w:p>
        </w:tc>
        <w:tc>
          <w:tcPr>
            <w:tcW w:w="3120" w:type="dxa"/>
          </w:tcPr>
          <w:p w14:paraId="22ED5584" w14:textId="77777777" w:rsidR="004C2D9A" w:rsidRDefault="004C2D9A"/>
        </w:tc>
      </w:tr>
      <w:tr w:rsidR="004C2D9A" w14:paraId="37D870B0" w14:textId="77777777">
        <w:tc>
          <w:tcPr>
            <w:tcW w:w="3120" w:type="dxa"/>
          </w:tcPr>
          <w:p w14:paraId="58CBA80B" w14:textId="77777777" w:rsidR="004C2D9A" w:rsidRDefault="00000000">
            <w:r>
              <w:t>Sub-Factor 1A: Understanding of CMS' Program &amp; Acquisition Objectives</w:t>
            </w:r>
          </w:p>
        </w:tc>
        <w:tc>
          <w:tcPr>
            <w:tcW w:w="3120" w:type="dxa"/>
          </w:tcPr>
          <w:p w14:paraId="17FA9660" w14:textId="77777777" w:rsidR="004C2D9A" w:rsidRDefault="00000000">
            <w:r>
              <w:t>Att. 2 §1A</w:t>
            </w:r>
          </w:p>
        </w:tc>
        <w:tc>
          <w:tcPr>
            <w:tcW w:w="3120" w:type="dxa"/>
          </w:tcPr>
          <w:p w14:paraId="03679554" w14:textId="77777777" w:rsidR="004C2D9A" w:rsidRDefault="00000000">
            <w:r>
              <w:t>Section 1.1 (Sub-Section 1</w:t>
            </w:r>
            <w:proofErr w:type="gramStart"/>
            <w:r>
              <w:t>A) —</w:t>
            </w:r>
            <w:proofErr w:type="gramEnd"/>
            <w:r>
              <w:t xml:space="preserve"> p. [auto]</w:t>
            </w:r>
          </w:p>
        </w:tc>
      </w:tr>
      <w:tr w:rsidR="004C2D9A" w14:paraId="718FCA1B" w14:textId="77777777">
        <w:tc>
          <w:tcPr>
            <w:tcW w:w="3120" w:type="dxa"/>
          </w:tcPr>
          <w:p w14:paraId="0567DA1F" w14:textId="77777777" w:rsidR="004C2D9A" w:rsidRDefault="00000000">
            <w:r>
              <w:t>Sub-Factor 1B: Approach to Performing Requirements in the SOW (Tasks 2–10)</w:t>
            </w:r>
          </w:p>
        </w:tc>
        <w:tc>
          <w:tcPr>
            <w:tcW w:w="3120" w:type="dxa"/>
          </w:tcPr>
          <w:p w14:paraId="7C2783FE" w14:textId="77777777" w:rsidR="004C2D9A" w:rsidRDefault="00000000">
            <w:r>
              <w:t>Att. 2 §1B; SOW §3.2–3.10</w:t>
            </w:r>
          </w:p>
        </w:tc>
        <w:tc>
          <w:tcPr>
            <w:tcW w:w="3120" w:type="dxa"/>
          </w:tcPr>
          <w:p w14:paraId="12FF91F9" w14:textId="77777777" w:rsidR="004C2D9A" w:rsidRDefault="00000000">
            <w:r>
              <w:t>Section 1.2 (Sub-Section 1B) — p. [auto]</w:t>
            </w:r>
          </w:p>
        </w:tc>
      </w:tr>
      <w:tr w:rsidR="004C2D9A" w14:paraId="33DB6ABC" w14:textId="77777777">
        <w:tc>
          <w:tcPr>
            <w:tcW w:w="3120" w:type="dxa"/>
          </w:tcPr>
          <w:p w14:paraId="3449670B" w14:textId="77777777" w:rsidR="004C2D9A" w:rsidRDefault="00000000">
            <w:r>
              <w:t>Task 2: ER&amp;R Issuer Disputes (incl. Subtask 2.1 Low Complexity, 2.2 High Complexity)</w:t>
            </w:r>
          </w:p>
        </w:tc>
        <w:tc>
          <w:tcPr>
            <w:tcW w:w="3120" w:type="dxa"/>
          </w:tcPr>
          <w:p w14:paraId="7F02E6EF" w14:textId="77777777" w:rsidR="004C2D9A" w:rsidRDefault="00000000">
            <w:r>
              <w:t>SOW §3.2, §3.2.1, §3.2.2</w:t>
            </w:r>
          </w:p>
        </w:tc>
        <w:tc>
          <w:tcPr>
            <w:tcW w:w="3120" w:type="dxa"/>
          </w:tcPr>
          <w:p w14:paraId="2D626C24" w14:textId="77777777" w:rsidR="004C2D9A" w:rsidRDefault="00000000">
            <w:r>
              <w:t>Section 1.2.1 — p. [auto]</w:t>
            </w:r>
          </w:p>
        </w:tc>
      </w:tr>
      <w:tr w:rsidR="004C2D9A" w14:paraId="08227DDB" w14:textId="77777777">
        <w:tc>
          <w:tcPr>
            <w:tcW w:w="3120" w:type="dxa"/>
          </w:tcPr>
          <w:p w14:paraId="039A76FB" w14:textId="77777777" w:rsidR="004C2D9A" w:rsidRDefault="00000000">
            <w:r>
              <w:t>Task 3: Form 1095-A Consumer Disputes (incl. Subtask 3.1 Low, 3.2 Medium, 3.3 High Complexity)</w:t>
            </w:r>
          </w:p>
        </w:tc>
        <w:tc>
          <w:tcPr>
            <w:tcW w:w="3120" w:type="dxa"/>
          </w:tcPr>
          <w:p w14:paraId="57D33600" w14:textId="77777777" w:rsidR="004C2D9A" w:rsidRDefault="00000000">
            <w:r>
              <w:t>SOW §3.3, §3.3.1, §3.3.2, §3.3.3</w:t>
            </w:r>
          </w:p>
        </w:tc>
        <w:tc>
          <w:tcPr>
            <w:tcW w:w="3120" w:type="dxa"/>
          </w:tcPr>
          <w:p w14:paraId="5CCB8E64" w14:textId="77777777" w:rsidR="004C2D9A" w:rsidRDefault="00000000">
            <w:r>
              <w:t>Section 1.2.2 — p. [auto]</w:t>
            </w:r>
          </w:p>
        </w:tc>
      </w:tr>
      <w:tr w:rsidR="004C2D9A" w14:paraId="5D1A75E3" w14:textId="77777777">
        <w:tc>
          <w:tcPr>
            <w:tcW w:w="3120" w:type="dxa"/>
          </w:tcPr>
          <w:p w14:paraId="2E42E0C6" w14:textId="77777777" w:rsidR="004C2D9A" w:rsidRDefault="00000000">
            <w:r>
              <w:t>Task 4: Complex Case Help Center (CCHC)</w:t>
            </w:r>
          </w:p>
        </w:tc>
        <w:tc>
          <w:tcPr>
            <w:tcW w:w="3120" w:type="dxa"/>
          </w:tcPr>
          <w:p w14:paraId="56B5D7D5" w14:textId="77777777" w:rsidR="004C2D9A" w:rsidRDefault="00000000">
            <w:r>
              <w:t>SOW §3.4</w:t>
            </w:r>
          </w:p>
        </w:tc>
        <w:tc>
          <w:tcPr>
            <w:tcW w:w="3120" w:type="dxa"/>
          </w:tcPr>
          <w:p w14:paraId="1925E04C" w14:textId="77777777" w:rsidR="004C2D9A" w:rsidRDefault="00000000">
            <w:r>
              <w:t>Section 1.2.3 — p. [auto]</w:t>
            </w:r>
          </w:p>
        </w:tc>
      </w:tr>
      <w:tr w:rsidR="004C2D9A" w14:paraId="5C8BEBC1" w14:textId="77777777">
        <w:tc>
          <w:tcPr>
            <w:tcW w:w="3120" w:type="dxa"/>
          </w:tcPr>
          <w:p w14:paraId="5B295ABB" w14:textId="77777777" w:rsidR="004C2D9A" w:rsidRDefault="00000000">
            <w:r>
              <w:t>Task 5: Updating the FFE</w:t>
            </w:r>
          </w:p>
        </w:tc>
        <w:tc>
          <w:tcPr>
            <w:tcW w:w="3120" w:type="dxa"/>
          </w:tcPr>
          <w:p w14:paraId="5C8AACE5" w14:textId="77777777" w:rsidR="004C2D9A" w:rsidRDefault="00000000">
            <w:r>
              <w:t>SOW §3.5</w:t>
            </w:r>
          </w:p>
        </w:tc>
        <w:tc>
          <w:tcPr>
            <w:tcW w:w="3120" w:type="dxa"/>
          </w:tcPr>
          <w:p w14:paraId="4F17BBC9" w14:textId="77777777" w:rsidR="004C2D9A" w:rsidRDefault="00000000">
            <w:r>
              <w:t>Section 1.2.4 — p. [auto]</w:t>
            </w:r>
          </w:p>
        </w:tc>
      </w:tr>
      <w:tr w:rsidR="004C2D9A" w14:paraId="5B04BC70" w14:textId="77777777">
        <w:tc>
          <w:tcPr>
            <w:tcW w:w="3120" w:type="dxa"/>
          </w:tcPr>
          <w:p w14:paraId="7EE02DDE" w14:textId="77777777" w:rsidR="004C2D9A" w:rsidRDefault="00000000">
            <w:r>
              <w:t>Task 6: Notice Generation</w:t>
            </w:r>
          </w:p>
        </w:tc>
        <w:tc>
          <w:tcPr>
            <w:tcW w:w="3120" w:type="dxa"/>
          </w:tcPr>
          <w:p w14:paraId="794C86EB" w14:textId="77777777" w:rsidR="004C2D9A" w:rsidRDefault="00000000">
            <w:r>
              <w:t>SOW §3.6</w:t>
            </w:r>
          </w:p>
        </w:tc>
        <w:tc>
          <w:tcPr>
            <w:tcW w:w="3120" w:type="dxa"/>
          </w:tcPr>
          <w:p w14:paraId="07E0ED85" w14:textId="77777777" w:rsidR="004C2D9A" w:rsidRDefault="00000000">
            <w:r>
              <w:t>Section 1.2.5 — p. [auto]</w:t>
            </w:r>
          </w:p>
        </w:tc>
      </w:tr>
      <w:tr w:rsidR="004C2D9A" w14:paraId="2F0AFD8C" w14:textId="77777777">
        <w:tc>
          <w:tcPr>
            <w:tcW w:w="3120" w:type="dxa"/>
          </w:tcPr>
          <w:p w14:paraId="5FBE0C92" w14:textId="77777777" w:rsidR="004C2D9A" w:rsidRDefault="00000000">
            <w:r>
              <w:t>Task 7: Telephone and Correspondence Support</w:t>
            </w:r>
          </w:p>
        </w:tc>
        <w:tc>
          <w:tcPr>
            <w:tcW w:w="3120" w:type="dxa"/>
          </w:tcPr>
          <w:p w14:paraId="18F52EDC" w14:textId="77777777" w:rsidR="004C2D9A" w:rsidRDefault="00000000">
            <w:r>
              <w:t>SOW §3.7</w:t>
            </w:r>
          </w:p>
        </w:tc>
        <w:tc>
          <w:tcPr>
            <w:tcW w:w="3120" w:type="dxa"/>
          </w:tcPr>
          <w:p w14:paraId="11135E07" w14:textId="77777777" w:rsidR="004C2D9A" w:rsidRDefault="00000000">
            <w:r>
              <w:t>Section 1.2.6 — p. [auto]</w:t>
            </w:r>
          </w:p>
        </w:tc>
      </w:tr>
      <w:tr w:rsidR="004C2D9A" w14:paraId="472E45A5" w14:textId="77777777">
        <w:tc>
          <w:tcPr>
            <w:tcW w:w="3120" w:type="dxa"/>
          </w:tcPr>
          <w:p w14:paraId="53ADB6E1" w14:textId="77777777" w:rsidR="004C2D9A" w:rsidRDefault="00000000">
            <w:r>
              <w:t>Task 8: IT Systems (CERRS, MCR, SEED, HICS, EDA CORE)</w:t>
            </w:r>
          </w:p>
        </w:tc>
        <w:tc>
          <w:tcPr>
            <w:tcW w:w="3120" w:type="dxa"/>
          </w:tcPr>
          <w:p w14:paraId="4A4DB978" w14:textId="77777777" w:rsidR="004C2D9A" w:rsidRDefault="00000000">
            <w:r>
              <w:t>SOW §3.8, §3.8.1, §3.8.1.1, §3.8.1.2, §3.8.2, §3.8.3</w:t>
            </w:r>
          </w:p>
        </w:tc>
        <w:tc>
          <w:tcPr>
            <w:tcW w:w="3120" w:type="dxa"/>
          </w:tcPr>
          <w:p w14:paraId="22D1015E" w14:textId="77777777" w:rsidR="004C2D9A" w:rsidRDefault="00000000">
            <w:r>
              <w:t>Section 1.2.7 — p. [auto]</w:t>
            </w:r>
          </w:p>
        </w:tc>
      </w:tr>
      <w:tr w:rsidR="004C2D9A" w14:paraId="2AA88217" w14:textId="77777777">
        <w:tc>
          <w:tcPr>
            <w:tcW w:w="3120" w:type="dxa"/>
          </w:tcPr>
          <w:p w14:paraId="5532A441" w14:textId="77777777" w:rsidR="004C2D9A" w:rsidRDefault="00000000">
            <w:r>
              <w:t>Task 9: SOPs Business Requirements &amp; Quality Assurance</w:t>
            </w:r>
          </w:p>
        </w:tc>
        <w:tc>
          <w:tcPr>
            <w:tcW w:w="3120" w:type="dxa"/>
          </w:tcPr>
          <w:p w14:paraId="12D43F3D" w14:textId="77777777" w:rsidR="004C2D9A" w:rsidRDefault="00000000">
            <w:r>
              <w:t>SOW §3.9</w:t>
            </w:r>
          </w:p>
        </w:tc>
        <w:tc>
          <w:tcPr>
            <w:tcW w:w="3120" w:type="dxa"/>
          </w:tcPr>
          <w:p w14:paraId="738AB0AB" w14:textId="77777777" w:rsidR="004C2D9A" w:rsidRDefault="00000000">
            <w:r>
              <w:t>Section 1.2.8 — p. [auto]</w:t>
            </w:r>
          </w:p>
        </w:tc>
      </w:tr>
      <w:tr w:rsidR="004C2D9A" w14:paraId="59CFFF8D" w14:textId="77777777">
        <w:tc>
          <w:tcPr>
            <w:tcW w:w="3120" w:type="dxa"/>
          </w:tcPr>
          <w:p w14:paraId="1D936A79" w14:textId="77777777" w:rsidR="004C2D9A" w:rsidRDefault="00000000">
            <w:r>
              <w:t>Task 10: Ad Hoc Work and Special Projects (incl. Enrollment Manual, Death PDM, Employer Notice Helpdesk)</w:t>
            </w:r>
          </w:p>
        </w:tc>
        <w:tc>
          <w:tcPr>
            <w:tcW w:w="3120" w:type="dxa"/>
          </w:tcPr>
          <w:p w14:paraId="3B686DB0" w14:textId="77777777" w:rsidR="004C2D9A" w:rsidRDefault="00000000">
            <w:r>
              <w:t>SOW §3.10</w:t>
            </w:r>
          </w:p>
        </w:tc>
        <w:tc>
          <w:tcPr>
            <w:tcW w:w="3120" w:type="dxa"/>
          </w:tcPr>
          <w:p w14:paraId="3044C896" w14:textId="77777777" w:rsidR="004C2D9A" w:rsidRDefault="00000000">
            <w:r>
              <w:t>Section 1.2.9 — p. [auto]</w:t>
            </w:r>
          </w:p>
        </w:tc>
      </w:tr>
      <w:tr w:rsidR="004C2D9A" w14:paraId="6BCBAFF5" w14:textId="77777777">
        <w:tc>
          <w:tcPr>
            <w:tcW w:w="3120" w:type="dxa"/>
          </w:tcPr>
          <w:p w14:paraId="1B8BB4FE" w14:textId="77777777" w:rsidR="004C2D9A" w:rsidRDefault="00000000">
            <w:r>
              <w:t>Sub-Factor 1C: Understanding and Mitigation of Risks (10 Risks + Risk Management Lifecycle)</w:t>
            </w:r>
          </w:p>
        </w:tc>
        <w:tc>
          <w:tcPr>
            <w:tcW w:w="3120" w:type="dxa"/>
          </w:tcPr>
          <w:p w14:paraId="59AB35E9" w14:textId="77777777" w:rsidR="004C2D9A" w:rsidRDefault="00000000">
            <w:r>
              <w:t>Att. 2 §1C</w:t>
            </w:r>
          </w:p>
        </w:tc>
        <w:tc>
          <w:tcPr>
            <w:tcW w:w="3120" w:type="dxa"/>
          </w:tcPr>
          <w:p w14:paraId="184009FB" w14:textId="77777777" w:rsidR="004C2D9A" w:rsidRDefault="00000000">
            <w:r>
              <w:t>Section 1.3 (Sub-Section 1</w:t>
            </w:r>
            <w:proofErr w:type="gramStart"/>
            <w:r>
              <w:t>C) —</w:t>
            </w:r>
            <w:proofErr w:type="gramEnd"/>
            <w:r>
              <w:t xml:space="preserve"> p. [auto]</w:t>
            </w:r>
          </w:p>
        </w:tc>
      </w:tr>
      <w:tr w:rsidR="004C2D9A" w14:paraId="712E3F76" w14:textId="77777777">
        <w:tc>
          <w:tcPr>
            <w:tcW w:w="3120" w:type="dxa"/>
          </w:tcPr>
          <w:p w14:paraId="002A38AD" w14:textId="77777777" w:rsidR="004C2D9A" w:rsidRDefault="00000000">
            <w:r>
              <w:lastRenderedPageBreak/>
              <w:t>Att. 2 Factor 2: Management Approach, Quality Assurance, and Staffing Plan</w:t>
            </w:r>
          </w:p>
        </w:tc>
        <w:tc>
          <w:tcPr>
            <w:tcW w:w="3120" w:type="dxa"/>
          </w:tcPr>
          <w:p w14:paraId="6ECD0343" w14:textId="77777777" w:rsidR="004C2D9A" w:rsidRDefault="00000000">
            <w:r>
              <w:t>Att. 2 §Volume I Section 2</w:t>
            </w:r>
          </w:p>
        </w:tc>
        <w:tc>
          <w:tcPr>
            <w:tcW w:w="3120" w:type="dxa"/>
          </w:tcPr>
          <w:p w14:paraId="4A0306F2" w14:textId="77777777" w:rsidR="004C2D9A" w:rsidRDefault="004C2D9A"/>
        </w:tc>
      </w:tr>
      <w:tr w:rsidR="004C2D9A" w14:paraId="35BDA988" w14:textId="77777777">
        <w:tc>
          <w:tcPr>
            <w:tcW w:w="3120" w:type="dxa"/>
          </w:tcPr>
          <w:p w14:paraId="164591FF" w14:textId="77777777" w:rsidR="004C2D9A" w:rsidRDefault="00000000">
            <w:r>
              <w:t>Sub-Factor 2A: Management Approach (incl. Tasks 1, 11, 12)</w:t>
            </w:r>
          </w:p>
        </w:tc>
        <w:tc>
          <w:tcPr>
            <w:tcW w:w="3120" w:type="dxa"/>
          </w:tcPr>
          <w:p w14:paraId="05FEAE7E" w14:textId="77777777" w:rsidR="004C2D9A" w:rsidRDefault="00000000">
            <w:r>
              <w:t>Att. 2 §2A; SOW §3.1, §3.11, §3.12</w:t>
            </w:r>
          </w:p>
        </w:tc>
        <w:tc>
          <w:tcPr>
            <w:tcW w:w="3120" w:type="dxa"/>
          </w:tcPr>
          <w:p w14:paraId="1678DCDC" w14:textId="77777777" w:rsidR="004C2D9A" w:rsidRDefault="00000000">
            <w:r>
              <w:t>Section 2.1 (Sub-Section 2</w:t>
            </w:r>
            <w:proofErr w:type="gramStart"/>
            <w:r>
              <w:t>A) —</w:t>
            </w:r>
            <w:proofErr w:type="gramEnd"/>
            <w:r>
              <w:t xml:space="preserve"> p. [auto]</w:t>
            </w:r>
          </w:p>
        </w:tc>
      </w:tr>
      <w:tr w:rsidR="004C2D9A" w14:paraId="3BD28A45" w14:textId="77777777">
        <w:tc>
          <w:tcPr>
            <w:tcW w:w="3120" w:type="dxa"/>
          </w:tcPr>
          <w:p w14:paraId="481D966E" w14:textId="77777777" w:rsidR="004C2D9A" w:rsidRDefault="00000000">
            <w:r>
              <w:t>Task 1: Program Implementation and Oversight (PI&amp;</w:t>
            </w:r>
            <w:proofErr w:type="gramStart"/>
            <w:r>
              <w:t>O) —</w:t>
            </w:r>
            <w:proofErr w:type="gramEnd"/>
            <w:r>
              <w:t xml:space="preserve"> PIOP, Kickoff, Reporting Cadence</w:t>
            </w:r>
          </w:p>
        </w:tc>
        <w:tc>
          <w:tcPr>
            <w:tcW w:w="3120" w:type="dxa"/>
          </w:tcPr>
          <w:p w14:paraId="3220D380" w14:textId="77777777" w:rsidR="004C2D9A" w:rsidRDefault="00000000">
            <w:r>
              <w:t>SOW §3.1</w:t>
            </w:r>
          </w:p>
        </w:tc>
        <w:tc>
          <w:tcPr>
            <w:tcW w:w="3120" w:type="dxa"/>
          </w:tcPr>
          <w:p w14:paraId="305EB1AA" w14:textId="77777777" w:rsidR="004C2D9A" w:rsidRDefault="00000000">
            <w:r>
              <w:t>Section 2.1.1 — p. [auto]</w:t>
            </w:r>
          </w:p>
        </w:tc>
      </w:tr>
      <w:tr w:rsidR="004C2D9A" w14:paraId="364C46A6" w14:textId="77777777">
        <w:tc>
          <w:tcPr>
            <w:tcW w:w="3120" w:type="dxa"/>
          </w:tcPr>
          <w:p w14:paraId="170F45CC" w14:textId="77777777" w:rsidR="004C2D9A" w:rsidRDefault="00000000">
            <w:r>
              <w:t>Task 11: Transition-Out (Optional)</w:t>
            </w:r>
          </w:p>
        </w:tc>
        <w:tc>
          <w:tcPr>
            <w:tcW w:w="3120" w:type="dxa"/>
          </w:tcPr>
          <w:p w14:paraId="3FF55696" w14:textId="77777777" w:rsidR="004C2D9A" w:rsidRDefault="00000000">
            <w:r>
              <w:t>SOW §3.11</w:t>
            </w:r>
          </w:p>
        </w:tc>
        <w:tc>
          <w:tcPr>
            <w:tcW w:w="3120" w:type="dxa"/>
          </w:tcPr>
          <w:p w14:paraId="42078A2A" w14:textId="77777777" w:rsidR="004C2D9A" w:rsidRDefault="00000000">
            <w:r>
              <w:t>Section 2.1.2 — p. [auto]</w:t>
            </w:r>
          </w:p>
        </w:tc>
      </w:tr>
      <w:tr w:rsidR="004C2D9A" w14:paraId="45105CE5" w14:textId="77777777">
        <w:tc>
          <w:tcPr>
            <w:tcW w:w="3120" w:type="dxa"/>
          </w:tcPr>
          <w:p w14:paraId="273F1C88" w14:textId="77777777" w:rsidR="004C2D9A" w:rsidRDefault="00000000">
            <w:r>
              <w:t>Task 12: Transition-In (Optional)</w:t>
            </w:r>
          </w:p>
        </w:tc>
        <w:tc>
          <w:tcPr>
            <w:tcW w:w="3120" w:type="dxa"/>
          </w:tcPr>
          <w:p w14:paraId="3B365929" w14:textId="77777777" w:rsidR="004C2D9A" w:rsidRDefault="00000000">
            <w:r>
              <w:t>SOW §3.12</w:t>
            </w:r>
          </w:p>
        </w:tc>
        <w:tc>
          <w:tcPr>
            <w:tcW w:w="3120" w:type="dxa"/>
          </w:tcPr>
          <w:p w14:paraId="2F0745E0" w14:textId="77777777" w:rsidR="004C2D9A" w:rsidRDefault="00000000">
            <w:r>
              <w:t>Section 2.1.3 — p. [auto]</w:t>
            </w:r>
          </w:p>
        </w:tc>
      </w:tr>
      <w:tr w:rsidR="004C2D9A" w14:paraId="1C843083" w14:textId="77777777">
        <w:tc>
          <w:tcPr>
            <w:tcW w:w="3120" w:type="dxa"/>
          </w:tcPr>
          <w:p w14:paraId="1FC891B6" w14:textId="77777777" w:rsidR="004C2D9A" w:rsidRDefault="00000000">
            <w:r>
              <w:t>Sub-Factor 2B: Quality Assurance Approach (KPIs, AQLs, SLAs, QASP)</w:t>
            </w:r>
          </w:p>
        </w:tc>
        <w:tc>
          <w:tcPr>
            <w:tcW w:w="3120" w:type="dxa"/>
          </w:tcPr>
          <w:p w14:paraId="6C8AC8C2" w14:textId="77777777" w:rsidR="004C2D9A" w:rsidRDefault="00000000">
            <w:r>
              <w:t>Att. 2 §2B</w:t>
            </w:r>
          </w:p>
        </w:tc>
        <w:tc>
          <w:tcPr>
            <w:tcW w:w="3120" w:type="dxa"/>
          </w:tcPr>
          <w:p w14:paraId="2344ABEC" w14:textId="77777777" w:rsidR="004C2D9A" w:rsidRDefault="00000000">
            <w:r>
              <w:t>Section 2.2 (Sub-Section 2</w:t>
            </w:r>
            <w:proofErr w:type="gramStart"/>
            <w:r>
              <w:t>B) — p</w:t>
            </w:r>
            <w:proofErr w:type="gramEnd"/>
            <w:r>
              <w:t>. [auto]</w:t>
            </w:r>
          </w:p>
        </w:tc>
      </w:tr>
      <w:tr w:rsidR="004C2D9A" w14:paraId="63E8C242" w14:textId="77777777">
        <w:tc>
          <w:tcPr>
            <w:tcW w:w="3120" w:type="dxa"/>
          </w:tcPr>
          <w:p w14:paraId="1645D8C6" w14:textId="77777777" w:rsidR="004C2D9A" w:rsidRDefault="00000000">
            <w:r>
              <w:t>Sub-Factor 2C: Staffing Plan (Workforce, Surge, Subcontractor Integration)</w:t>
            </w:r>
          </w:p>
        </w:tc>
        <w:tc>
          <w:tcPr>
            <w:tcW w:w="3120" w:type="dxa"/>
          </w:tcPr>
          <w:p w14:paraId="1099ECD7" w14:textId="77777777" w:rsidR="004C2D9A" w:rsidRDefault="00000000">
            <w:r>
              <w:t>Att. 2 §2C</w:t>
            </w:r>
          </w:p>
        </w:tc>
        <w:tc>
          <w:tcPr>
            <w:tcW w:w="3120" w:type="dxa"/>
          </w:tcPr>
          <w:p w14:paraId="7C1F9D76" w14:textId="77777777" w:rsidR="004C2D9A" w:rsidRDefault="00000000">
            <w:r>
              <w:t>Section 2.3 (Sub-Section 2</w:t>
            </w:r>
            <w:proofErr w:type="gramStart"/>
            <w:r>
              <w:t>C) —</w:t>
            </w:r>
            <w:proofErr w:type="gramEnd"/>
            <w:r>
              <w:t xml:space="preserve"> p. [auto]</w:t>
            </w:r>
          </w:p>
        </w:tc>
      </w:tr>
      <w:tr w:rsidR="004C2D9A" w14:paraId="17664D86" w14:textId="77777777">
        <w:tc>
          <w:tcPr>
            <w:tcW w:w="3120" w:type="dxa"/>
          </w:tcPr>
          <w:p w14:paraId="73714AB2" w14:textId="77777777" w:rsidR="004C2D9A" w:rsidRDefault="00000000">
            <w:r>
              <w:t>Att. 2 Factor 3: Key Personnel Qualifications and Corporate Experience</w:t>
            </w:r>
          </w:p>
        </w:tc>
        <w:tc>
          <w:tcPr>
            <w:tcW w:w="3120" w:type="dxa"/>
          </w:tcPr>
          <w:p w14:paraId="5C4B7E02" w14:textId="77777777" w:rsidR="004C2D9A" w:rsidRDefault="00000000">
            <w:r>
              <w:t>Att. 2 §Volume I Section 3</w:t>
            </w:r>
          </w:p>
        </w:tc>
        <w:tc>
          <w:tcPr>
            <w:tcW w:w="3120" w:type="dxa"/>
          </w:tcPr>
          <w:p w14:paraId="572DE991" w14:textId="77777777" w:rsidR="004C2D9A" w:rsidRDefault="004C2D9A"/>
        </w:tc>
      </w:tr>
      <w:tr w:rsidR="004C2D9A" w14:paraId="182DFEFD" w14:textId="77777777">
        <w:tc>
          <w:tcPr>
            <w:tcW w:w="3120" w:type="dxa"/>
          </w:tcPr>
          <w:p w14:paraId="4AB8CC18" w14:textId="77777777" w:rsidR="004C2D9A" w:rsidRDefault="00000000">
            <w:r>
              <w:t>Sub-Factor 3A: Key Personnel Qualifications</w:t>
            </w:r>
          </w:p>
        </w:tc>
        <w:tc>
          <w:tcPr>
            <w:tcW w:w="3120" w:type="dxa"/>
          </w:tcPr>
          <w:p w14:paraId="2E7A9A53" w14:textId="77777777" w:rsidR="004C2D9A" w:rsidRDefault="00000000">
            <w:r>
              <w:t>Att. 2 §3A</w:t>
            </w:r>
          </w:p>
        </w:tc>
        <w:tc>
          <w:tcPr>
            <w:tcW w:w="3120" w:type="dxa"/>
          </w:tcPr>
          <w:p w14:paraId="307F2151" w14:textId="77777777" w:rsidR="004C2D9A" w:rsidRDefault="00000000">
            <w:r>
              <w:t>Section 3.1 (Sub-Section 3</w:t>
            </w:r>
            <w:proofErr w:type="gramStart"/>
            <w:r>
              <w:t>A) —</w:t>
            </w:r>
            <w:proofErr w:type="gramEnd"/>
            <w:r>
              <w:t xml:space="preserve"> p. [auto]</w:t>
            </w:r>
          </w:p>
        </w:tc>
      </w:tr>
      <w:tr w:rsidR="004C2D9A" w14:paraId="49A3FC89" w14:textId="77777777">
        <w:tc>
          <w:tcPr>
            <w:tcW w:w="3120" w:type="dxa"/>
          </w:tcPr>
          <w:p w14:paraId="379BEC3A" w14:textId="77777777" w:rsidR="004C2D9A" w:rsidRDefault="00000000">
            <w:r>
              <w:t>Project Director (8 yrs systems exp.; 5 yrs each: enrollment recon, sensitive contracts, federal healthcare data, call center)</w:t>
            </w:r>
          </w:p>
        </w:tc>
        <w:tc>
          <w:tcPr>
            <w:tcW w:w="3120" w:type="dxa"/>
          </w:tcPr>
          <w:p w14:paraId="73C24F60" w14:textId="77777777" w:rsidR="004C2D9A" w:rsidRDefault="00000000">
            <w:r>
              <w:t>Att. 2 §3A</w:t>
            </w:r>
          </w:p>
        </w:tc>
        <w:tc>
          <w:tcPr>
            <w:tcW w:w="3120" w:type="dxa"/>
          </w:tcPr>
          <w:p w14:paraId="006BFBB5" w14:textId="77777777" w:rsidR="004C2D9A" w:rsidRDefault="00000000">
            <w:r>
              <w:t>Section 3.1, Table 3.1-1 + Appendix A.1 — p. [auto]</w:t>
            </w:r>
          </w:p>
        </w:tc>
      </w:tr>
      <w:tr w:rsidR="004C2D9A" w14:paraId="19553719" w14:textId="77777777">
        <w:tc>
          <w:tcPr>
            <w:tcW w:w="3120" w:type="dxa"/>
          </w:tcPr>
          <w:p w14:paraId="331BECF0" w14:textId="77777777" w:rsidR="004C2D9A" w:rsidRDefault="00000000">
            <w:r>
              <w:t>Project Manager (ER&amp;</w:t>
            </w:r>
            <w:proofErr w:type="gramStart"/>
            <w:r>
              <w:t>R) —</w:t>
            </w:r>
            <w:proofErr w:type="gramEnd"/>
            <w:r>
              <w:t xml:space="preserve"> 5 yrs exp., PMP</w:t>
            </w:r>
          </w:p>
        </w:tc>
        <w:tc>
          <w:tcPr>
            <w:tcW w:w="3120" w:type="dxa"/>
          </w:tcPr>
          <w:p w14:paraId="515D77F9" w14:textId="77777777" w:rsidR="004C2D9A" w:rsidRDefault="00000000">
            <w:r>
              <w:t>Att. 2 §3A</w:t>
            </w:r>
          </w:p>
        </w:tc>
        <w:tc>
          <w:tcPr>
            <w:tcW w:w="3120" w:type="dxa"/>
          </w:tcPr>
          <w:p w14:paraId="09D05B8F" w14:textId="77777777" w:rsidR="004C2D9A" w:rsidRDefault="00000000">
            <w:r>
              <w:t>Section 3.1, Table 3.1-1 + Appendix A.2 — p. [auto]</w:t>
            </w:r>
          </w:p>
        </w:tc>
      </w:tr>
      <w:tr w:rsidR="004C2D9A" w14:paraId="5F6D5244" w14:textId="77777777">
        <w:tc>
          <w:tcPr>
            <w:tcW w:w="3120" w:type="dxa"/>
          </w:tcPr>
          <w:p w14:paraId="752F6BC2" w14:textId="77777777" w:rsidR="004C2D9A" w:rsidRDefault="00000000">
            <w:r>
              <w:t xml:space="preserve">Project Manager (Form 1095-A &amp; </w:t>
            </w:r>
            <w:proofErr w:type="gramStart"/>
            <w:r>
              <w:t>CCHC) —</w:t>
            </w:r>
            <w:proofErr w:type="gramEnd"/>
            <w:r>
              <w:t xml:space="preserve"> 5/5/5/3 yrs, PMP</w:t>
            </w:r>
          </w:p>
        </w:tc>
        <w:tc>
          <w:tcPr>
            <w:tcW w:w="3120" w:type="dxa"/>
          </w:tcPr>
          <w:p w14:paraId="3745DBBA" w14:textId="77777777" w:rsidR="004C2D9A" w:rsidRDefault="00000000">
            <w:r>
              <w:t>Att. 2 §3A</w:t>
            </w:r>
          </w:p>
        </w:tc>
        <w:tc>
          <w:tcPr>
            <w:tcW w:w="3120" w:type="dxa"/>
          </w:tcPr>
          <w:p w14:paraId="0E0B37EE" w14:textId="77777777" w:rsidR="004C2D9A" w:rsidRDefault="00000000">
            <w:r>
              <w:t>Section 3.1, Table 3.1-1 + Appendix A.3 — p. [auto]</w:t>
            </w:r>
          </w:p>
        </w:tc>
      </w:tr>
      <w:tr w:rsidR="004C2D9A" w14:paraId="4F779ACB" w14:textId="77777777">
        <w:tc>
          <w:tcPr>
            <w:tcW w:w="3120" w:type="dxa"/>
          </w:tcPr>
          <w:p w14:paraId="7FF9EC5E" w14:textId="77777777" w:rsidR="004C2D9A" w:rsidRDefault="00000000">
            <w:r>
              <w:t xml:space="preserve">Project Manager (IT Data and Technical </w:t>
            </w:r>
            <w:proofErr w:type="gramStart"/>
            <w:r>
              <w:t>Support) —</w:t>
            </w:r>
            <w:proofErr w:type="gramEnd"/>
            <w:r>
              <w:t xml:space="preserve"> 8/5/5 yrs</w:t>
            </w:r>
          </w:p>
        </w:tc>
        <w:tc>
          <w:tcPr>
            <w:tcW w:w="3120" w:type="dxa"/>
          </w:tcPr>
          <w:p w14:paraId="31EDC10B" w14:textId="77777777" w:rsidR="004C2D9A" w:rsidRDefault="00000000">
            <w:r>
              <w:t>Att. 2 §3A</w:t>
            </w:r>
          </w:p>
        </w:tc>
        <w:tc>
          <w:tcPr>
            <w:tcW w:w="3120" w:type="dxa"/>
          </w:tcPr>
          <w:p w14:paraId="0913963F" w14:textId="77777777" w:rsidR="004C2D9A" w:rsidRDefault="00000000">
            <w:r>
              <w:t>Section 3.1, Table 3.1-1 + Appendix A.4 — p. [auto]</w:t>
            </w:r>
          </w:p>
        </w:tc>
      </w:tr>
      <w:tr w:rsidR="004C2D9A" w14:paraId="37FE4F5B" w14:textId="77777777">
        <w:tc>
          <w:tcPr>
            <w:tcW w:w="3120" w:type="dxa"/>
          </w:tcPr>
          <w:p w14:paraId="3A7A4885" w14:textId="77777777" w:rsidR="004C2D9A" w:rsidRDefault="00000000">
            <w:r>
              <w:t>Technical Director — 8 yrs software, 5 yrs CMS Marketplace systems</w:t>
            </w:r>
          </w:p>
        </w:tc>
        <w:tc>
          <w:tcPr>
            <w:tcW w:w="3120" w:type="dxa"/>
          </w:tcPr>
          <w:p w14:paraId="003CE9F1" w14:textId="77777777" w:rsidR="004C2D9A" w:rsidRDefault="00000000">
            <w:r>
              <w:t>Att. 2 §3A</w:t>
            </w:r>
          </w:p>
        </w:tc>
        <w:tc>
          <w:tcPr>
            <w:tcW w:w="3120" w:type="dxa"/>
          </w:tcPr>
          <w:p w14:paraId="3BE76AF0" w14:textId="77777777" w:rsidR="004C2D9A" w:rsidRDefault="00000000">
            <w:r>
              <w:t>Section 3.1, Table 3.1-1 + Appendix A.5 — p. [auto]</w:t>
            </w:r>
          </w:p>
        </w:tc>
      </w:tr>
      <w:tr w:rsidR="004C2D9A" w14:paraId="6B30D643" w14:textId="77777777">
        <w:tc>
          <w:tcPr>
            <w:tcW w:w="3120" w:type="dxa"/>
          </w:tcPr>
          <w:p w14:paraId="323739F0" w14:textId="77777777" w:rsidR="004C2D9A" w:rsidRDefault="00000000">
            <w:r>
              <w:t>Security and Privacy Officer — 5 yrs CMS Info Sec, CISSP</w:t>
            </w:r>
          </w:p>
        </w:tc>
        <w:tc>
          <w:tcPr>
            <w:tcW w:w="3120" w:type="dxa"/>
          </w:tcPr>
          <w:p w14:paraId="0BB68AE6" w14:textId="77777777" w:rsidR="004C2D9A" w:rsidRDefault="00000000">
            <w:r>
              <w:t>Att. 2 §3A</w:t>
            </w:r>
          </w:p>
        </w:tc>
        <w:tc>
          <w:tcPr>
            <w:tcW w:w="3120" w:type="dxa"/>
          </w:tcPr>
          <w:p w14:paraId="74FB63CE" w14:textId="77777777" w:rsidR="004C2D9A" w:rsidRDefault="00000000">
            <w:r>
              <w:t>Section 3.1, Table 3.1-1 + Appendix A.6 — p. [auto]</w:t>
            </w:r>
          </w:p>
        </w:tc>
      </w:tr>
      <w:tr w:rsidR="004C2D9A" w14:paraId="0852A345" w14:textId="77777777">
        <w:tc>
          <w:tcPr>
            <w:tcW w:w="3120" w:type="dxa"/>
          </w:tcPr>
          <w:p w14:paraId="4B98AF11" w14:textId="77777777" w:rsidR="004C2D9A" w:rsidRDefault="00000000">
            <w:r>
              <w:t>Sub-Factor 3B: Corporate Experience</w:t>
            </w:r>
          </w:p>
        </w:tc>
        <w:tc>
          <w:tcPr>
            <w:tcW w:w="3120" w:type="dxa"/>
          </w:tcPr>
          <w:p w14:paraId="3B80FA37" w14:textId="77777777" w:rsidR="004C2D9A" w:rsidRDefault="00000000">
            <w:r>
              <w:t>Att. 2 §3B</w:t>
            </w:r>
          </w:p>
        </w:tc>
        <w:tc>
          <w:tcPr>
            <w:tcW w:w="3120" w:type="dxa"/>
          </w:tcPr>
          <w:p w14:paraId="5E0BDE0E" w14:textId="77777777" w:rsidR="004C2D9A" w:rsidRDefault="00000000">
            <w:r>
              <w:t>Section 3.2 (Sub-Section 3B), Table 3.2-1 — p. [auto]</w:t>
            </w:r>
          </w:p>
        </w:tc>
      </w:tr>
      <w:tr w:rsidR="004C2D9A" w14:paraId="061E9C1D" w14:textId="77777777">
        <w:tc>
          <w:tcPr>
            <w:tcW w:w="3120" w:type="dxa"/>
          </w:tcPr>
          <w:p w14:paraId="654E3BEC" w14:textId="77777777" w:rsidR="004C2D9A" w:rsidRDefault="00000000">
            <w:r>
              <w:t xml:space="preserve">Att. 2 Factor 4: Utilization of Small Business (Evaluated, Not Rated; </w:t>
            </w:r>
            <w:proofErr w:type="gramStart"/>
            <w:r>
              <w:t>5 page</w:t>
            </w:r>
            <w:proofErr w:type="gramEnd"/>
            <w:r>
              <w:t xml:space="preserve"> limit; not counted toward 40-page Vol I)</w:t>
            </w:r>
          </w:p>
        </w:tc>
        <w:tc>
          <w:tcPr>
            <w:tcW w:w="3120" w:type="dxa"/>
          </w:tcPr>
          <w:p w14:paraId="055DACDF" w14:textId="77777777" w:rsidR="004C2D9A" w:rsidRDefault="00000000">
            <w:r>
              <w:t>Att. 2 §Volume I Section 4</w:t>
            </w:r>
          </w:p>
        </w:tc>
        <w:tc>
          <w:tcPr>
            <w:tcW w:w="3120" w:type="dxa"/>
          </w:tcPr>
          <w:p w14:paraId="75BD9C35" w14:textId="77777777" w:rsidR="004C2D9A" w:rsidRDefault="00000000">
            <w:r>
              <w:t>Section 4 — p. [auto]</w:t>
            </w:r>
          </w:p>
        </w:tc>
      </w:tr>
      <w:tr w:rsidR="004C2D9A" w14:paraId="5DCA19C7" w14:textId="77777777">
        <w:tc>
          <w:tcPr>
            <w:tcW w:w="3120" w:type="dxa"/>
          </w:tcPr>
          <w:p w14:paraId="5F57A594" w14:textId="77777777" w:rsidR="004C2D9A" w:rsidRDefault="00000000">
            <w:r>
              <w:lastRenderedPageBreak/>
              <w:t>15% Small Business Subcontracting Goal Plan + Subcontractor Table</w:t>
            </w:r>
          </w:p>
        </w:tc>
        <w:tc>
          <w:tcPr>
            <w:tcW w:w="3120" w:type="dxa"/>
          </w:tcPr>
          <w:p w14:paraId="4077FC93" w14:textId="77777777" w:rsidR="004C2D9A" w:rsidRDefault="00000000">
            <w:r>
              <w:t>Att. 2 §Section 4</w:t>
            </w:r>
          </w:p>
        </w:tc>
        <w:tc>
          <w:tcPr>
            <w:tcW w:w="3120" w:type="dxa"/>
          </w:tcPr>
          <w:p w14:paraId="56217D20" w14:textId="77777777" w:rsidR="004C2D9A" w:rsidRDefault="00000000">
            <w:r>
              <w:t>Sections 4.1 / 4.2 / Table 4.2-1 — p. [auto]</w:t>
            </w:r>
          </w:p>
        </w:tc>
      </w:tr>
      <w:tr w:rsidR="004C2D9A" w14:paraId="195B0792" w14:textId="77777777">
        <w:tc>
          <w:tcPr>
            <w:tcW w:w="3120" w:type="dxa"/>
          </w:tcPr>
          <w:p w14:paraId="2D4BC960" w14:textId="77777777" w:rsidR="004C2D9A" w:rsidRDefault="00000000">
            <w:r>
              <w:t>Letters of Commitment / Draft Subcontracting Agreements / Teaming Arrangements</w:t>
            </w:r>
          </w:p>
        </w:tc>
        <w:tc>
          <w:tcPr>
            <w:tcW w:w="3120" w:type="dxa"/>
          </w:tcPr>
          <w:p w14:paraId="4F7938CC" w14:textId="77777777" w:rsidR="004C2D9A" w:rsidRDefault="00000000">
            <w:r>
              <w:t>Att. 2 §Section 4</w:t>
            </w:r>
          </w:p>
        </w:tc>
        <w:tc>
          <w:tcPr>
            <w:tcW w:w="3120" w:type="dxa"/>
          </w:tcPr>
          <w:p w14:paraId="7884CA8A" w14:textId="77777777" w:rsidR="004C2D9A" w:rsidRDefault="00000000">
            <w:r>
              <w:t>Section 4.3 (attached separately, not counted)</w:t>
            </w:r>
          </w:p>
        </w:tc>
      </w:tr>
      <w:tr w:rsidR="004C2D9A" w14:paraId="3C157138" w14:textId="77777777">
        <w:tc>
          <w:tcPr>
            <w:tcW w:w="3120" w:type="dxa"/>
          </w:tcPr>
          <w:p w14:paraId="543E3432" w14:textId="77777777" w:rsidR="004C2D9A" w:rsidRDefault="00000000">
            <w:r>
              <w:t xml:space="preserve">Subcontracting Plan Governance (FAR 19.704, HHSAR 352.219-70, </w:t>
            </w:r>
            <w:proofErr w:type="spellStart"/>
            <w:r>
              <w:t>eSRS</w:t>
            </w:r>
            <w:proofErr w:type="spellEnd"/>
            <w:r>
              <w:t>)</w:t>
            </w:r>
          </w:p>
        </w:tc>
        <w:tc>
          <w:tcPr>
            <w:tcW w:w="3120" w:type="dxa"/>
          </w:tcPr>
          <w:p w14:paraId="716538EE" w14:textId="77777777" w:rsidR="004C2D9A" w:rsidRDefault="00000000">
            <w:r>
              <w:t>FAR/HHSAR</w:t>
            </w:r>
          </w:p>
        </w:tc>
        <w:tc>
          <w:tcPr>
            <w:tcW w:w="3120" w:type="dxa"/>
          </w:tcPr>
          <w:p w14:paraId="5345E956" w14:textId="77777777" w:rsidR="004C2D9A" w:rsidRDefault="00000000">
            <w:r>
              <w:t>Section 4.4 — p. [auto]</w:t>
            </w:r>
          </w:p>
        </w:tc>
      </w:tr>
      <w:tr w:rsidR="004C2D9A" w14:paraId="4849C561" w14:textId="77777777">
        <w:tc>
          <w:tcPr>
            <w:tcW w:w="3120" w:type="dxa"/>
          </w:tcPr>
          <w:p w14:paraId="1DA5372E" w14:textId="77777777" w:rsidR="004C2D9A" w:rsidRDefault="00000000">
            <w:r>
              <w:t>Compliance — Cross-Cutting Requirements</w:t>
            </w:r>
          </w:p>
        </w:tc>
        <w:tc>
          <w:tcPr>
            <w:tcW w:w="3120" w:type="dxa"/>
          </w:tcPr>
          <w:p w14:paraId="66429E46" w14:textId="77777777" w:rsidR="004C2D9A" w:rsidRDefault="004C2D9A"/>
        </w:tc>
        <w:tc>
          <w:tcPr>
            <w:tcW w:w="3120" w:type="dxa"/>
          </w:tcPr>
          <w:p w14:paraId="24BED6F9" w14:textId="77777777" w:rsidR="004C2D9A" w:rsidRDefault="004C2D9A"/>
        </w:tc>
      </w:tr>
      <w:tr w:rsidR="004C2D9A" w14:paraId="1FD97ECC" w14:textId="77777777">
        <w:tc>
          <w:tcPr>
            <w:tcW w:w="3120" w:type="dxa"/>
          </w:tcPr>
          <w:p w14:paraId="5125F98C" w14:textId="77777777" w:rsidR="004C2D9A" w:rsidRDefault="00000000">
            <w:r>
              <w:t>Page Limits, 12-pt body, single-spacing, page X of X numbering</w:t>
            </w:r>
          </w:p>
        </w:tc>
        <w:tc>
          <w:tcPr>
            <w:tcW w:w="3120" w:type="dxa"/>
          </w:tcPr>
          <w:p w14:paraId="38E34B7F" w14:textId="77777777" w:rsidR="004C2D9A" w:rsidRDefault="00000000">
            <w:r>
              <w:t>Att. 2 §Formatting / §Page Limits</w:t>
            </w:r>
          </w:p>
        </w:tc>
        <w:tc>
          <w:tcPr>
            <w:tcW w:w="3120" w:type="dxa"/>
          </w:tcPr>
          <w:p w14:paraId="02D42699" w14:textId="77777777" w:rsidR="004C2D9A" w:rsidRDefault="00000000">
            <w:r>
              <w:t>All sections (</w:t>
            </w:r>
            <w:proofErr w:type="gramStart"/>
            <w:r>
              <w:t>footers) —</w:t>
            </w:r>
            <w:proofErr w:type="gramEnd"/>
            <w:r>
              <w:t xml:space="preserve"> formatting compliant</w:t>
            </w:r>
          </w:p>
        </w:tc>
      </w:tr>
      <w:tr w:rsidR="004C2D9A" w14:paraId="1C4E6AAF" w14:textId="77777777">
        <w:tc>
          <w:tcPr>
            <w:tcW w:w="3120" w:type="dxa"/>
          </w:tcPr>
          <w:p w14:paraId="75E208F6" w14:textId="77777777" w:rsidR="004C2D9A" w:rsidRDefault="00000000">
            <w:r>
              <w:t>RFQ Number 75FCMC26Q0068 on every page</w:t>
            </w:r>
          </w:p>
        </w:tc>
        <w:tc>
          <w:tcPr>
            <w:tcW w:w="3120" w:type="dxa"/>
          </w:tcPr>
          <w:p w14:paraId="7B7EC6B1" w14:textId="77777777" w:rsidR="004C2D9A" w:rsidRDefault="00000000">
            <w:r>
              <w:t>Att. 2 §Indexing</w:t>
            </w:r>
          </w:p>
        </w:tc>
        <w:tc>
          <w:tcPr>
            <w:tcW w:w="3120" w:type="dxa"/>
          </w:tcPr>
          <w:p w14:paraId="499961EC" w14:textId="77777777" w:rsidR="004C2D9A" w:rsidRDefault="00000000">
            <w:r>
              <w:t>Cover, headers/footers</w:t>
            </w:r>
          </w:p>
        </w:tc>
      </w:tr>
      <w:tr w:rsidR="004C2D9A" w14:paraId="06399302" w14:textId="77777777">
        <w:tc>
          <w:tcPr>
            <w:tcW w:w="3120" w:type="dxa"/>
          </w:tcPr>
          <w:p w14:paraId="075F8E26" w14:textId="77777777" w:rsidR="004C2D9A" w:rsidRDefault="00000000">
            <w:r>
              <w:t>Conflict of Interest disclosure (CMS COI clause AUG 2024)</w:t>
            </w:r>
          </w:p>
        </w:tc>
        <w:tc>
          <w:tcPr>
            <w:tcW w:w="3120" w:type="dxa"/>
          </w:tcPr>
          <w:p w14:paraId="77DD01B9" w14:textId="77777777" w:rsidR="004C2D9A" w:rsidRDefault="00000000">
            <w:r>
              <w:t>Att. 2 §Volume III; Solicitation Conflict of Interest clause</w:t>
            </w:r>
          </w:p>
        </w:tc>
        <w:tc>
          <w:tcPr>
            <w:tcW w:w="3120" w:type="dxa"/>
          </w:tcPr>
          <w:p w14:paraId="7497FFB4" w14:textId="77777777" w:rsidR="004C2D9A" w:rsidRDefault="00000000">
            <w:r>
              <w:t>Volume III: Conflict of Interest</w:t>
            </w:r>
          </w:p>
        </w:tc>
      </w:tr>
      <w:tr w:rsidR="004C2D9A" w14:paraId="353EEFD7" w14:textId="77777777">
        <w:tc>
          <w:tcPr>
            <w:tcW w:w="3120" w:type="dxa"/>
          </w:tcPr>
          <w:p w14:paraId="69C95584" w14:textId="77777777" w:rsidR="004C2D9A" w:rsidRDefault="00000000">
            <w:r>
              <w:t>Section 508 Accessibility Compliance (Attachment 4 checklist)</w:t>
            </w:r>
          </w:p>
        </w:tc>
        <w:tc>
          <w:tcPr>
            <w:tcW w:w="3120" w:type="dxa"/>
          </w:tcPr>
          <w:p w14:paraId="6BE2A615" w14:textId="77777777" w:rsidR="004C2D9A" w:rsidRDefault="00000000">
            <w:r>
              <w:t>Att. 2 §Volume IV; Section 508 of the Rehabilitation Act</w:t>
            </w:r>
          </w:p>
        </w:tc>
        <w:tc>
          <w:tcPr>
            <w:tcW w:w="3120" w:type="dxa"/>
          </w:tcPr>
          <w:p w14:paraId="710A5A81" w14:textId="77777777" w:rsidR="004C2D9A" w:rsidRDefault="00000000">
            <w:r>
              <w:t>Volume IV: Section 508 Compliance</w:t>
            </w:r>
          </w:p>
        </w:tc>
      </w:tr>
      <w:tr w:rsidR="004C2D9A" w14:paraId="73C86E63" w14:textId="77777777">
        <w:tc>
          <w:tcPr>
            <w:tcW w:w="3120" w:type="dxa"/>
          </w:tcPr>
          <w:p w14:paraId="4A83D103" w14:textId="77777777" w:rsidR="004C2D9A" w:rsidRDefault="00000000">
            <w:r>
              <w:t>FedRAMP / HHS-OCIO Information Security &amp; Privacy</w:t>
            </w:r>
          </w:p>
        </w:tc>
        <w:tc>
          <w:tcPr>
            <w:tcW w:w="3120" w:type="dxa"/>
          </w:tcPr>
          <w:p w14:paraId="3DF64BFD" w14:textId="77777777" w:rsidR="004C2D9A" w:rsidRDefault="00000000">
            <w:r>
              <w:t>SOW §6 (Security &amp; Privacy); FedRAMP; HHS IS2P; CMS IS2P2</w:t>
            </w:r>
          </w:p>
        </w:tc>
        <w:tc>
          <w:tcPr>
            <w:tcW w:w="3120" w:type="dxa"/>
          </w:tcPr>
          <w:p w14:paraId="2CCDF1F7" w14:textId="77777777" w:rsidR="004C2D9A" w:rsidRDefault="00000000">
            <w:r>
              <w:t>Sections 1.2.7, 2.2; Risk Register R3, R9</w:t>
            </w:r>
          </w:p>
        </w:tc>
      </w:tr>
      <w:tr w:rsidR="004C2D9A" w14:paraId="55683F79" w14:textId="77777777">
        <w:tc>
          <w:tcPr>
            <w:tcW w:w="3120" w:type="dxa"/>
          </w:tcPr>
          <w:p w14:paraId="6B3FCE1D" w14:textId="77777777" w:rsidR="004C2D9A" w:rsidRDefault="00000000">
            <w:r>
              <w:t>Privacy Act SORN 09-70-0560 Compliance</w:t>
            </w:r>
          </w:p>
        </w:tc>
        <w:tc>
          <w:tcPr>
            <w:tcW w:w="3120" w:type="dxa"/>
          </w:tcPr>
          <w:p w14:paraId="09D31C02" w14:textId="77777777" w:rsidR="004C2D9A" w:rsidRDefault="00000000">
            <w:r>
              <w:t>SOW §6.2</w:t>
            </w:r>
          </w:p>
        </w:tc>
        <w:tc>
          <w:tcPr>
            <w:tcW w:w="3120" w:type="dxa"/>
          </w:tcPr>
          <w:p w14:paraId="02E63ABE" w14:textId="77777777" w:rsidR="004C2D9A" w:rsidRDefault="00000000">
            <w:r>
              <w:t>Sections 1.2.7, 2.2; Volume III</w:t>
            </w:r>
          </w:p>
        </w:tc>
      </w:tr>
    </w:tbl>
    <w:p w14:paraId="1B57E47F" w14:textId="77777777" w:rsidR="00D04840" w:rsidRDefault="00D04840"/>
    <w:sectPr w:rsidR="00D04840" w:rsidSect="000B1BCE">
      <w:pgSz w:w="12240" w:h="15840" w:code="1"/>
      <w:pgMar w:top="1440" w:right="1440" w:bottom="1440" w:left="1440" w:header="720"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60ECD" w14:textId="77777777" w:rsidR="00D04840" w:rsidRDefault="00D04840" w:rsidP="00C62BC7">
      <w:pPr>
        <w:spacing w:after="0"/>
      </w:pPr>
      <w:r>
        <w:separator/>
      </w:r>
    </w:p>
    <w:p w14:paraId="22827AD5" w14:textId="77777777" w:rsidR="00D04840" w:rsidRDefault="00D04840"/>
    <w:p w14:paraId="02AF053D" w14:textId="77777777" w:rsidR="00D04840" w:rsidRDefault="00D04840"/>
    <w:p w14:paraId="0F68B00F" w14:textId="77777777" w:rsidR="00D04840" w:rsidRDefault="00D04840"/>
    <w:p w14:paraId="3E36DA16" w14:textId="77777777" w:rsidR="00D04840" w:rsidRDefault="00D04840"/>
  </w:endnote>
  <w:endnote w:type="continuationSeparator" w:id="0">
    <w:p w14:paraId="53465B27" w14:textId="77777777" w:rsidR="00D04840" w:rsidRDefault="00D04840" w:rsidP="00C62BC7">
      <w:pPr>
        <w:spacing w:after="0"/>
      </w:pPr>
      <w:r>
        <w:continuationSeparator/>
      </w:r>
    </w:p>
    <w:p w14:paraId="4D23D6BC" w14:textId="77777777" w:rsidR="00D04840" w:rsidRDefault="00D04840"/>
    <w:p w14:paraId="72F1D5E4" w14:textId="77777777" w:rsidR="00D04840" w:rsidRDefault="00D04840"/>
    <w:p w14:paraId="42A785BD" w14:textId="77777777" w:rsidR="00D04840" w:rsidRDefault="00D04840"/>
    <w:p w14:paraId="2FC26B85" w14:textId="77777777" w:rsidR="00D04840" w:rsidRDefault="00D04840"/>
  </w:endnote>
  <w:endnote w:type="continuationNotice" w:id="1">
    <w:p w14:paraId="2CAD509E" w14:textId="77777777" w:rsidR="00D04840" w:rsidRDefault="00D04840">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6B33B" w14:textId="77777777" w:rsidR="0081417B" w:rsidRDefault="0073033A" w:rsidP="000B1BCE">
    <w:pPr>
      <w:pStyle w:val="Footer"/>
      <w:pBdr>
        <w:top w:val="none" w:sz="0" w:space="0" w:color="auto"/>
      </w:pBdr>
    </w:pPr>
    <w:r>
      <w:rPr>
        <w:noProof/>
      </w:rPr>
      <w:drawing>
        <wp:anchor distT="0" distB="0" distL="114300" distR="114300" simplePos="0" relativeHeight="251658242" behindDoc="0" locked="0" layoutInCell="1" allowOverlap="1" wp14:anchorId="03D1DD2E" wp14:editId="251ED98C">
          <wp:simplePos x="914400" y="9155875"/>
          <wp:positionH relativeFrom="column">
            <wp:align>center</wp:align>
          </wp:positionH>
          <wp:positionV relativeFrom="page">
            <wp:align>bottom</wp:align>
          </wp:positionV>
          <wp:extent cx="7772400" cy="411480"/>
          <wp:effectExtent l="0" t="0" r="0" b="762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2400" cy="411480"/>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5B30D" w14:textId="77777777" w:rsidR="000B1BCE" w:rsidRDefault="0073033A" w:rsidP="000B1BCE">
    <w:pPr>
      <w:pStyle w:val="Footer"/>
      <w:pBdr>
        <w:top w:val="none" w:sz="0" w:space="0" w:color="auto"/>
      </w:pBdr>
    </w:pPr>
    <w:r>
      <w:rPr>
        <w:noProof/>
      </w:rPr>
      <w:drawing>
        <wp:anchor distT="0" distB="0" distL="114300" distR="114300" simplePos="0" relativeHeight="251658243" behindDoc="0" locked="0" layoutInCell="1" allowOverlap="1" wp14:anchorId="2B8C8D4D" wp14:editId="4A159AB7">
          <wp:simplePos x="914400" y="9155875"/>
          <wp:positionH relativeFrom="column">
            <wp:align>center</wp:align>
          </wp:positionH>
          <wp:positionV relativeFrom="page">
            <wp:align>bottom</wp:align>
          </wp:positionV>
          <wp:extent cx="7772400" cy="411480"/>
          <wp:effectExtent l="0" t="0" r="0" b="762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2400" cy="411480"/>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93266" w14:textId="77777777" w:rsidR="00DF465D" w:rsidRPr="00954F5A" w:rsidRDefault="00DF465D" w:rsidP="00954F5A"/>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7F612" w14:textId="77777777" w:rsidR="00DF465D" w:rsidRDefault="664D4D32" w:rsidP="00B3746C">
    <w:pPr>
      <w:pStyle w:val="Footer2"/>
    </w:pPr>
    <w:r w:rsidRPr="664D4D32">
      <w:t>Use or disclosure of the data contained on this page is subject to the restrictions on the title page of this request.</w:t>
    </w:r>
    <w:r w:rsidR="00B3746C">
      <w:br/>
    </w:r>
    <w:r w:rsidRPr="664D4D32">
      <w:t xml:space="preserve">© 2026 Deloitte Development LLC. All rights reserved. </w:t>
    </w:r>
  </w:p>
  <w:p w14:paraId="4F97CF54" w14:textId="77777777" w:rsidR="00F85F11" w:rsidRPr="00B3746C" w:rsidRDefault="0073033A" w:rsidP="00B3746C">
    <w:pPr>
      <w:pStyle w:val="Footer2"/>
    </w:pPr>
    <w:r>
      <w:rPr>
        <w:noProof/>
      </w:rPr>
      <w:drawing>
        <wp:anchor distT="0" distB="0" distL="114300" distR="114300" simplePos="0" relativeHeight="251658244" behindDoc="0" locked="0" layoutInCell="1" allowOverlap="1" wp14:anchorId="1B6350A0" wp14:editId="4C18C0E6">
          <wp:simplePos x="914400" y="9250878"/>
          <wp:positionH relativeFrom="column">
            <wp:align>center</wp:align>
          </wp:positionH>
          <wp:positionV relativeFrom="page">
            <wp:align>bottom</wp:align>
          </wp:positionV>
          <wp:extent cx="7772400" cy="411480"/>
          <wp:effectExtent l="0" t="0" r="0" b="762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2400" cy="411480"/>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FC083" w14:textId="094BCEC8" w:rsidR="00DF465D" w:rsidRPr="00650037" w:rsidRDefault="00744B4B" w:rsidP="00ED3E50">
    <w:pPr>
      <w:pStyle w:val="Footer"/>
      <w:tabs>
        <w:tab w:val="clear" w:pos="4680"/>
      </w:tabs>
    </w:pPr>
    <w:fldSimple w:instr=" STYLEREF  &quot;Cover2_RFQ Number&quot;  \* MERGEFORMAT ">
      <w:r w:rsidR="0093340F">
        <w:rPr>
          <w:noProof/>
        </w:rPr>
        <w:t>Request for Quote (RFQ): 75FCMC26Q0068</w:t>
      </w:r>
    </w:fldSimple>
    <w:r>
      <w:t xml:space="preserve"> | </w:t>
    </w:r>
    <w:fldSimple w:instr=" STYLEREF  &quot;Cover Date&quot;  \* MERGEFORMAT ">
      <w:r w:rsidR="0093340F" w:rsidRPr="0093340F">
        <w:rPr>
          <w:bCs/>
          <w:noProof/>
        </w:rPr>
        <w:t>May 07, 2026</w:t>
      </w:r>
    </w:fldSimple>
    <w:r w:rsidR="00ED3E50">
      <w:tab/>
    </w:r>
    <w:r w:rsidR="00DF465D" w:rsidRPr="00650037">
      <w:fldChar w:fldCharType="begin"/>
    </w:r>
    <w:r w:rsidR="00DF465D" w:rsidRPr="00650037">
      <w:instrText xml:space="preserve"> PAGE  \* roman  \* MERGEFORMAT </w:instrText>
    </w:r>
    <w:r w:rsidR="00DF465D" w:rsidRPr="00650037">
      <w:fldChar w:fldCharType="separate"/>
    </w:r>
    <w:r w:rsidR="00AD3F08">
      <w:rPr>
        <w:noProof/>
      </w:rPr>
      <w:t>i</w:t>
    </w:r>
    <w:r w:rsidR="00DF465D" w:rsidRPr="00650037">
      <w:rPr>
        <w:noProof/>
      </w:rPr>
      <w:fldChar w:fldCharType="end"/>
    </w:r>
  </w:p>
  <w:p w14:paraId="7889240C" w14:textId="77777777" w:rsidR="00F85F11" w:rsidRDefault="73F98589" w:rsidP="00B3746C">
    <w:pPr>
      <w:pStyle w:val="Footer2"/>
    </w:pPr>
    <w:r w:rsidRPr="73F98589">
      <w:t>Use or disclosure of the data contained on this page is subject to the restrictions on the title page of this request.</w:t>
    </w:r>
    <w:r w:rsidR="00B3746C">
      <w:br/>
    </w:r>
    <w:r w:rsidRPr="73F98589">
      <w:t xml:space="preserve">© 2026 Deloitte Development LLC. All rights reserved. </w:t>
    </w:r>
  </w:p>
  <w:p w14:paraId="4038E4FC" w14:textId="77777777" w:rsidR="00DF465D" w:rsidRPr="00650037" w:rsidRDefault="0073033A" w:rsidP="00B3746C">
    <w:pPr>
      <w:pStyle w:val="Footer2"/>
    </w:pPr>
    <w:r>
      <w:rPr>
        <w:noProof/>
      </w:rPr>
      <w:drawing>
        <wp:anchor distT="0" distB="0" distL="114300" distR="114300" simplePos="0" relativeHeight="251658245" behindDoc="0" locked="0" layoutInCell="1" allowOverlap="1" wp14:anchorId="54067E59" wp14:editId="182A0349">
          <wp:simplePos x="914400" y="9250878"/>
          <wp:positionH relativeFrom="column">
            <wp:align>center</wp:align>
          </wp:positionH>
          <wp:positionV relativeFrom="page">
            <wp:align>bottom</wp:align>
          </wp:positionV>
          <wp:extent cx="7772400" cy="411480"/>
          <wp:effectExtent l="0" t="0" r="0" b="762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2400" cy="411480"/>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AC53D" w14:textId="77777777" w:rsidR="00DF465D" w:rsidRDefault="00DF465D" w:rsidP="008E2AB2">
    <w:pPr>
      <w:pStyle w:val="Footer"/>
    </w:pPr>
    <w:r>
      <w:fldChar w:fldCharType="begin"/>
    </w:r>
    <w:r>
      <w:instrText xml:space="preserve"> PAGE   \* MERGEFORMAT </w:instrText>
    </w:r>
    <w:r>
      <w:fldChar w:fldCharType="separate"/>
    </w:r>
    <w:r>
      <w:rPr>
        <w:noProof/>
      </w:rPr>
      <w:t>1</w:t>
    </w:r>
    <w:r>
      <w:rPr>
        <w:noProof/>
      </w:rPr>
      <w:fldChar w:fldCharType="end"/>
    </w:r>
    <w:r>
      <w:tab/>
    </w:r>
    <w:fldSimple w:instr="STYLEREF  &quot;Cover date&quot;  \* MERGEFORMAT">
      <w:r w:rsidR="0084034F">
        <w:rPr>
          <w:noProof/>
        </w:rPr>
        <w:t>Month DD, YYYY</w:t>
      </w:r>
    </w:fldSimple>
    <w:r w:rsidRPr="002C460E">
      <w:tab/>
    </w:r>
    <w:fldSimple w:instr="STYLEREF  &quot;Cover RFP Number&quot;  \* MERGEFORMAT">
      <w:r w:rsidR="0084034F">
        <w:rPr>
          <w:noProof/>
        </w:rPr>
        <w:t>Request for Proposal (RFP): Insert Number</w:t>
      </w:r>
    </w:fldSimple>
  </w:p>
  <w:p w14:paraId="46AD63FE" w14:textId="77777777" w:rsidR="00DF465D" w:rsidRDefault="00DF465D" w:rsidP="008E2AB2">
    <w:pPr>
      <w:pStyle w:val="Footer2"/>
    </w:pPr>
    <w:r w:rsidRPr="004A00E1">
      <w:t>Use or disclosure of the data contained on this page is subject to the restrictions on the title page of this proposal.</w:t>
    </w:r>
  </w:p>
  <w:p w14:paraId="04E1CEE9" w14:textId="77777777" w:rsidR="00091ED6" w:rsidRDefault="00091ED6"/>
  <w:p w14:paraId="65CB7218" w14:textId="77777777" w:rsidR="00DD42C7" w:rsidRDefault="00DD42C7"/>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1712B" w14:textId="634FB1D5" w:rsidR="00DF465D" w:rsidRPr="00650037" w:rsidRDefault="00744B4B" w:rsidP="00ED3E50">
    <w:pPr>
      <w:pStyle w:val="Footer"/>
      <w:tabs>
        <w:tab w:val="clear" w:pos="4680"/>
      </w:tabs>
    </w:pPr>
    <w:fldSimple w:instr=" STYLEREF  &quot;Cover2_RFQ Number&quot;  \* MERGEFORMAT ">
      <w:r w:rsidR="0093340F">
        <w:rPr>
          <w:noProof/>
        </w:rPr>
        <w:t>Request for Quote (RFQ): 75FCMC26Q0068</w:t>
      </w:r>
    </w:fldSimple>
    <w:r>
      <w:t xml:space="preserve"> | </w:t>
    </w:r>
    <w:fldSimple w:instr=" STYLEREF  &quot;Cover Date&quot;  \* MERGEFORMAT ">
      <w:r w:rsidR="0093340F" w:rsidRPr="0093340F">
        <w:rPr>
          <w:bCs/>
          <w:noProof/>
        </w:rPr>
        <w:t>May 07, 2026</w:t>
      </w:r>
    </w:fldSimple>
    <w:r w:rsidR="00ED3E50">
      <w:tab/>
    </w:r>
    <w:r w:rsidR="00DF465D" w:rsidRPr="00650037">
      <w:fldChar w:fldCharType="begin"/>
    </w:r>
    <w:r w:rsidR="00DF465D" w:rsidRPr="00650037">
      <w:instrText xml:space="preserve"> PAGE   \* MERGEFORMAT </w:instrText>
    </w:r>
    <w:r w:rsidR="00DF465D" w:rsidRPr="00650037">
      <w:fldChar w:fldCharType="separate"/>
    </w:r>
    <w:r w:rsidR="00AD3F08">
      <w:rPr>
        <w:noProof/>
      </w:rPr>
      <w:t>1</w:t>
    </w:r>
    <w:r w:rsidR="00DF465D" w:rsidRPr="00650037">
      <w:rPr>
        <w:noProof/>
      </w:rPr>
      <w:fldChar w:fldCharType="end"/>
    </w:r>
    <w:r w:rsidR="009804E4">
      <w:rPr>
        <w:noProof/>
      </w:rPr>
      <w:t xml:space="preserve"> of </w:t>
    </w:r>
    <w:r w:rsidR="009804E4">
      <w:rPr>
        <w:noProof/>
      </w:rPr>
      <w:fldChar w:fldCharType="begin"/>
    </w:r>
    <w:r w:rsidR="009804E4">
      <w:rPr>
        <w:noProof/>
      </w:rPr>
      <w:instrText xml:space="preserve"> SECTIONPAGES  </w:instrText>
    </w:r>
    <w:r w:rsidR="009804E4">
      <w:rPr>
        <w:noProof/>
      </w:rPr>
      <w:fldChar w:fldCharType="separate"/>
    </w:r>
    <w:r w:rsidR="0093340F">
      <w:rPr>
        <w:noProof/>
      </w:rPr>
      <w:t>62</w:t>
    </w:r>
    <w:r w:rsidR="009804E4">
      <w:rPr>
        <w:noProof/>
      </w:rPr>
      <w:fldChar w:fldCharType="end"/>
    </w:r>
  </w:p>
  <w:p w14:paraId="165F42BC" w14:textId="77777777" w:rsidR="002A3231" w:rsidRDefault="664D4D32" w:rsidP="002A3231">
    <w:pPr>
      <w:pStyle w:val="Footer2"/>
    </w:pPr>
    <w:r w:rsidRPr="664D4D32">
      <w:t>Use or disclosure of the data contained on this page is subject to the restrictions on the title page of this request.</w:t>
    </w:r>
    <w:r w:rsidR="00B3746C">
      <w:br/>
    </w:r>
    <w:r w:rsidRPr="664D4D32">
      <w:t xml:space="preserve">© 2026 Deloitte Development LLC. All rights reserved. </w:t>
    </w:r>
  </w:p>
  <w:p w14:paraId="5F8FDE0B" w14:textId="77777777" w:rsidR="00DD42C7" w:rsidRPr="002A3231" w:rsidRDefault="0073033A" w:rsidP="002A3231">
    <w:pPr>
      <w:pStyle w:val="Footer2"/>
    </w:pPr>
    <w:r>
      <w:rPr>
        <w:noProof/>
      </w:rPr>
      <w:drawing>
        <wp:anchor distT="0" distB="0" distL="114300" distR="114300" simplePos="0" relativeHeight="251658249" behindDoc="0" locked="0" layoutInCell="1" allowOverlap="1" wp14:anchorId="1ECCD107" wp14:editId="327BB44A">
          <wp:simplePos x="914400" y="9250878"/>
          <wp:positionH relativeFrom="column">
            <wp:align>center</wp:align>
          </wp:positionH>
          <wp:positionV relativeFrom="page">
            <wp:align>bottom</wp:align>
          </wp:positionV>
          <wp:extent cx="7772400" cy="411480"/>
          <wp:effectExtent l="0" t="0" r="0" b="7620"/>
          <wp:wrapNone/>
          <wp:docPr id="1347145351" name="Picture 1347145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2400" cy="411480"/>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35F47" w14:textId="6BFA7ED3" w:rsidR="006B1D96" w:rsidRPr="00650037" w:rsidRDefault="006B1D96" w:rsidP="00ED3E50">
    <w:pPr>
      <w:pStyle w:val="Footer"/>
      <w:tabs>
        <w:tab w:val="clear" w:pos="4680"/>
      </w:tabs>
    </w:pPr>
    <w:fldSimple w:instr=" STYLEREF  &quot;Cover2_RFQ Number&quot;  \* MERGEFORMAT ">
      <w:r w:rsidR="0093340F">
        <w:rPr>
          <w:noProof/>
        </w:rPr>
        <w:t>Request for Quote (RFQ): 75FCMC26Q0068</w:t>
      </w:r>
    </w:fldSimple>
    <w:r>
      <w:t xml:space="preserve"> | </w:t>
    </w:r>
    <w:fldSimple w:instr=" STYLEREF  &quot;Cover Date&quot;  \* MERGEFORMAT ">
      <w:r w:rsidR="0093340F" w:rsidRPr="0093340F">
        <w:rPr>
          <w:bCs/>
          <w:noProof/>
        </w:rPr>
        <w:t>May 07, 2026</w:t>
      </w:r>
    </w:fldSimple>
    <w:r>
      <w:tab/>
    </w:r>
    <w:r w:rsidR="00A9173D">
      <w:tab/>
    </w:r>
    <w:r w:rsidR="00A9173D">
      <w:tab/>
    </w:r>
    <w:r w:rsidR="00A9173D">
      <w:tab/>
    </w:r>
    <w:r w:rsidR="00A9173D">
      <w:tab/>
      <w:t xml:space="preserve">    </w:t>
    </w:r>
    <w:r w:rsidRPr="00650037">
      <w:fldChar w:fldCharType="begin"/>
    </w:r>
    <w:r w:rsidRPr="00650037">
      <w:instrText xml:space="preserve"> PAGE   \* MERGEFORMAT </w:instrText>
    </w:r>
    <w:r w:rsidRPr="00650037">
      <w:fldChar w:fldCharType="separate"/>
    </w:r>
    <w:r>
      <w:rPr>
        <w:noProof/>
      </w:rPr>
      <w:t>1</w:t>
    </w:r>
    <w:r w:rsidRPr="00650037">
      <w:rPr>
        <w:noProof/>
      </w:rPr>
      <w:fldChar w:fldCharType="end"/>
    </w:r>
    <w:r>
      <w:rPr>
        <w:noProof/>
      </w:rPr>
      <w:t xml:space="preserve"> of </w:t>
    </w:r>
    <w:r>
      <w:rPr>
        <w:noProof/>
      </w:rPr>
      <w:fldChar w:fldCharType="begin"/>
    </w:r>
    <w:r>
      <w:rPr>
        <w:noProof/>
      </w:rPr>
      <w:instrText xml:space="preserve"> SECTIONPAGES  </w:instrText>
    </w:r>
    <w:r>
      <w:rPr>
        <w:noProof/>
      </w:rPr>
      <w:fldChar w:fldCharType="separate"/>
    </w:r>
    <w:r w:rsidR="0093340F">
      <w:rPr>
        <w:noProof/>
      </w:rPr>
      <w:t>10</w:t>
    </w:r>
    <w:r>
      <w:rPr>
        <w:noProof/>
      </w:rPr>
      <w:fldChar w:fldCharType="end"/>
    </w:r>
  </w:p>
  <w:p w14:paraId="67BAF577" w14:textId="77777777" w:rsidR="006B1D96" w:rsidRDefault="006B1D96" w:rsidP="002A3231">
    <w:pPr>
      <w:pStyle w:val="Footer2"/>
    </w:pPr>
    <w:r w:rsidRPr="664D4D32">
      <w:t>Use or disclosure of the data contained on this page is subject to the restrictions on the title page of this request.</w:t>
    </w:r>
    <w:r>
      <w:br/>
    </w:r>
    <w:r w:rsidRPr="664D4D32">
      <w:t xml:space="preserve">© 2026 Deloitte Development LLC. All rights reserved. </w:t>
    </w:r>
  </w:p>
  <w:p w14:paraId="0A67CBCC" w14:textId="77777777" w:rsidR="00B70AE9" w:rsidRPr="002A3231" w:rsidRDefault="006B1D96" w:rsidP="002A3231">
    <w:pPr>
      <w:pStyle w:val="Footer2"/>
    </w:pPr>
    <w:r>
      <w:rPr>
        <w:noProof/>
      </w:rPr>
      <w:drawing>
        <wp:anchor distT="0" distB="0" distL="114300" distR="114300" simplePos="0" relativeHeight="251658250" behindDoc="0" locked="0" layoutInCell="1" allowOverlap="1" wp14:anchorId="514C592C" wp14:editId="3585EE9B">
          <wp:simplePos x="0" y="0"/>
          <wp:positionH relativeFrom="page">
            <wp:posOffset>25400</wp:posOffset>
          </wp:positionH>
          <wp:positionV relativeFrom="page">
            <wp:posOffset>7353300</wp:posOffset>
          </wp:positionV>
          <wp:extent cx="9988550" cy="411480"/>
          <wp:effectExtent l="0" t="0" r="0" b="7620"/>
          <wp:wrapNone/>
          <wp:docPr id="350066820" name="Picture 350066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88550" cy="411480"/>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E208E" w14:textId="1F45F221" w:rsidR="002515C5" w:rsidRPr="00650037" w:rsidRDefault="002515C5" w:rsidP="00ED3E50">
    <w:pPr>
      <w:pStyle w:val="Footer"/>
      <w:tabs>
        <w:tab w:val="clear" w:pos="4680"/>
      </w:tabs>
    </w:pPr>
    <w:fldSimple w:instr=" STYLEREF  &quot;Cover2_RFQ Number&quot;  \* MERGEFORMAT ">
      <w:r w:rsidR="00EC1036">
        <w:rPr>
          <w:noProof/>
        </w:rPr>
        <w:t>Request for Quote (RFQ): 75FCMC26Q0068</w:t>
      </w:r>
    </w:fldSimple>
    <w:r>
      <w:t xml:space="preserve"> | </w:t>
    </w:r>
    <w:fldSimple w:instr=" STYLEREF  &quot;Cover Date&quot;  \* MERGEFORMAT ">
      <w:r w:rsidR="00EC1036" w:rsidRPr="00EC1036">
        <w:rPr>
          <w:bCs/>
          <w:noProof/>
        </w:rPr>
        <w:t>May 07, 2026</w:t>
      </w:r>
    </w:fldSimple>
    <w:r>
      <w:tab/>
    </w:r>
    <w:r w:rsidRPr="00650037">
      <w:fldChar w:fldCharType="begin"/>
    </w:r>
    <w:r w:rsidRPr="00650037">
      <w:instrText xml:space="preserve"> PAGE   \* MERGEFORMAT </w:instrText>
    </w:r>
    <w:r w:rsidRPr="00650037">
      <w:fldChar w:fldCharType="separate"/>
    </w:r>
    <w:r>
      <w:rPr>
        <w:noProof/>
      </w:rPr>
      <w:t>1</w:t>
    </w:r>
    <w:r w:rsidRPr="00650037">
      <w:rPr>
        <w:noProof/>
      </w:rPr>
      <w:fldChar w:fldCharType="end"/>
    </w:r>
    <w:r>
      <w:rPr>
        <w:noProof/>
      </w:rPr>
      <w:t xml:space="preserve"> of </w:t>
    </w:r>
    <w:r>
      <w:rPr>
        <w:noProof/>
      </w:rPr>
      <w:fldChar w:fldCharType="begin"/>
    </w:r>
    <w:r>
      <w:rPr>
        <w:noProof/>
      </w:rPr>
      <w:instrText xml:space="preserve"> SECTIONPAGES  </w:instrText>
    </w:r>
    <w:r>
      <w:rPr>
        <w:noProof/>
      </w:rPr>
      <w:fldChar w:fldCharType="separate"/>
    </w:r>
    <w:r w:rsidR="00EC1036">
      <w:rPr>
        <w:noProof/>
      </w:rPr>
      <w:t>1</w:t>
    </w:r>
    <w:r>
      <w:rPr>
        <w:noProof/>
      </w:rPr>
      <w:fldChar w:fldCharType="end"/>
    </w:r>
  </w:p>
  <w:p w14:paraId="46E3A6FA" w14:textId="77777777" w:rsidR="002515C5" w:rsidRDefault="002515C5" w:rsidP="002A3231">
    <w:pPr>
      <w:pStyle w:val="Footer2"/>
    </w:pPr>
    <w:r w:rsidRPr="664D4D32">
      <w:t>Use or disclosure of the data contained on this page is subject to the restrictions on the title page of this request.</w:t>
    </w:r>
    <w:r>
      <w:br/>
    </w:r>
    <w:r w:rsidRPr="664D4D32">
      <w:t xml:space="preserve">© 2026 Deloitte Development LLC. All rights reserved. </w:t>
    </w:r>
  </w:p>
  <w:p w14:paraId="268991EC" w14:textId="77777777" w:rsidR="002515C5" w:rsidRPr="002A3231" w:rsidRDefault="002515C5" w:rsidP="002A3231">
    <w:pPr>
      <w:pStyle w:val="Footer2"/>
    </w:pPr>
    <w:r>
      <w:rPr>
        <w:noProof/>
      </w:rPr>
      <w:drawing>
        <wp:anchor distT="0" distB="0" distL="114300" distR="114300" simplePos="0" relativeHeight="251658247" behindDoc="0" locked="0" layoutInCell="1" allowOverlap="1" wp14:anchorId="4A2C2B7A" wp14:editId="1B8CBB9E">
          <wp:simplePos x="914400" y="9250878"/>
          <wp:positionH relativeFrom="column">
            <wp:align>center</wp:align>
          </wp:positionH>
          <wp:positionV relativeFrom="page">
            <wp:align>bottom</wp:align>
          </wp:positionV>
          <wp:extent cx="7772400" cy="411480"/>
          <wp:effectExtent l="0" t="0" r="0" b="7620"/>
          <wp:wrapNone/>
          <wp:docPr id="945015676" name="Picture 945015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2400" cy="411480"/>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99328" w14:textId="16E3AE89" w:rsidR="00E76701" w:rsidRPr="00650037" w:rsidRDefault="00E76701" w:rsidP="00ED3E50">
    <w:pPr>
      <w:pStyle w:val="Footer"/>
      <w:tabs>
        <w:tab w:val="clear" w:pos="4680"/>
      </w:tabs>
    </w:pPr>
    <w:fldSimple w:instr=" STYLEREF  &quot;Cover2_RFQ Number&quot;  \* MERGEFORMAT ">
      <w:r w:rsidR="0093340F">
        <w:rPr>
          <w:noProof/>
        </w:rPr>
        <w:t>Request for Quote (RFQ): 75FCMC26Q0068</w:t>
      </w:r>
    </w:fldSimple>
    <w:r>
      <w:t xml:space="preserve"> | </w:t>
    </w:r>
    <w:fldSimple w:instr=" STYLEREF  &quot;Cover Date&quot;  \* MERGEFORMAT ">
      <w:r w:rsidR="0093340F" w:rsidRPr="0093340F">
        <w:rPr>
          <w:bCs/>
          <w:noProof/>
        </w:rPr>
        <w:t>May 07, 2026</w:t>
      </w:r>
    </w:fldSimple>
    <w:r>
      <w:tab/>
    </w:r>
    <w:r w:rsidR="00E80859">
      <w:t>A-</w:t>
    </w:r>
    <w:r w:rsidRPr="00650037">
      <w:fldChar w:fldCharType="begin"/>
    </w:r>
    <w:r w:rsidRPr="00650037">
      <w:instrText xml:space="preserve"> PAGE   \* MERGEFORMAT </w:instrText>
    </w:r>
    <w:r w:rsidRPr="00650037">
      <w:fldChar w:fldCharType="separate"/>
    </w:r>
    <w:r>
      <w:rPr>
        <w:noProof/>
      </w:rPr>
      <w:t>1</w:t>
    </w:r>
    <w:r w:rsidRPr="00650037">
      <w:rPr>
        <w:noProof/>
      </w:rPr>
      <w:fldChar w:fldCharType="end"/>
    </w:r>
    <w:r>
      <w:rPr>
        <w:noProof/>
      </w:rPr>
      <w:t xml:space="preserve"> of </w:t>
    </w:r>
    <w:r w:rsidR="00E80859">
      <w:rPr>
        <w:noProof/>
      </w:rPr>
      <w:t>A-</w:t>
    </w:r>
    <w:r>
      <w:rPr>
        <w:noProof/>
      </w:rPr>
      <w:fldChar w:fldCharType="begin"/>
    </w:r>
    <w:r>
      <w:rPr>
        <w:noProof/>
      </w:rPr>
      <w:instrText xml:space="preserve"> SECTIONPAGES  </w:instrText>
    </w:r>
    <w:r>
      <w:rPr>
        <w:noProof/>
      </w:rPr>
      <w:fldChar w:fldCharType="separate"/>
    </w:r>
    <w:r w:rsidR="0093340F">
      <w:rPr>
        <w:noProof/>
      </w:rPr>
      <w:t>8</w:t>
    </w:r>
    <w:r>
      <w:rPr>
        <w:noProof/>
      </w:rPr>
      <w:fldChar w:fldCharType="end"/>
    </w:r>
  </w:p>
  <w:p w14:paraId="1B6F1A6F" w14:textId="77777777" w:rsidR="00E76701" w:rsidRDefault="00E76701" w:rsidP="002A3231">
    <w:pPr>
      <w:pStyle w:val="Footer2"/>
    </w:pPr>
    <w:r w:rsidRPr="664D4D32">
      <w:t>Use or disclosure of the data contained on this page is subject to the restrictions on the title page of this request.</w:t>
    </w:r>
    <w:r>
      <w:br/>
    </w:r>
    <w:r w:rsidRPr="664D4D32">
      <w:t xml:space="preserve">© 2026 Deloitte Development LLC. All rights reserved. </w:t>
    </w:r>
  </w:p>
  <w:p w14:paraId="1055D0F2" w14:textId="77777777" w:rsidR="00E76701" w:rsidRPr="002A3231" w:rsidRDefault="00E76701" w:rsidP="002A3231">
    <w:pPr>
      <w:pStyle w:val="Footer2"/>
    </w:pPr>
    <w:r>
      <w:rPr>
        <w:noProof/>
      </w:rPr>
      <w:drawing>
        <wp:anchor distT="0" distB="0" distL="114300" distR="114300" simplePos="0" relativeHeight="251658248" behindDoc="0" locked="0" layoutInCell="1" allowOverlap="1" wp14:anchorId="67FBD8E0" wp14:editId="43BC053B">
          <wp:simplePos x="914400" y="9250878"/>
          <wp:positionH relativeFrom="column">
            <wp:align>center</wp:align>
          </wp:positionH>
          <wp:positionV relativeFrom="page">
            <wp:align>bottom</wp:align>
          </wp:positionV>
          <wp:extent cx="7772400" cy="411480"/>
          <wp:effectExtent l="0" t="0" r="0" b="7620"/>
          <wp:wrapNone/>
          <wp:docPr id="978710181" name="Picture 978710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2400" cy="411480"/>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2FFD6B" w14:textId="77777777" w:rsidR="00D04840" w:rsidRDefault="00D04840" w:rsidP="007D7758">
      <w:pPr>
        <w:spacing w:after="0"/>
      </w:pPr>
      <w:r>
        <w:separator/>
      </w:r>
    </w:p>
    <w:p w14:paraId="6D19A040" w14:textId="77777777" w:rsidR="00D04840" w:rsidRDefault="00D04840"/>
  </w:footnote>
  <w:footnote w:type="continuationSeparator" w:id="0">
    <w:p w14:paraId="3DBCF457" w14:textId="77777777" w:rsidR="00D04840" w:rsidRDefault="00D04840" w:rsidP="00C62BC7">
      <w:pPr>
        <w:spacing w:after="0"/>
      </w:pPr>
      <w:r>
        <w:continuationSeparator/>
      </w:r>
    </w:p>
    <w:p w14:paraId="14F6704B" w14:textId="77777777" w:rsidR="00D04840" w:rsidRDefault="00D04840"/>
    <w:p w14:paraId="4D3EBA0C" w14:textId="77777777" w:rsidR="00D04840" w:rsidRDefault="00D04840"/>
    <w:p w14:paraId="7A743F2A" w14:textId="77777777" w:rsidR="00D04840" w:rsidRDefault="00D04840"/>
    <w:p w14:paraId="58A8222C" w14:textId="77777777" w:rsidR="00D04840" w:rsidRDefault="00D04840"/>
  </w:footnote>
  <w:footnote w:type="continuationNotice" w:id="1">
    <w:p w14:paraId="6F1F2F52" w14:textId="77777777" w:rsidR="00D04840" w:rsidRDefault="00D04840">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16140" w14:textId="77777777" w:rsidR="00DF465D" w:rsidRDefault="00DF465D" w:rsidP="000A0FFF">
    <w:pPr>
      <w:pStyle w:val="ClassifiedHeaderFooter"/>
    </w:pPr>
    <w:r>
      <w:rPr>
        <w:noProof/>
      </w:rPr>
      <w:drawing>
        <wp:anchor distT="0" distB="0" distL="114300" distR="114300" simplePos="0" relativeHeight="251658241" behindDoc="0" locked="1" layoutInCell="1" allowOverlap="1" wp14:anchorId="523039DF" wp14:editId="5B7C2198">
          <wp:simplePos x="0" y="0"/>
          <wp:positionH relativeFrom="margin">
            <wp:align>left</wp:align>
          </wp:positionH>
          <wp:positionV relativeFrom="topMargin">
            <wp:align>bottom</wp:align>
          </wp:positionV>
          <wp:extent cx="1828800" cy="565150"/>
          <wp:effectExtent l="0" t="0" r="0" b="635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
                  <a:stretch>
                    <a:fillRect/>
                  </a:stretch>
                </pic:blipFill>
                <pic:spPr>
                  <a:xfrm>
                    <a:off x="0" y="0"/>
                    <a:ext cx="1828800" cy="56515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EF458" w14:textId="77777777" w:rsidR="00DF465D" w:rsidRPr="00954F5A" w:rsidRDefault="00DF465D" w:rsidP="00954F5A"/>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FB281" w14:textId="77777777" w:rsidR="00B90E6C" w:rsidRPr="00B90E6C" w:rsidRDefault="003C797C" w:rsidP="00B90E6C">
    <w:pPr>
      <w:pStyle w:val="Header"/>
      <w:jc w:val="left"/>
    </w:pPr>
    <w:r>
      <w:rPr>
        <w:noProof/>
      </w:rPr>
      <w:drawing>
        <wp:inline distT="0" distB="0" distL="0" distR="0" wp14:anchorId="41607852" wp14:editId="32300893">
          <wp:extent cx="1828800" cy="564844"/>
          <wp:effectExtent l="0" t="0" r="0" b="6985"/>
          <wp:docPr id="274837385"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837385" name="Picture 1" descr="A black background with a black square&#10;&#10;AI-generated content may be incorrect."/>
                  <pic:cNvPicPr>
                    <a:picLocks noChangeAspect="1"/>
                  </pic:cNvPicPr>
                </pic:nvPicPr>
                <pic:blipFill>
                  <a:blip r:embed="rId1"/>
                  <a:stretch>
                    <a:fillRect/>
                  </a:stretch>
                </pic:blipFill>
                <pic:spPr>
                  <a:xfrm>
                    <a:off x="0" y="0"/>
                    <a:ext cx="1828800" cy="564844"/>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B199E" w14:textId="77777777" w:rsidR="00DF465D" w:rsidRDefault="00DF465D" w:rsidP="000A0FFF">
    <w:pPr>
      <w:pStyle w:val="ClassifiedHeaderFooter"/>
    </w:pPr>
    <w:r>
      <w:rPr>
        <w:noProof/>
      </w:rPr>
      <mc:AlternateContent>
        <mc:Choice Requires="wps">
          <w:drawing>
            <wp:anchor distT="0" distB="0" distL="114300" distR="114300" simplePos="0" relativeHeight="251658240" behindDoc="0" locked="1" layoutInCell="1" allowOverlap="1" wp14:anchorId="4E3305FC" wp14:editId="1679762E">
              <wp:simplePos x="0" y="0"/>
              <wp:positionH relativeFrom="column">
                <wp:posOffset>4108450</wp:posOffset>
              </wp:positionH>
              <wp:positionV relativeFrom="margin">
                <wp:align>top</wp:align>
              </wp:positionV>
              <wp:extent cx="2463800" cy="539750"/>
              <wp:effectExtent l="0" t="0" r="12700" b="1270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63800" cy="539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478358" w14:textId="77777777" w:rsidR="00744B4B" w:rsidRPr="00744B4B" w:rsidRDefault="00744B4B" w:rsidP="00906928">
                          <w:pPr>
                            <w:pStyle w:val="LetterheadAddress"/>
                          </w:pPr>
                          <w:r w:rsidRPr="00744B4B">
                            <w:rPr>
                              <w:rStyle w:val="CoverFSSEntityName"/>
                            </w:rPr>
                            <w:fldChar w:fldCharType="begin"/>
                          </w:r>
                          <w:r w:rsidRPr="00744B4B">
                            <w:rPr>
                              <w:rStyle w:val="CoverFSSEntityName"/>
                            </w:rPr>
                            <w:instrText xml:space="preserve"> FILLIN  "FSS Entity Name"  \* MERGEFORMAT </w:instrText>
                          </w:r>
                          <w:r w:rsidRPr="00744B4B">
                            <w:rPr>
                              <w:rStyle w:val="CoverFSSEntityName"/>
                            </w:rPr>
                            <w:fldChar w:fldCharType="separate"/>
                          </w:r>
                          <w:r w:rsidR="00E65057">
                            <w:rPr>
                              <w:rStyle w:val="CoverFSSEntityName"/>
                            </w:rPr>
                            <w:t>Deloitte Consulting LLP</w:t>
                          </w:r>
                          <w:r w:rsidRPr="00744B4B">
                            <w:rPr>
                              <w:rStyle w:val="CoverFSSEntityName"/>
                            </w:rPr>
                            <w:fldChar w:fldCharType="end"/>
                          </w:r>
                        </w:p>
                        <w:p w14:paraId="3A868B14" w14:textId="77777777" w:rsidR="00DF465D" w:rsidRPr="00383C4F" w:rsidRDefault="00DF465D" w:rsidP="00906928">
                          <w:pPr>
                            <w:pStyle w:val="LetterheadAddress"/>
                          </w:pPr>
                          <w:r w:rsidRPr="00383C4F">
                            <w:t>1919 North Lynn Street</w:t>
                          </w:r>
                          <w:r w:rsidR="00F85F11" w:rsidRPr="00383C4F">
                            <w:t xml:space="preserve"> </w:t>
                          </w:r>
                          <w:r w:rsidRPr="00383C4F">
                            <w:t>Arlington, VA 22209</w:t>
                          </w:r>
                        </w:p>
                        <w:p w14:paraId="56925C60" w14:textId="77777777" w:rsidR="00DF465D" w:rsidRPr="00383C4F" w:rsidRDefault="00DF465D" w:rsidP="00906928">
                          <w:pPr>
                            <w:pStyle w:val="LetterheadAddress"/>
                          </w:pPr>
                          <w:proofErr w:type="gramStart"/>
                          <w:r w:rsidRPr="00383C4F">
                            <w:t>Tel:</w:t>
                          </w:r>
                          <w:proofErr w:type="gramEnd"/>
                          <w:r w:rsidRPr="00383C4F">
                            <w:t xml:space="preserve"> +1 </w:t>
                          </w:r>
                          <w:r w:rsidR="00253250" w:rsidRPr="00383C4F">
                            <w:t>(</w:t>
                          </w:r>
                          <w:r w:rsidRPr="00383C4F">
                            <w:t>571</w:t>
                          </w:r>
                          <w:r w:rsidR="00253250" w:rsidRPr="00383C4F">
                            <w:t>)</w:t>
                          </w:r>
                          <w:r w:rsidRPr="00383C4F">
                            <w:t xml:space="preserve"> 882</w:t>
                          </w:r>
                          <w:r w:rsidR="00253250" w:rsidRPr="00383C4F">
                            <w:t>-</w:t>
                          </w:r>
                          <w:r w:rsidRPr="00383C4F">
                            <w:t>5000</w:t>
                          </w:r>
                        </w:p>
                        <w:p w14:paraId="47EEAE1C" w14:textId="77777777" w:rsidR="00DF465D" w:rsidRPr="00383C4F" w:rsidRDefault="00DF465D" w:rsidP="00906928">
                          <w:pPr>
                            <w:pStyle w:val="LetterheadAddress"/>
                          </w:pPr>
                          <w:r w:rsidRPr="00383C4F">
                            <w:t>www.deloitte.com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E3305FC" id="_x0000_t202" coordsize="21600,21600" o:spt="202" path="m,l,21600r21600,l21600,xe">
              <v:stroke joinstyle="miter"/>
              <v:path gradientshapeok="t" o:connecttype="rect"/>
            </v:shapetype>
            <v:shape id="Text Box 1" o:spid="_x0000_s1026" type="#_x0000_t202" style="position:absolute;left:0;text-align:left;margin-left:323.5pt;margin-top:0;width:194pt;height:42.5pt;z-index:251658240;visibility:visible;mso-wrap-style:square;mso-width-percent:0;mso-height-percent:0;mso-wrap-distance-left:9pt;mso-wrap-distance-top:0;mso-wrap-distance-right:9pt;mso-wrap-distance-bottom:0;mso-position-horizontal:absolute;mso-position-horizontal-relative:text;mso-position-vertical:top;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" filled="f" stroked="f">
              <v:textbox inset="0,0,0,0">
                <w:txbxContent>
                  <w:p w14:paraId="08478358" w14:textId="77777777" w:rsidR="00744B4B" w:rsidRPr="00744B4B" w:rsidRDefault="00744B4B" w:rsidP="00906928">
                    <w:pPr>
                      <w:pStyle w:val="LetterheadAddress"/>
                    </w:pPr>
                    <w:r w:rsidRPr="00744B4B">
                      <w:rPr>
                        <w:rStyle w:val="CoverFSSEntityName"/>
                      </w:rPr>
                      <w:fldChar w:fldCharType="begin"/>
                    </w:r>
                    <w:r w:rsidRPr="00744B4B">
                      <w:rPr>
                        <w:rStyle w:val="CoverFSSEntityName"/>
                      </w:rPr>
                      <w:instrText xml:space="preserve"> FILLIN  "FSS Entity Name"  \* MERGEFORMAT </w:instrText>
                    </w:r>
                    <w:r w:rsidRPr="00744B4B">
                      <w:rPr>
                        <w:rStyle w:val="CoverFSSEntityName"/>
                      </w:rPr>
                      <w:fldChar w:fldCharType="separate"/>
                    </w:r>
                    <w:r w:rsidR="00E65057">
                      <w:rPr>
                        <w:rStyle w:val="CoverFSSEntityName"/>
                      </w:rPr>
                      <w:t>Deloitte Consulting LLP</w:t>
                    </w:r>
                    <w:r w:rsidRPr="00744B4B">
                      <w:rPr>
                        <w:rStyle w:val="CoverFSSEntityName"/>
                      </w:rPr>
                      <w:fldChar w:fldCharType="end"/>
                    </w:r>
                  </w:p>
                  <w:p w14:paraId="3A868B14" w14:textId="77777777" w:rsidR="00DF465D" w:rsidRPr="00383C4F" w:rsidRDefault="00DF465D" w:rsidP="00906928">
                    <w:pPr>
                      <w:pStyle w:val="LetterheadAddress"/>
                    </w:pPr>
                    <w:r w:rsidRPr="00383C4F">
                      <w:t>1919 North Lynn Street</w:t>
                    </w:r>
                    <w:r w:rsidR="00F85F11" w:rsidRPr="00383C4F">
                      <w:t xml:space="preserve"> </w:t>
                    </w:r>
                    <w:r w:rsidRPr="00383C4F">
                      <w:t>Arlington, VA 22209</w:t>
                    </w:r>
                  </w:p>
                  <w:p w14:paraId="56925C60" w14:textId="77777777" w:rsidR="00DF465D" w:rsidRPr="00383C4F" w:rsidRDefault="00DF465D" w:rsidP="00906928">
                    <w:pPr>
                      <w:pStyle w:val="LetterheadAddress"/>
                    </w:pPr>
                    <w:proofErr w:type="gramStart"/>
                    <w:r w:rsidRPr="00383C4F">
                      <w:t>Tel:</w:t>
                    </w:r>
                    <w:proofErr w:type="gramEnd"/>
                    <w:r w:rsidRPr="00383C4F">
                      <w:t xml:space="preserve"> +1 </w:t>
                    </w:r>
                    <w:r w:rsidR="00253250" w:rsidRPr="00383C4F">
                      <w:t>(</w:t>
                    </w:r>
                    <w:r w:rsidRPr="00383C4F">
                      <w:t>571</w:t>
                    </w:r>
                    <w:r w:rsidR="00253250" w:rsidRPr="00383C4F">
                      <w:t>)</w:t>
                    </w:r>
                    <w:r w:rsidRPr="00383C4F">
                      <w:t xml:space="preserve"> 882</w:t>
                    </w:r>
                    <w:r w:rsidR="00253250" w:rsidRPr="00383C4F">
                      <w:t>-</w:t>
                    </w:r>
                    <w:r w:rsidRPr="00383C4F">
                      <w:t>5000</w:t>
                    </w:r>
                  </w:p>
                  <w:p w14:paraId="47EEAE1C" w14:textId="77777777" w:rsidR="00DF465D" w:rsidRPr="00383C4F" w:rsidRDefault="00DF465D" w:rsidP="00906928">
                    <w:pPr>
                      <w:pStyle w:val="LetterheadAddress"/>
                    </w:pPr>
                    <w:r w:rsidRPr="00383C4F">
                      <w:t>www.deloitte.com</w:t>
                    </w:r>
                  </w:p>
                </w:txbxContent>
              </v:textbox>
              <w10:wrap anchory="margin"/>
              <w10:anchorlock/>
            </v:shape>
          </w:pict>
        </mc:Fallback>
      </mc:AlternateContent>
    </w:r>
    <w:r w:rsidR="00EA2382">
      <w:rPr>
        <w:noProof/>
      </w:rPr>
      <w:drawing>
        <wp:anchor distT="0" distB="0" distL="114300" distR="114300" simplePos="0" relativeHeight="251658246" behindDoc="0" locked="1" layoutInCell="1" allowOverlap="1" wp14:anchorId="244247A4" wp14:editId="131943CD">
          <wp:simplePos x="0" y="0"/>
          <wp:positionH relativeFrom="margin">
            <wp:align>left</wp:align>
          </wp:positionH>
          <wp:positionV relativeFrom="topMargin">
            <wp:align>bottom</wp:align>
          </wp:positionV>
          <wp:extent cx="1828800" cy="565150"/>
          <wp:effectExtent l="0" t="0" r="0" b="6350"/>
          <wp:wrapNone/>
          <wp:docPr id="72491297" name="Picture 72491297"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91297" name="Picture 72491297" descr="A black background with a black square&#10;&#10;AI-generated content may be incorrect."/>
                  <pic:cNvPicPr/>
                </pic:nvPicPr>
                <pic:blipFill>
                  <a:blip r:embed="rId1"/>
                  <a:stretch>
                    <a:fillRect/>
                  </a:stretch>
                </pic:blipFill>
                <pic:spPr>
                  <a:xfrm>
                    <a:off x="0" y="0"/>
                    <a:ext cx="1828800" cy="565150"/>
                  </a:xfrm>
                  <a:prstGeom prst="rect">
                    <a:avLst/>
                  </a:prstGeom>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1728"/>
      <w:gridCol w:w="7632"/>
    </w:tblGrid>
    <w:tr w:rsidR="00FE2A88" w:rsidRPr="008F5003" w14:paraId="6039C408" w14:textId="77777777" w:rsidTr="000528F1">
      <w:tc>
        <w:tcPr>
          <w:tcW w:w="1674" w:type="dxa"/>
        </w:tcPr>
        <w:p w14:paraId="3E38DD81" w14:textId="77777777" w:rsidR="00FE2A88" w:rsidRPr="00A12875" w:rsidRDefault="00FE2A88" w:rsidP="002751EE">
          <w:pPr>
            <w:pStyle w:val="Header"/>
            <w:jc w:val="center"/>
          </w:pPr>
          <w:r>
            <w:rPr>
              <w:noProof/>
            </w:rPr>
            <w:drawing>
              <wp:inline distT="0" distB="0" distL="0" distR="0" wp14:anchorId="6CAD08ED" wp14:editId="18C129E9">
                <wp:extent cx="960120" cy="297011"/>
                <wp:effectExtent l="0" t="0" r="0" b="825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
                        <a:stretch>
                          <a:fillRect/>
                        </a:stretch>
                      </pic:blipFill>
                      <pic:spPr>
                        <a:xfrm>
                          <a:off x="0" y="0"/>
                          <a:ext cx="960120" cy="297011"/>
                        </a:xfrm>
                        <a:prstGeom prst="rect">
                          <a:avLst/>
                        </a:prstGeom>
                      </pic:spPr>
                    </pic:pic>
                  </a:graphicData>
                </a:graphic>
              </wp:inline>
            </w:drawing>
          </w:r>
        </w:p>
      </w:tc>
      <w:tc>
        <w:tcPr>
          <w:tcW w:w="7830" w:type="dxa"/>
        </w:tcPr>
        <w:p w14:paraId="26967E4C" w14:textId="431A1C8E" w:rsidR="00E41AF0" w:rsidRDefault="008C1628" w:rsidP="00744B4B">
          <w:pPr>
            <w:pStyle w:val="Header"/>
            <w:rPr>
              <w:noProof/>
            </w:rPr>
          </w:pPr>
          <w:fldSimple w:instr="STYLEREF  &quot;Cover title&quot;  \* MERGEFORMAT">
            <w:r w:rsidR="0093340F">
              <w:rPr>
                <w:noProof/>
              </w:rPr>
              <w:t>Centers for Medicare &amp; Medicaid Services (CMS)</w:t>
            </w:r>
          </w:fldSimple>
        </w:p>
        <w:p w14:paraId="7677FAAE" w14:textId="604D6F03" w:rsidR="00744B4B" w:rsidRPr="008F5003" w:rsidRDefault="008C1628" w:rsidP="00744B4B">
          <w:pPr>
            <w:pStyle w:val="Header"/>
            <w:rPr>
              <w:noProof/>
            </w:rPr>
          </w:pPr>
          <w:fldSimple w:instr="STYLEREF  &quot;Cover subhead&quot;  \* MERGEFORMAT">
            <w:r w:rsidR="0093340F">
              <w:rPr>
                <w:noProof/>
              </w:rPr>
              <w:t>CCIIO Enrollment Resolution &amp; Reconciliation (ER&amp;R), Form 1095-A Data Reporting</w:t>
            </w:r>
          </w:fldSimple>
        </w:p>
        <w:p w14:paraId="73D8D394" w14:textId="02652F9E" w:rsidR="00744B4B" w:rsidRPr="001462ED" w:rsidRDefault="008C1628" w:rsidP="001462ED">
          <w:pPr>
            <w:pStyle w:val="Header"/>
            <w:rPr>
              <w:bCs/>
              <w:noProof/>
            </w:rPr>
          </w:pPr>
          <w:fldSimple w:instr="STYLEREF  &quot;Cover volume number&quot;  \* MERGEFORMAT">
            <w:r w:rsidR="0093340F" w:rsidRPr="0093340F">
              <w:rPr>
                <w:bCs/>
                <w:noProof/>
              </w:rPr>
              <w:t>Volume I – Technical Proposal</w:t>
            </w:r>
          </w:fldSimple>
        </w:p>
      </w:tc>
    </w:tr>
  </w:tbl>
  <w:p w14:paraId="23225D12" w14:textId="77777777" w:rsidR="00DF465D" w:rsidRPr="00FE2A88" w:rsidRDefault="00DF465D" w:rsidP="00CA534D">
    <w:pPr>
      <w:pStyle w:val="ParagraphSpac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7553B" w14:textId="77777777" w:rsidR="00DF465D" w:rsidRPr="002C460E" w:rsidRDefault="00DF465D">
    <w:pPr>
      <w:pStyle w:val="Header"/>
    </w:pPr>
    <w:r w:rsidRPr="002C460E">
      <w:tab/>
    </w:r>
    <w:fldSimple w:instr="STYLEREF  &quot;Cover title&quot;  \* MERGEFORMAT">
      <w:r w:rsidR="0084034F">
        <w:rPr>
          <w:noProof/>
        </w:rPr>
        <w:t>Agency of the Federal Government Title</w:t>
      </w:r>
    </w:fldSimple>
    <w:r w:rsidRPr="002C460E">
      <w:br/>
    </w:r>
    <w:fldSimple w:instr="STYLEREF  &quot;Cover volume number&quot;  \* MERGEFORMAT">
      <w:r w:rsidR="0084034F">
        <w:rPr>
          <w:noProof/>
        </w:rPr>
        <w:t>Volume I – Technical Proposal</w:t>
      </w:r>
    </w:fldSimple>
    <w:r w:rsidRPr="002C460E">
      <w:tab/>
    </w:r>
    <w:fldSimple w:instr="STYLEREF  &quot;Cover subhead&quot;  \* MERGEFORMAT">
      <w:r w:rsidR="0084034F">
        <w:rPr>
          <w:noProof/>
        </w:rPr>
        <w:t>Project description or name</w:t>
      </w:r>
    </w:fldSimple>
  </w:p>
  <w:p w14:paraId="7C8D6E27" w14:textId="77777777" w:rsidR="00091ED6" w:rsidRDefault="00091ED6"/>
  <w:p w14:paraId="58C7D76F" w14:textId="77777777" w:rsidR="00DD42C7" w:rsidRDefault="00DD42C7"/>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54B19" w14:textId="77777777" w:rsidR="00DF465D" w:rsidRDefault="0084034F" w:rsidP="00705700">
    <w:pPr>
      <w:pStyle w:val="Header"/>
    </w:pPr>
    <w:fldSimple w:instr="STYLEREF  &quot;Cover title&quot;  \* MERGEFORMAT">
      <w:r>
        <w:rPr>
          <w:noProof/>
        </w:rPr>
        <w:t>Agency of the Federal Government Title</w:t>
      </w:r>
    </w:fldSimple>
    <w:r w:rsidR="00DF465D" w:rsidRPr="007F58A9">
      <w:br/>
    </w:r>
    <w:fldSimple w:instr="STYLEREF  &quot;Cover subhead&quot;  \* MERGEFORMAT">
      <w:r>
        <w:rPr>
          <w:noProof/>
        </w:rPr>
        <w:t>Project description or name</w:t>
      </w:r>
    </w:fldSimple>
    <w:r w:rsidR="00DF465D">
      <w:tab/>
    </w:r>
    <w:fldSimple w:instr="STYLEREF  &quot;Cover volume number&quot;  \* MERGEFORMAT">
      <w:r>
        <w:rPr>
          <w:noProof/>
        </w:rPr>
        <w:t>Volume I – Technical Proposal</w:t>
      </w:r>
    </w:fldSimple>
  </w:p>
  <w:p w14:paraId="184F0807" w14:textId="77777777" w:rsidR="00091ED6" w:rsidRDefault="00091ED6"/>
  <w:p w14:paraId="2AF3B775" w14:textId="77777777" w:rsidR="00DD42C7" w:rsidRDefault="00DD42C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B904620"/>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2D13DD8"/>
    <w:multiLevelType w:val="hybridMultilevel"/>
    <w:tmpl w:val="6D642016"/>
    <w:lvl w:ilvl="0" w:tplc="4AF286DE">
      <w:start w:val="1"/>
      <w:numFmt w:val="bullet"/>
      <w:lvlText w:val=""/>
      <w:lvlJc w:val="left"/>
      <w:pPr>
        <w:ind w:left="1440" w:hanging="360"/>
      </w:pPr>
      <w:rPr>
        <w:rFonts w:ascii="Symbol" w:hAnsi="Symbol"/>
      </w:rPr>
    </w:lvl>
    <w:lvl w:ilvl="1" w:tplc="65B0797E">
      <w:start w:val="1"/>
      <w:numFmt w:val="bullet"/>
      <w:lvlText w:val=""/>
      <w:lvlJc w:val="left"/>
      <w:pPr>
        <w:ind w:left="1440" w:hanging="360"/>
      </w:pPr>
      <w:rPr>
        <w:rFonts w:ascii="Symbol" w:hAnsi="Symbol"/>
      </w:rPr>
    </w:lvl>
    <w:lvl w:ilvl="2" w:tplc="4D44A7A6">
      <w:start w:val="1"/>
      <w:numFmt w:val="bullet"/>
      <w:lvlText w:val=""/>
      <w:lvlJc w:val="left"/>
      <w:pPr>
        <w:ind w:left="1440" w:hanging="360"/>
      </w:pPr>
      <w:rPr>
        <w:rFonts w:ascii="Symbol" w:hAnsi="Symbol"/>
      </w:rPr>
    </w:lvl>
    <w:lvl w:ilvl="3" w:tplc="1EDE7480">
      <w:start w:val="1"/>
      <w:numFmt w:val="bullet"/>
      <w:lvlText w:val=""/>
      <w:lvlJc w:val="left"/>
      <w:pPr>
        <w:ind w:left="1440" w:hanging="360"/>
      </w:pPr>
      <w:rPr>
        <w:rFonts w:ascii="Symbol" w:hAnsi="Symbol"/>
      </w:rPr>
    </w:lvl>
    <w:lvl w:ilvl="4" w:tplc="BF30095A">
      <w:start w:val="1"/>
      <w:numFmt w:val="bullet"/>
      <w:lvlText w:val=""/>
      <w:lvlJc w:val="left"/>
      <w:pPr>
        <w:ind w:left="1440" w:hanging="360"/>
      </w:pPr>
      <w:rPr>
        <w:rFonts w:ascii="Symbol" w:hAnsi="Symbol"/>
      </w:rPr>
    </w:lvl>
    <w:lvl w:ilvl="5" w:tplc="FB4ACB24">
      <w:start w:val="1"/>
      <w:numFmt w:val="bullet"/>
      <w:lvlText w:val=""/>
      <w:lvlJc w:val="left"/>
      <w:pPr>
        <w:ind w:left="1440" w:hanging="360"/>
      </w:pPr>
      <w:rPr>
        <w:rFonts w:ascii="Symbol" w:hAnsi="Symbol"/>
      </w:rPr>
    </w:lvl>
    <w:lvl w:ilvl="6" w:tplc="C86ED4AE">
      <w:start w:val="1"/>
      <w:numFmt w:val="bullet"/>
      <w:lvlText w:val=""/>
      <w:lvlJc w:val="left"/>
      <w:pPr>
        <w:ind w:left="1440" w:hanging="360"/>
      </w:pPr>
      <w:rPr>
        <w:rFonts w:ascii="Symbol" w:hAnsi="Symbol"/>
      </w:rPr>
    </w:lvl>
    <w:lvl w:ilvl="7" w:tplc="B588B07C">
      <w:start w:val="1"/>
      <w:numFmt w:val="bullet"/>
      <w:lvlText w:val=""/>
      <w:lvlJc w:val="left"/>
      <w:pPr>
        <w:ind w:left="1440" w:hanging="360"/>
      </w:pPr>
      <w:rPr>
        <w:rFonts w:ascii="Symbol" w:hAnsi="Symbol"/>
      </w:rPr>
    </w:lvl>
    <w:lvl w:ilvl="8" w:tplc="23306880">
      <w:start w:val="1"/>
      <w:numFmt w:val="bullet"/>
      <w:lvlText w:val=""/>
      <w:lvlJc w:val="left"/>
      <w:pPr>
        <w:ind w:left="1440" w:hanging="360"/>
      </w:pPr>
      <w:rPr>
        <w:rFonts w:ascii="Symbol" w:hAnsi="Symbol"/>
      </w:rPr>
    </w:lvl>
  </w:abstractNum>
  <w:abstractNum w:abstractNumId="2" w15:restartNumberingAfterBreak="0">
    <w:nsid w:val="08BE1316"/>
    <w:multiLevelType w:val="multilevel"/>
    <w:tmpl w:val="D922A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413985"/>
    <w:multiLevelType w:val="hybridMultilevel"/>
    <w:tmpl w:val="B1CEB6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FCE124F"/>
    <w:multiLevelType w:val="hybridMultilevel"/>
    <w:tmpl w:val="15B62894"/>
    <w:lvl w:ilvl="0" w:tplc="6CE6493E">
      <w:start w:val="1"/>
      <w:numFmt w:val="bullet"/>
      <w:pStyle w:val="TableCheckmark"/>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8D7AA3"/>
    <w:multiLevelType w:val="hybridMultilevel"/>
    <w:tmpl w:val="0D5C0660"/>
    <w:lvl w:ilvl="0" w:tplc="03E23A80">
      <w:start w:val="1"/>
      <w:numFmt w:val="bullet"/>
      <w:pStyle w:val="TableBullet2"/>
      <w:lvlText w:val="–"/>
      <w:lvlJc w:val="left"/>
      <w:pPr>
        <w:ind w:left="720" w:hanging="360"/>
      </w:pPr>
      <w:rPr>
        <w:rFonts w:ascii="Times New Roman" w:hAnsi="Times New Roman" w:cs="Times New Roman" w:hint="default"/>
        <w:color w:val="000000" w:themeColor="tex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EF05E7"/>
    <w:multiLevelType w:val="multilevel"/>
    <w:tmpl w:val="074E7544"/>
    <w:lvl w:ilvl="0">
      <w:start w:val="1"/>
      <w:numFmt w:val="bullet"/>
      <w:lvlText w:val=""/>
      <w:lvlJc w:val="left"/>
      <w:pPr>
        <w:tabs>
          <w:tab w:val="num" w:pos="720"/>
        </w:tabs>
        <w:ind w:left="720" w:hanging="360"/>
      </w:pPr>
      <w:rPr>
        <w:rFonts w:ascii="Symbol" w:hAnsi="Symbol" w:hint="default"/>
        <w:color w:val="000000" w:themeColor="tex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D21A4F"/>
    <w:multiLevelType w:val="hybridMultilevel"/>
    <w:tmpl w:val="F7263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6F45FB"/>
    <w:multiLevelType w:val="hybridMultilevel"/>
    <w:tmpl w:val="FA7E6BF0"/>
    <w:lvl w:ilvl="0" w:tplc="6726755C">
      <w:start w:val="1"/>
      <w:numFmt w:val="bullet"/>
      <w:lvlText w:val="–"/>
      <w:lvlJc w:val="left"/>
      <w:pPr>
        <w:ind w:left="260" w:hanging="220"/>
      </w:pPr>
    </w:lvl>
    <w:lvl w:ilvl="1" w:tplc="E15AC992">
      <w:numFmt w:val="decimal"/>
      <w:lvlText w:val=""/>
      <w:lvlJc w:val="left"/>
    </w:lvl>
    <w:lvl w:ilvl="2" w:tplc="7116FB9E">
      <w:numFmt w:val="decimal"/>
      <w:lvlText w:val=""/>
      <w:lvlJc w:val="left"/>
    </w:lvl>
    <w:lvl w:ilvl="3" w:tplc="92F40DE8">
      <w:numFmt w:val="decimal"/>
      <w:lvlText w:val=""/>
      <w:lvlJc w:val="left"/>
    </w:lvl>
    <w:lvl w:ilvl="4" w:tplc="D3C4B484">
      <w:numFmt w:val="decimal"/>
      <w:lvlText w:val=""/>
      <w:lvlJc w:val="left"/>
    </w:lvl>
    <w:lvl w:ilvl="5" w:tplc="9E209768">
      <w:numFmt w:val="decimal"/>
      <w:lvlText w:val=""/>
      <w:lvlJc w:val="left"/>
    </w:lvl>
    <w:lvl w:ilvl="6" w:tplc="05CCD114">
      <w:numFmt w:val="decimal"/>
      <w:lvlText w:val=""/>
      <w:lvlJc w:val="left"/>
    </w:lvl>
    <w:lvl w:ilvl="7" w:tplc="64A47FD4">
      <w:numFmt w:val="decimal"/>
      <w:lvlText w:val=""/>
      <w:lvlJc w:val="left"/>
    </w:lvl>
    <w:lvl w:ilvl="8" w:tplc="7E200CB0">
      <w:numFmt w:val="decimal"/>
      <w:lvlText w:val=""/>
      <w:lvlJc w:val="left"/>
    </w:lvl>
  </w:abstractNum>
  <w:abstractNum w:abstractNumId="9" w15:restartNumberingAfterBreak="0">
    <w:nsid w:val="17E85957"/>
    <w:multiLevelType w:val="multilevel"/>
    <w:tmpl w:val="653C1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647024"/>
    <w:multiLevelType w:val="hybridMultilevel"/>
    <w:tmpl w:val="335CB19E"/>
    <w:lvl w:ilvl="0" w:tplc="E506AA50">
      <w:start w:val="1"/>
      <w:numFmt w:val="bullet"/>
      <w:pStyle w:val="Bulletlevel2-end"/>
      <w:lvlText w:val="–"/>
      <w:lvlJc w:val="left"/>
      <w:pPr>
        <w:ind w:left="1080" w:hanging="360"/>
      </w:pPr>
      <w:rPr>
        <w:rFonts w:ascii="Times New Roman" w:hAnsi="Times New Roman" w:cs="Times New Roman" w:hint="default"/>
        <w:b/>
        <w:i w:val="0"/>
        <w:color w:val="86BC25"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F0407E"/>
    <w:multiLevelType w:val="hybridMultilevel"/>
    <w:tmpl w:val="DD606CCE"/>
    <w:lvl w:ilvl="0" w:tplc="D098D6FC">
      <w:start w:val="1"/>
      <w:numFmt w:val="bullet"/>
      <w:pStyle w:val="Callout2Bullet"/>
      <w:lvlText w:val="•"/>
      <w:lvlJc w:val="left"/>
      <w:pPr>
        <w:ind w:left="720" w:hanging="360"/>
      </w:pPr>
      <w:rPr>
        <w:rFonts w:ascii="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10005E"/>
    <w:multiLevelType w:val="hybridMultilevel"/>
    <w:tmpl w:val="9BFA4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A01A94"/>
    <w:multiLevelType w:val="hybridMultilevel"/>
    <w:tmpl w:val="9736990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B5D07D0"/>
    <w:multiLevelType w:val="multilevel"/>
    <w:tmpl w:val="18D8949A"/>
    <w:lvl w:ilvl="0">
      <w:start w:val="1"/>
      <w:numFmt w:val="decimal"/>
      <w:lvlText w:val="%1."/>
      <w:lvlJc w:val="left"/>
      <w:pPr>
        <w:ind w:left="720" w:hanging="360"/>
      </w:pPr>
      <w:rPr>
        <w:rFonts w:hint="default"/>
        <w:sz w:val="20"/>
      </w:rPr>
    </w:lvl>
    <w:lvl w:ilvl="1">
      <w:start w:val="1"/>
      <w:numFmt w:val="decimal"/>
      <w:lvlText w:val="%2."/>
      <w:lvlJc w:val="left"/>
      <w:pPr>
        <w:ind w:left="1440" w:hanging="360"/>
      </w:pPr>
      <w:rPr>
        <w:rFonts w:hint="default"/>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7F6546"/>
    <w:multiLevelType w:val="hybridMultilevel"/>
    <w:tmpl w:val="11229D5C"/>
    <w:lvl w:ilvl="0" w:tplc="82BABC88">
      <w:start w:val="1"/>
      <w:numFmt w:val="bullet"/>
      <w:pStyle w:val="Letterbullet"/>
      <w:lvlText w:val="•"/>
      <w:lvlJc w:val="left"/>
      <w:pPr>
        <w:ind w:left="720" w:hanging="360"/>
      </w:pPr>
      <w:rPr>
        <w:rFonts w:ascii="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DED4ACA"/>
    <w:multiLevelType w:val="hybridMultilevel"/>
    <w:tmpl w:val="BFB64B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1E026641"/>
    <w:multiLevelType w:val="multilevel"/>
    <w:tmpl w:val="074E7544"/>
    <w:lvl w:ilvl="0">
      <w:start w:val="1"/>
      <w:numFmt w:val="bullet"/>
      <w:lvlText w:val=""/>
      <w:lvlJc w:val="left"/>
      <w:pPr>
        <w:tabs>
          <w:tab w:val="num" w:pos="720"/>
        </w:tabs>
        <w:ind w:left="720" w:hanging="360"/>
      </w:pPr>
      <w:rPr>
        <w:rFonts w:ascii="Symbol" w:hAnsi="Symbol" w:hint="default"/>
        <w:color w:val="000000" w:themeColor="tex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163C3F"/>
    <w:multiLevelType w:val="hybridMultilevel"/>
    <w:tmpl w:val="4D2E72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2B70762"/>
    <w:multiLevelType w:val="hybridMultilevel"/>
    <w:tmpl w:val="E7C27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46319ED"/>
    <w:multiLevelType w:val="hybridMultilevel"/>
    <w:tmpl w:val="38CA1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49B1520"/>
    <w:multiLevelType w:val="hybridMultilevel"/>
    <w:tmpl w:val="35160B7A"/>
    <w:lvl w:ilvl="0" w:tplc="04090001">
      <w:start w:val="1"/>
      <w:numFmt w:val="bullet"/>
      <w:lvlText w:val=""/>
      <w:lvlJc w:val="left"/>
      <w:pPr>
        <w:ind w:left="36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26DE5666"/>
    <w:multiLevelType w:val="hybridMultilevel"/>
    <w:tmpl w:val="AADE9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7BF7B6E"/>
    <w:multiLevelType w:val="hybridMultilevel"/>
    <w:tmpl w:val="F8AC9FD4"/>
    <w:lvl w:ilvl="0" w:tplc="715A0DFE">
      <w:start w:val="1"/>
      <w:numFmt w:val="bullet"/>
      <w:pStyle w:val="Callout2Bullet2"/>
      <w:lvlText w:val="–"/>
      <w:lvlJc w:val="left"/>
      <w:pPr>
        <w:ind w:left="1152" w:hanging="360"/>
      </w:pPr>
      <w:rPr>
        <w:rFonts w:ascii="Times New Roman" w:hAnsi="Times New Roman" w:cs="Times New Roman" w:hint="default"/>
        <w:color w:val="auto"/>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4" w15:restartNumberingAfterBreak="0">
    <w:nsid w:val="29346CA0"/>
    <w:multiLevelType w:val="hybridMultilevel"/>
    <w:tmpl w:val="149ADD72"/>
    <w:lvl w:ilvl="0" w:tplc="87AAF3EC">
      <w:start w:val="1"/>
      <w:numFmt w:val="bullet"/>
      <w:pStyle w:val="PastPerfTableCheckmark"/>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9EF5D9F"/>
    <w:multiLevelType w:val="multilevel"/>
    <w:tmpl w:val="18D8949A"/>
    <w:lvl w:ilvl="0">
      <w:start w:val="1"/>
      <w:numFmt w:val="decimal"/>
      <w:lvlText w:val="%1."/>
      <w:lvlJc w:val="left"/>
      <w:pPr>
        <w:ind w:left="360" w:hanging="360"/>
      </w:pPr>
      <w:rPr>
        <w:rFonts w:hint="default"/>
        <w:sz w:val="20"/>
      </w:rPr>
    </w:lvl>
    <w:lvl w:ilvl="1">
      <w:start w:val="1"/>
      <w:numFmt w:val="decimal"/>
      <w:lvlText w:val="%2."/>
      <w:lvlJc w:val="left"/>
      <w:pPr>
        <w:ind w:left="1080" w:hanging="360"/>
      </w:pPr>
      <w:rPr>
        <w:rFonts w:hint="default"/>
        <w:b w:val="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2B034D63"/>
    <w:multiLevelType w:val="hybridMultilevel"/>
    <w:tmpl w:val="0C80F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B41191A"/>
    <w:multiLevelType w:val="hybridMultilevel"/>
    <w:tmpl w:val="1F22BE5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0432E06"/>
    <w:multiLevelType w:val="hybridMultilevel"/>
    <w:tmpl w:val="9660873E"/>
    <w:lvl w:ilvl="0" w:tplc="D69807EE">
      <w:start w:val="1"/>
      <w:numFmt w:val="bullet"/>
      <w:lvlText w:val="•"/>
      <w:lvlJc w:val="left"/>
      <w:pPr>
        <w:ind w:left="720" w:hanging="360"/>
      </w:pPr>
    </w:lvl>
    <w:lvl w:ilvl="1" w:tplc="B762BA9E">
      <w:start w:val="1"/>
      <w:numFmt w:val="bullet"/>
      <w:lvlText w:val="◦"/>
      <w:lvlJc w:val="left"/>
      <w:pPr>
        <w:ind w:left="1080" w:hanging="360"/>
      </w:pPr>
    </w:lvl>
    <w:lvl w:ilvl="2" w:tplc="D9A88534">
      <w:numFmt w:val="decimal"/>
      <w:lvlText w:val=""/>
      <w:lvlJc w:val="left"/>
    </w:lvl>
    <w:lvl w:ilvl="3" w:tplc="94AAC3F6">
      <w:numFmt w:val="decimal"/>
      <w:lvlText w:val=""/>
      <w:lvlJc w:val="left"/>
    </w:lvl>
    <w:lvl w:ilvl="4" w:tplc="43FC7E3A">
      <w:numFmt w:val="decimal"/>
      <w:lvlText w:val=""/>
      <w:lvlJc w:val="left"/>
    </w:lvl>
    <w:lvl w:ilvl="5" w:tplc="F0EC1118">
      <w:numFmt w:val="decimal"/>
      <w:lvlText w:val=""/>
      <w:lvlJc w:val="left"/>
    </w:lvl>
    <w:lvl w:ilvl="6" w:tplc="25849040">
      <w:numFmt w:val="decimal"/>
      <w:lvlText w:val=""/>
      <w:lvlJc w:val="left"/>
    </w:lvl>
    <w:lvl w:ilvl="7" w:tplc="7BA29480">
      <w:numFmt w:val="decimal"/>
      <w:lvlText w:val=""/>
      <w:lvlJc w:val="left"/>
    </w:lvl>
    <w:lvl w:ilvl="8" w:tplc="5E44B406">
      <w:numFmt w:val="decimal"/>
      <w:lvlText w:val=""/>
      <w:lvlJc w:val="left"/>
    </w:lvl>
  </w:abstractNum>
  <w:abstractNum w:abstractNumId="29" w15:restartNumberingAfterBreak="0">
    <w:nsid w:val="30753961"/>
    <w:multiLevelType w:val="multilevel"/>
    <w:tmpl w:val="00C85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FB4241"/>
    <w:multiLevelType w:val="hybridMultilevel"/>
    <w:tmpl w:val="8206977C"/>
    <w:lvl w:ilvl="0" w:tplc="07D01D4C">
      <w:start w:val="1"/>
      <w:numFmt w:val="bullet"/>
      <w:pStyle w:val="Callout1Bullet"/>
      <w:lvlText w:val="•"/>
      <w:lvlJc w:val="left"/>
      <w:pPr>
        <w:ind w:left="389" w:hanging="360"/>
      </w:pPr>
      <w:rPr>
        <w:rFonts w:ascii="Times New Roman" w:hAnsi="Times New Roman" w:cs="Times New Roman" w:hint="default"/>
        <w:color w:val="FFFFFF" w:themeColor="background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4055698"/>
    <w:multiLevelType w:val="hybridMultilevel"/>
    <w:tmpl w:val="493C06B6"/>
    <w:lvl w:ilvl="0" w:tplc="D33E898E">
      <w:start w:val="1"/>
      <w:numFmt w:val="bullet"/>
      <w:pStyle w:val="DBulletlevel1"/>
      <w:lvlText w:val=""/>
      <w:lvlJc w:val="left"/>
      <w:pPr>
        <w:ind w:left="360" w:hanging="360"/>
      </w:pPr>
      <w:rPr>
        <w:rFonts w:ascii="Symbol" w:hAnsi="Symbol" w:hint="default"/>
        <w:b w:val="0"/>
        <w:i w:val="0"/>
        <w:caps w:val="0"/>
        <w:strike w:val="0"/>
        <w:dstrike w:val="0"/>
        <w:vanish w:val="0"/>
        <w:color w:val="auto"/>
        <w:sz w:val="18"/>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7B01CB9"/>
    <w:multiLevelType w:val="hybridMultilevel"/>
    <w:tmpl w:val="428C6704"/>
    <w:lvl w:ilvl="0" w:tplc="7F8ED720">
      <w:start w:val="1"/>
      <w:numFmt w:val="bullet"/>
      <w:lvlText w:val="•"/>
      <w:lvlJc w:val="left"/>
      <w:pPr>
        <w:ind w:left="540" w:hanging="360"/>
      </w:pPr>
    </w:lvl>
    <w:lvl w:ilvl="1" w:tplc="61961062">
      <w:numFmt w:val="decimal"/>
      <w:lvlText w:val=""/>
      <w:lvlJc w:val="left"/>
    </w:lvl>
    <w:lvl w:ilvl="2" w:tplc="C1CE908E">
      <w:numFmt w:val="decimal"/>
      <w:lvlText w:val=""/>
      <w:lvlJc w:val="left"/>
    </w:lvl>
    <w:lvl w:ilvl="3" w:tplc="30DA6C5C">
      <w:numFmt w:val="decimal"/>
      <w:lvlText w:val=""/>
      <w:lvlJc w:val="left"/>
    </w:lvl>
    <w:lvl w:ilvl="4" w:tplc="8DA45C44">
      <w:numFmt w:val="decimal"/>
      <w:lvlText w:val=""/>
      <w:lvlJc w:val="left"/>
    </w:lvl>
    <w:lvl w:ilvl="5" w:tplc="FBE65F14">
      <w:numFmt w:val="decimal"/>
      <w:lvlText w:val=""/>
      <w:lvlJc w:val="left"/>
    </w:lvl>
    <w:lvl w:ilvl="6" w:tplc="E3FA9FE8">
      <w:numFmt w:val="decimal"/>
      <w:lvlText w:val=""/>
      <w:lvlJc w:val="left"/>
    </w:lvl>
    <w:lvl w:ilvl="7" w:tplc="35AA02FE">
      <w:numFmt w:val="decimal"/>
      <w:lvlText w:val=""/>
      <w:lvlJc w:val="left"/>
    </w:lvl>
    <w:lvl w:ilvl="8" w:tplc="3C4A5A90">
      <w:numFmt w:val="decimal"/>
      <w:lvlText w:val=""/>
      <w:lvlJc w:val="left"/>
    </w:lvl>
  </w:abstractNum>
  <w:abstractNum w:abstractNumId="33" w15:restartNumberingAfterBreak="0">
    <w:nsid w:val="37B57418"/>
    <w:multiLevelType w:val="hybridMultilevel"/>
    <w:tmpl w:val="FFFFFFFF"/>
    <w:lvl w:ilvl="0" w:tplc="29945F8A">
      <w:start w:val="1"/>
      <w:numFmt w:val="bullet"/>
      <w:lvlText w:val=""/>
      <w:lvlJc w:val="left"/>
      <w:pPr>
        <w:ind w:left="720" w:hanging="360"/>
      </w:pPr>
      <w:rPr>
        <w:rFonts w:ascii="Symbol" w:hAnsi="Symbol" w:hint="default"/>
      </w:rPr>
    </w:lvl>
    <w:lvl w:ilvl="1" w:tplc="ACB88EB0">
      <w:start w:val="1"/>
      <w:numFmt w:val="bullet"/>
      <w:lvlText w:val="o"/>
      <w:lvlJc w:val="left"/>
      <w:pPr>
        <w:ind w:left="1440" w:hanging="360"/>
      </w:pPr>
      <w:rPr>
        <w:rFonts w:ascii="Courier New" w:hAnsi="Courier New" w:hint="default"/>
      </w:rPr>
    </w:lvl>
    <w:lvl w:ilvl="2" w:tplc="91CE1A72">
      <w:start w:val="1"/>
      <w:numFmt w:val="bullet"/>
      <w:lvlText w:val=""/>
      <w:lvlJc w:val="left"/>
      <w:pPr>
        <w:ind w:left="2160" w:hanging="360"/>
      </w:pPr>
      <w:rPr>
        <w:rFonts w:ascii="Wingdings" w:hAnsi="Wingdings" w:hint="default"/>
      </w:rPr>
    </w:lvl>
    <w:lvl w:ilvl="3" w:tplc="050029EA">
      <w:start w:val="1"/>
      <w:numFmt w:val="bullet"/>
      <w:lvlText w:val=""/>
      <w:lvlJc w:val="left"/>
      <w:pPr>
        <w:ind w:left="2880" w:hanging="360"/>
      </w:pPr>
      <w:rPr>
        <w:rFonts w:ascii="Symbol" w:hAnsi="Symbol" w:hint="default"/>
      </w:rPr>
    </w:lvl>
    <w:lvl w:ilvl="4" w:tplc="6D20F044">
      <w:start w:val="1"/>
      <w:numFmt w:val="bullet"/>
      <w:lvlText w:val="o"/>
      <w:lvlJc w:val="left"/>
      <w:pPr>
        <w:ind w:left="3600" w:hanging="360"/>
      </w:pPr>
      <w:rPr>
        <w:rFonts w:ascii="Courier New" w:hAnsi="Courier New" w:hint="default"/>
      </w:rPr>
    </w:lvl>
    <w:lvl w:ilvl="5" w:tplc="16F4D2BA">
      <w:start w:val="1"/>
      <w:numFmt w:val="bullet"/>
      <w:lvlText w:val=""/>
      <w:lvlJc w:val="left"/>
      <w:pPr>
        <w:ind w:left="4320" w:hanging="360"/>
      </w:pPr>
      <w:rPr>
        <w:rFonts w:ascii="Wingdings" w:hAnsi="Wingdings" w:hint="default"/>
      </w:rPr>
    </w:lvl>
    <w:lvl w:ilvl="6" w:tplc="C332CBE2">
      <w:start w:val="1"/>
      <w:numFmt w:val="bullet"/>
      <w:lvlText w:val=""/>
      <w:lvlJc w:val="left"/>
      <w:pPr>
        <w:ind w:left="5040" w:hanging="360"/>
      </w:pPr>
      <w:rPr>
        <w:rFonts w:ascii="Symbol" w:hAnsi="Symbol" w:hint="default"/>
      </w:rPr>
    </w:lvl>
    <w:lvl w:ilvl="7" w:tplc="393AB7D2">
      <w:start w:val="1"/>
      <w:numFmt w:val="bullet"/>
      <w:lvlText w:val="o"/>
      <w:lvlJc w:val="left"/>
      <w:pPr>
        <w:ind w:left="5760" w:hanging="360"/>
      </w:pPr>
      <w:rPr>
        <w:rFonts w:ascii="Courier New" w:hAnsi="Courier New" w:hint="default"/>
      </w:rPr>
    </w:lvl>
    <w:lvl w:ilvl="8" w:tplc="A3988620">
      <w:start w:val="1"/>
      <w:numFmt w:val="bullet"/>
      <w:lvlText w:val=""/>
      <w:lvlJc w:val="left"/>
      <w:pPr>
        <w:ind w:left="6480" w:hanging="360"/>
      </w:pPr>
      <w:rPr>
        <w:rFonts w:ascii="Wingdings" w:hAnsi="Wingdings" w:hint="default"/>
      </w:rPr>
    </w:lvl>
  </w:abstractNum>
  <w:abstractNum w:abstractNumId="34" w15:restartNumberingAfterBreak="0">
    <w:nsid w:val="39181493"/>
    <w:multiLevelType w:val="hybridMultilevel"/>
    <w:tmpl w:val="99085E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3A4C42B7"/>
    <w:multiLevelType w:val="hybridMultilevel"/>
    <w:tmpl w:val="283E42B4"/>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3A55045D"/>
    <w:multiLevelType w:val="hybridMultilevel"/>
    <w:tmpl w:val="1F16F63E"/>
    <w:lvl w:ilvl="0" w:tplc="38C8BE3C">
      <w:start w:val="1"/>
      <w:numFmt w:val="bullet"/>
      <w:lvlText w:val=""/>
      <w:lvlJc w:val="left"/>
      <w:pPr>
        <w:ind w:left="720" w:hanging="360"/>
      </w:pPr>
      <w:rPr>
        <w:rFonts w:ascii="Symbol" w:hAnsi="Symbol"/>
      </w:rPr>
    </w:lvl>
    <w:lvl w:ilvl="1" w:tplc="7D580CAA">
      <w:start w:val="1"/>
      <w:numFmt w:val="bullet"/>
      <w:lvlText w:val=""/>
      <w:lvlJc w:val="left"/>
      <w:pPr>
        <w:ind w:left="720" w:hanging="360"/>
      </w:pPr>
      <w:rPr>
        <w:rFonts w:ascii="Symbol" w:hAnsi="Symbol"/>
      </w:rPr>
    </w:lvl>
    <w:lvl w:ilvl="2" w:tplc="25885828">
      <w:start w:val="1"/>
      <w:numFmt w:val="bullet"/>
      <w:lvlText w:val=""/>
      <w:lvlJc w:val="left"/>
      <w:pPr>
        <w:ind w:left="720" w:hanging="360"/>
      </w:pPr>
      <w:rPr>
        <w:rFonts w:ascii="Symbol" w:hAnsi="Symbol"/>
      </w:rPr>
    </w:lvl>
    <w:lvl w:ilvl="3" w:tplc="58C85496">
      <w:start w:val="1"/>
      <w:numFmt w:val="bullet"/>
      <w:lvlText w:val=""/>
      <w:lvlJc w:val="left"/>
      <w:pPr>
        <w:ind w:left="720" w:hanging="360"/>
      </w:pPr>
      <w:rPr>
        <w:rFonts w:ascii="Symbol" w:hAnsi="Symbol"/>
      </w:rPr>
    </w:lvl>
    <w:lvl w:ilvl="4" w:tplc="898A0A28">
      <w:start w:val="1"/>
      <w:numFmt w:val="bullet"/>
      <w:lvlText w:val=""/>
      <w:lvlJc w:val="left"/>
      <w:pPr>
        <w:ind w:left="720" w:hanging="360"/>
      </w:pPr>
      <w:rPr>
        <w:rFonts w:ascii="Symbol" w:hAnsi="Symbol"/>
      </w:rPr>
    </w:lvl>
    <w:lvl w:ilvl="5" w:tplc="01A0D5EE">
      <w:start w:val="1"/>
      <w:numFmt w:val="bullet"/>
      <w:lvlText w:val=""/>
      <w:lvlJc w:val="left"/>
      <w:pPr>
        <w:ind w:left="720" w:hanging="360"/>
      </w:pPr>
      <w:rPr>
        <w:rFonts w:ascii="Symbol" w:hAnsi="Symbol"/>
      </w:rPr>
    </w:lvl>
    <w:lvl w:ilvl="6" w:tplc="B0CE3E52">
      <w:start w:val="1"/>
      <w:numFmt w:val="bullet"/>
      <w:lvlText w:val=""/>
      <w:lvlJc w:val="left"/>
      <w:pPr>
        <w:ind w:left="720" w:hanging="360"/>
      </w:pPr>
      <w:rPr>
        <w:rFonts w:ascii="Symbol" w:hAnsi="Symbol"/>
      </w:rPr>
    </w:lvl>
    <w:lvl w:ilvl="7" w:tplc="1C80D712">
      <w:start w:val="1"/>
      <w:numFmt w:val="bullet"/>
      <w:lvlText w:val=""/>
      <w:lvlJc w:val="left"/>
      <w:pPr>
        <w:ind w:left="720" w:hanging="360"/>
      </w:pPr>
      <w:rPr>
        <w:rFonts w:ascii="Symbol" w:hAnsi="Symbol"/>
      </w:rPr>
    </w:lvl>
    <w:lvl w:ilvl="8" w:tplc="468CCF48">
      <w:start w:val="1"/>
      <w:numFmt w:val="bullet"/>
      <w:lvlText w:val=""/>
      <w:lvlJc w:val="left"/>
      <w:pPr>
        <w:ind w:left="720" w:hanging="360"/>
      </w:pPr>
      <w:rPr>
        <w:rFonts w:ascii="Symbol" w:hAnsi="Symbol"/>
      </w:rPr>
    </w:lvl>
  </w:abstractNum>
  <w:abstractNum w:abstractNumId="37" w15:restartNumberingAfterBreak="0">
    <w:nsid w:val="3B4E5A01"/>
    <w:multiLevelType w:val="multilevel"/>
    <w:tmpl w:val="42A8B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667819"/>
    <w:multiLevelType w:val="multilevel"/>
    <w:tmpl w:val="49F487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DF76595"/>
    <w:multiLevelType w:val="hybridMultilevel"/>
    <w:tmpl w:val="9D8A3BB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F5010AC"/>
    <w:multiLevelType w:val="hybridMultilevel"/>
    <w:tmpl w:val="82CE7F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17C6399"/>
    <w:multiLevelType w:val="hybridMultilevel"/>
    <w:tmpl w:val="16EEF12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2" w15:restartNumberingAfterBreak="0">
    <w:nsid w:val="41AA58DC"/>
    <w:multiLevelType w:val="hybridMultilevel"/>
    <w:tmpl w:val="16EEF1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42FC7E3B"/>
    <w:multiLevelType w:val="hybridMultilevel"/>
    <w:tmpl w:val="3E38760E"/>
    <w:lvl w:ilvl="0" w:tplc="9604953A">
      <w:start w:val="1"/>
      <w:numFmt w:val="bullet"/>
      <w:pStyle w:val="Callout1Bullet2"/>
      <w:lvlText w:val="–"/>
      <w:lvlJc w:val="left"/>
      <w:pPr>
        <w:ind w:left="742" w:hanging="360"/>
      </w:pPr>
      <w:rPr>
        <w:rFonts w:ascii="Arial" w:hAnsi="Arial" w:hint="default"/>
        <w:color w:val="FFFFFF" w:themeColor="background1"/>
      </w:rPr>
    </w:lvl>
    <w:lvl w:ilvl="1" w:tplc="04090003" w:tentative="1">
      <w:start w:val="1"/>
      <w:numFmt w:val="bullet"/>
      <w:lvlText w:val="o"/>
      <w:lvlJc w:val="left"/>
      <w:pPr>
        <w:ind w:left="1462" w:hanging="360"/>
      </w:pPr>
      <w:rPr>
        <w:rFonts w:ascii="Courier New" w:hAnsi="Courier New" w:cs="Courier New" w:hint="default"/>
      </w:rPr>
    </w:lvl>
    <w:lvl w:ilvl="2" w:tplc="04090005" w:tentative="1">
      <w:start w:val="1"/>
      <w:numFmt w:val="bullet"/>
      <w:lvlText w:val=""/>
      <w:lvlJc w:val="left"/>
      <w:pPr>
        <w:ind w:left="2182" w:hanging="360"/>
      </w:pPr>
      <w:rPr>
        <w:rFonts w:ascii="Wingdings" w:hAnsi="Wingdings" w:hint="default"/>
      </w:rPr>
    </w:lvl>
    <w:lvl w:ilvl="3" w:tplc="04090001" w:tentative="1">
      <w:start w:val="1"/>
      <w:numFmt w:val="bullet"/>
      <w:lvlText w:val=""/>
      <w:lvlJc w:val="left"/>
      <w:pPr>
        <w:ind w:left="2902" w:hanging="360"/>
      </w:pPr>
      <w:rPr>
        <w:rFonts w:ascii="Symbol" w:hAnsi="Symbol" w:hint="default"/>
      </w:rPr>
    </w:lvl>
    <w:lvl w:ilvl="4" w:tplc="04090003" w:tentative="1">
      <w:start w:val="1"/>
      <w:numFmt w:val="bullet"/>
      <w:lvlText w:val="o"/>
      <w:lvlJc w:val="left"/>
      <w:pPr>
        <w:ind w:left="3622" w:hanging="360"/>
      </w:pPr>
      <w:rPr>
        <w:rFonts w:ascii="Courier New" w:hAnsi="Courier New" w:cs="Courier New" w:hint="default"/>
      </w:rPr>
    </w:lvl>
    <w:lvl w:ilvl="5" w:tplc="04090005" w:tentative="1">
      <w:start w:val="1"/>
      <w:numFmt w:val="bullet"/>
      <w:lvlText w:val=""/>
      <w:lvlJc w:val="left"/>
      <w:pPr>
        <w:ind w:left="4342" w:hanging="360"/>
      </w:pPr>
      <w:rPr>
        <w:rFonts w:ascii="Wingdings" w:hAnsi="Wingdings" w:hint="default"/>
      </w:rPr>
    </w:lvl>
    <w:lvl w:ilvl="6" w:tplc="04090001" w:tentative="1">
      <w:start w:val="1"/>
      <w:numFmt w:val="bullet"/>
      <w:lvlText w:val=""/>
      <w:lvlJc w:val="left"/>
      <w:pPr>
        <w:ind w:left="5062" w:hanging="360"/>
      </w:pPr>
      <w:rPr>
        <w:rFonts w:ascii="Symbol" w:hAnsi="Symbol" w:hint="default"/>
      </w:rPr>
    </w:lvl>
    <w:lvl w:ilvl="7" w:tplc="04090003" w:tentative="1">
      <w:start w:val="1"/>
      <w:numFmt w:val="bullet"/>
      <w:lvlText w:val="o"/>
      <w:lvlJc w:val="left"/>
      <w:pPr>
        <w:ind w:left="5782" w:hanging="360"/>
      </w:pPr>
      <w:rPr>
        <w:rFonts w:ascii="Courier New" w:hAnsi="Courier New" w:cs="Courier New" w:hint="default"/>
      </w:rPr>
    </w:lvl>
    <w:lvl w:ilvl="8" w:tplc="04090005" w:tentative="1">
      <w:start w:val="1"/>
      <w:numFmt w:val="bullet"/>
      <w:lvlText w:val=""/>
      <w:lvlJc w:val="left"/>
      <w:pPr>
        <w:ind w:left="6502" w:hanging="360"/>
      </w:pPr>
      <w:rPr>
        <w:rFonts w:ascii="Wingdings" w:hAnsi="Wingdings" w:hint="default"/>
      </w:rPr>
    </w:lvl>
  </w:abstractNum>
  <w:abstractNum w:abstractNumId="44" w15:restartNumberingAfterBreak="0">
    <w:nsid w:val="44FB1570"/>
    <w:multiLevelType w:val="hybridMultilevel"/>
    <w:tmpl w:val="4D845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5B917CE"/>
    <w:multiLevelType w:val="multilevel"/>
    <w:tmpl w:val="DA7A1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5B97DB0"/>
    <w:multiLevelType w:val="multilevel"/>
    <w:tmpl w:val="28DAA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881BC7"/>
    <w:multiLevelType w:val="hybridMultilevel"/>
    <w:tmpl w:val="75780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6FB5526"/>
    <w:multiLevelType w:val="hybridMultilevel"/>
    <w:tmpl w:val="CB7AC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A043C5A"/>
    <w:multiLevelType w:val="hybridMultilevel"/>
    <w:tmpl w:val="4F2CC0F6"/>
    <w:lvl w:ilvl="0" w:tplc="5BE4CE2E">
      <w:start w:val="1"/>
      <w:numFmt w:val="bullet"/>
      <w:pStyle w:val="Callout1CheckmarkBullet"/>
      <w:lvlText w:val=""/>
      <w:lvlJc w:val="left"/>
      <w:pPr>
        <w:ind w:left="360" w:hanging="360"/>
      </w:pPr>
      <w:rPr>
        <w:rFonts w:ascii="Wingdings" w:hAnsi="Wingdings" w:hint="default"/>
        <w:color w:val="FFFFFF" w:themeColor="background1"/>
        <w:u w:color="FFFFFF" w:themeColor="background1"/>
      </w:rPr>
    </w:lvl>
    <w:lvl w:ilvl="1" w:tplc="04090003" w:tentative="1">
      <w:start w:val="1"/>
      <w:numFmt w:val="bullet"/>
      <w:lvlText w:val="o"/>
      <w:lvlJc w:val="left"/>
      <w:pPr>
        <w:ind w:left="1469" w:hanging="360"/>
      </w:pPr>
      <w:rPr>
        <w:rFonts w:ascii="Courier New" w:hAnsi="Courier New" w:cs="Courier New" w:hint="default"/>
      </w:rPr>
    </w:lvl>
    <w:lvl w:ilvl="2" w:tplc="04090005" w:tentative="1">
      <w:start w:val="1"/>
      <w:numFmt w:val="bullet"/>
      <w:lvlText w:val=""/>
      <w:lvlJc w:val="left"/>
      <w:pPr>
        <w:ind w:left="2189" w:hanging="360"/>
      </w:pPr>
      <w:rPr>
        <w:rFonts w:ascii="Wingdings" w:hAnsi="Wingdings" w:hint="default"/>
      </w:rPr>
    </w:lvl>
    <w:lvl w:ilvl="3" w:tplc="04090001" w:tentative="1">
      <w:start w:val="1"/>
      <w:numFmt w:val="bullet"/>
      <w:lvlText w:val=""/>
      <w:lvlJc w:val="left"/>
      <w:pPr>
        <w:ind w:left="2909" w:hanging="360"/>
      </w:pPr>
      <w:rPr>
        <w:rFonts w:ascii="Symbol" w:hAnsi="Symbol" w:hint="default"/>
      </w:rPr>
    </w:lvl>
    <w:lvl w:ilvl="4" w:tplc="04090003" w:tentative="1">
      <w:start w:val="1"/>
      <w:numFmt w:val="bullet"/>
      <w:lvlText w:val="o"/>
      <w:lvlJc w:val="left"/>
      <w:pPr>
        <w:ind w:left="3629" w:hanging="360"/>
      </w:pPr>
      <w:rPr>
        <w:rFonts w:ascii="Courier New" w:hAnsi="Courier New" w:cs="Courier New" w:hint="default"/>
      </w:rPr>
    </w:lvl>
    <w:lvl w:ilvl="5" w:tplc="04090005" w:tentative="1">
      <w:start w:val="1"/>
      <w:numFmt w:val="bullet"/>
      <w:lvlText w:val=""/>
      <w:lvlJc w:val="left"/>
      <w:pPr>
        <w:ind w:left="4349" w:hanging="360"/>
      </w:pPr>
      <w:rPr>
        <w:rFonts w:ascii="Wingdings" w:hAnsi="Wingdings" w:hint="default"/>
      </w:rPr>
    </w:lvl>
    <w:lvl w:ilvl="6" w:tplc="04090001" w:tentative="1">
      <w:start w:val="1"/>
      <w:numFmt w:val="bullet"/>
      <w:lvlText w:val=""/>
      <w:lvlJc w:val="left"/>
      <w:pPr>
        <w:ind w:left="5069" w:hanging="360"/>
      </w:pPr>
      <w:rPr>
        <w:rFonts w:ascii="Symbol" w:hAnsi="Symbol" w:hint="default"/>
      </w:rPr>
    </w:lvl>
    <w:lvl w:ilvl="7" w:tplc="04090003" w:tentative="1">
      <w:start w:val="1"/>
      <w:numFmt w:val="bullet"/>
      <w:lvlText w:val="o"/>
      <w:lvlJc w:val="left"/>
      <w:pPr>
        <w:ind w:left="5789" w:hanging="360"/>
      </w:pPr>
      <w:rPr>
        <w:rFonts w:ascii="Courier New" w:hAnsi="Courier New" w:cs="Courier New" w:hint="default"/>
      </w:rPr>
    </w:lvl>
    <w:lvl w:ilvl="8" w:tplc="04090005" w:tentative="1">
      <w:start w:val="1"/>
      <w:numFmt w:val="bullet"/>
      <w:lvlText w:val=""/>
      <w:lvlJc w:val="left"/>
      <w:pPr>
        <w:ind w:left="6509" w:hanging="360"/>
      </w:pPr>
      <w:rPr>
        <w:rFonts w:ascii="Wingdings" w:hAnsi="Wingdings" w:hint="default"/>
      </w:rPr>
    </w:lvl>
  </w:abstractNum>
  <w:abstractNum w:abstractNumId="50" w15:restartNumberingAfterBreak="0">
    <w:nsid w:val="4DCC47FB"/>
    <w:multiLevelType w:val="hybridMultilevel"/>
    <w:tmpl w:val="33D862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4E4161A8"/>
    <w:multiLevelType w:val="hybridMultilevel"/>
    <w:tmpl w:val="6BE0FDFC"/>
    <w:lvl w:ilvl="0" w:tplc="36D6304A">
      <w:start w:val="1"/>
      <w:numFmt w:val="bullet"/>
      <w:pStyle w:val="Bulletlevel1"/>
      <w:lvlText w:val="•"/>
      <w:lvlJc w:val="left"/>
      <w:pPr>
        <w:ind w:left="720" w:hanging="360"/>
      </w:pPr>
      <w:rPr>
        <w:rFonts w:ascii="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F0B3139"/>
    <w:multiLevelType w:val="hybridMultilevel"/>
    <w:tmpl w:val="401E1C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50A03DD1"/>
    <w:multiLevelType w:val="multilevel"/>
    <w:tmpl w:val="56347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1486D20"/>
    <w:multiLevelType w:val="hybridMultilevel"/>
    <w:tmpl w:val="788AB03C"/>
    <w:lvl w:ilvl="0" w:tplc="9B1C00A2">
      <w:start w:val="1"/>
      <w:numFmt w:val="bullet"/>
      <w:lvlText w:val="•"/>
      <w:lvlJc w:val="left"/>
      <w:pPr>
        <w:ind w:left="360" w:hanging="280"/>
      </w:pPr>
    </w:lvl>
    <w:lvl w:ilvl="1" w:tplc="C014429A">
      <w:numFmt w:val="decimal"/>
      <w:lvlText w:val=""/>
      <w:lvlJc w:val="left"/>
    </w:lvl>
    <w:lvl w:ilvl="2" w:tplc="7D7A2F56">
      <w:numFmt w:val="decimal"/>
      <w:lvlText w:val=""/>
      <w:lvlJc w:val="left"/>
    </w:lvl>
    <w:lvl w:ilvl="3" w:tplc="58B826CC">
      <w:numFmt w:val="decimal"/>
      <w:lvlText w:val=""/>
      <w:lvlJc w:val="left"/>
    </w:lvl>
    <w:lvl w:ilvl="4" w:tplc="D30E7814">
      <w:numFmt w:val="decimal"/>
      <w:lvlText w:val=""/>
      <w:lvlJc w:val="left"/>
    </w:lvl>
    <w:lvl w:ilvl="5" w:tplc="F4D2B832">
      <w:numFmt w:val="decimal"/>
      <w:lvlText w:val=""/>
      <w:lvlJc w:val="left"/>
    </w:lvl>
    <w:lvl w:ilvl="6" w:tplc="0C7A29BE">
      <w:numFmt w:val="decimal"/>
      <w:lvlText w:val=""/>
      <w:lvlJc w:val="left"/>
    </w:lvl>
    <w:lvl w:ilvl="7" w:tplc="CF2424DA">
      <w:numFmt w:val="decimal"/>
      <w:lvlText w:val=""/>
      <w:lvlJc w:val="left"/>
    </w:lvl>
    <w:lvl w:ilvl="8" w:tplc="1B3C11A8">
      <w:numFmt w:val="decimal"/>
      <w:lvlText w:val=""/>
      <w:lvlJc w:val="left"/>
    </w:lvl>
  </w:abstractNum>
  <w:abstractNum w:abstractNumId="55" w15:restartNumberingAfterBreak="0">
    <w:nsid w:val="51DC2F50"/>
    <w:multiLevelType w:val="hybridMultilevel"/>
    <w:tmpl w:val="E32E1A34"/>
    <w:lvl w:ilvl="0" w:tplc="8612C3F4">
      <w:start w:val="1"/>
      <w:numFmt w:val="bullet"/>
      <w:pStyle w:val="Bulletlevel2"/>
      <w:lvlText w:val="–"/>
      <w:lvlJc w:val="left"/>
      <w:pPr>
        <w:ind w:left="1080" w:hanging="360"/>
      </w:pPr>
      <w:rPr>
        <w:rFonts w:ascii="Times New Roman" w:hAnsi="Times New Roman" w:cs="Times New Roman" w:hint="default"/>
        <w:b/>
        <w:i w:val="0"/>
        <w:color w:val="auto"/>
      </w:rPr>
    </w:lvl>
    <w:lvl w:ilvl="1" w:tplc="2C4CA3E4">
      <w:start w:val="1"/>
      <w:numFmt w:val="bullet"/>
      <w:lvlText w:val="o"/>
      <w:lvlJc w:val="left"/>
      <w:pPr>
        <w:ind w:left="2160" w:hanging="360"/>
      </w:pPr>
      <w:rPr>
        <w:rFonts w:ascii="Courier New" w:hAnsi="Courier New" w:cs="Courier New" w:hint="default"/>
      </w:rPr>
    </w:lvl>
    <w:lvl w:ilvl="2" w:tplc="E9227358" w:tentative="1">
      <w:start w:val="1"/>
      <w:numFmt w:val="bullet"/>
      <w:lvlText w:val=""/>
      <w:lvlJc w:val="left"/>
      <w:pPr>
        <w:ind w:left="2880" w:hanging="360"/>
      </w:pPr>
      <w:rPr>
        <w:rFonts w:ascii="Wingdings" w:hAnsi="Wingdings" w:hint="default"/>
      </w:rPr>
    </w:lvl>
    <w:lvl w:ilvl="3" w:tplc="6112876E" w:tentative="1">
      <w:start w:val="1"/>
      <w:numFmt w:val="bullet"/>
      <w:lvlText w:val=""/>
      <w:lvlJc w:val="left"/>
      <w:pPr>
        <w:ind w:left="3600" w:hanging="360"/>
      </w:pPr>
      <w:rPr>
        <w:rFonts w:ascii="Symbol" w:hAnsi="Symbol" w:hint="default"/>
      </w:rPr>
    </w:lvl>
    <w:lvl w:ilvl="4" w:tplc="F1DACF7C" w:tentative="1">
      <w:start w:val="1"/>
      <w:numFmt w:val="bullet"/>
      <w:lvlText w:val="o"/>
      <w:lvlJc w:val="left"/>
      <w:pPr>
        <w:ind w:left="4320" w:hanging="360"/>
      </w:pPr>
      <w:rPr>
        <w:rFonts w:ascii="Courier New" w:hAnsi="Courier New" w:cs="Courier New" w:hint="default"/>
      </w:rPr>
    </w:lvl>
    <w:lvl w:ilvl="5" w:tplc="548AC16C" w:tentative="1">
      <w:start w:val="1"/>
      <w:numFmt w:val="bullet"/>
      <w:lvlText w:val=""/>
      <w:lvlJc w:val="left"/>
      <w:pPr>
        <w:ind w:left="5040" w:hanging="360"/>
      </w:pPr>
      <w:rPr>
        <w:rFonts w:ascii="Wingdings" w:hAnsi="Wingdings" w:hint="default"/>
      </w:rPr>
    </w:lvl>
    <w:lvl w:ilvl="6" w:tplc="F94209D4" w:tentative="1">
      <w:start w:val="1"/>
      <w:numFmt w:val="bullet"/>
      <w:lvlText w:val=""/>
      <w:lvlJc w:val="left"/>
      <w:pPr>
        <w:ind w:left="5760" w:hanging="360"/>
      </w:pPr>
      <w:rPr>
        <w:rFonts w:ascii="Symbol" w:hAnsi="Symbol" w:hint="default"/>
      </w:rPr>
    </w:lvl>
    <w:lvl w:ilvl="7" w:tplc="6688081C" w:tentative="1">
      <w:start w:val="1"/>
      <w:numFmt w:val="bullet"/>
      <w:lvlText w:val="o"/>
      <w:lvlJc w:val="left"/>
      <w:pPr>
        <w:ind w:left="6480" w:hanging="360"/>
      </w:pPr>
      <w:rPr>
        <w:rFonts w:ascii="Courier New" w:hAnsi="Courier New" w:cs="Courier New" w:hint="default"/>
      </w:rPr>
    </w:lvl>
    <w:lvl w:ilvl="8" w:tplc="5DC24342" w:tentative="1">
      <w:start w:val="1"/>
      <w:numFmt w:val="bullet"/>
      <w:lvlText w:val=""/>
      <w:lvlJc w:val="left"/>
      <w:pPr>
        <w:ind w:left="7200" w:hanging="360"/>
      </w:pPr>
      <w:rPr>
        <w:rFonts w:ascii="Wingdings" w:hAnsi="Wingdings" w:hint="default"/>
      </w:rPr>
    </w:lvl>
  </w:abstractNum>
  <w:abstractNum w:abstractNumId="56" w15:restartNumberingAfterBreak="0">
    <w:nsid w:val="543E085C"/>
    <w:multiLevelType w:val="hybridMultilevel"/>
    <w:tmpl w:val="D62E5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59B6B29"/>
    <w:multiLevelType w:val="hybridMultilevel"/>
    <w:tmpl w:val="9F2E52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7372122"/>
    <w:multiLevelType w:val="multilevel"/>
    <w:tmpl w:val="B75E2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7B345B6"/>
    <w:multiLevelType w:val="hybridMultilevel"/>
    <w:tmpl w:val="400C745C"/>
    <w:lvl w:ilvl="0" w:tplc="55DEBF56">
      <w:start w:val="1"/>
      <w:numFmt w:val="bullet"/>
      <w:lvlText w:val="–"/>
      <w:lvlJc w:val="left"/>
      <w:pPr>
        <w:ind w:left="360" w:hanging="260"/>
      </w:pPr>
    </w:lvl>
    <w:lvl w:ilvl="1" w:tplc="EA543834">
      <w:numFmt w:val="decimal"/>
      <w:lvlText w:val=""/>
      <w:lvlJc w:val="left"/>
    </w:lvl>
    <w:lvl w:ilvl="2" w:tplc="96687C1E">
      <w:numFmt w:val="decimal"/>
      <w:lvlText w:val=""/>
      <w:lvlJc w:val="left"/>
    </w:lvl>
    <w:lvl w:ilvl="3" w:tplc="1BCCD43A">
      <w:numFmt w:val="decimal"/>
      <w:lvlText w:val=""/>
      <w:lvlJc w:val="left"/>
    </w:lvl>
    <w:lvl w:ilvl="4" w:tplc="48F8B68E">
      <w:numFmt w:val="decimal"/>
      <w:lvlText w:val=""/>
      <w:lvlJc w:val="left"/>
    </w:lvl>
    <w:lvl w:ilvl="5" w:tplc="104EF470">
      <w:numFmt w:val="decimal"/>
      <w:lvlText w:val=""/>
      <w:lvlJc w:val="left"/>
    </w:lvl>
    <w:lvl w:ilvl="6" w:tplc="05724462">
      <w:numFmt w:val="decimal"/>
      <w:lvlText w:val=""/>
      <w:lvlJc w:val="left"/>
    </w:lvl>
    <w:lvl w:ilvl="7" w:tplc="C7883530">
      <w:numFmt w:val="decimal"/>
      <w:lvlText w:val=""/>
      <w:lvlJc w:val="left"/>
    </w:lvl>
    <w:lvl w:ilvl="8" w:tplc="F77E3306">
      <w:numFmt w:val="decimal"/>
      <w:lvlText w:val=""/>
      <w:lvlJc w:val="left"/>
    </w:lvl>
  </w:abstractNum>
  <w:abstractNum w:abstractNumId="60" w15:restartNumberingAfterBreak="0">
    <w:nsid w:val="596F4F4C"/>
    <w:multiLevelType w:val="hybridMultilevel"/>
    <w:tmpl w:val="BB8A16C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D5F4006"/>
    <w:multiLevelType w:val="hybridMultilevel"/>
    <w:tmpl w:val="5DD66D52"/>
    <w:lvl w:ilvl="0" w:tplc="616E233E">
      <w:start w:val="1"/>
      <w:numFmt w:val="bullet"/>
      <w:pStyle w:val="PastPerfTableBullet1"/>
      <w:lvlText w:val="•"/>
      <w:lvlJc w:val="left"/>
      <w:pPr>
        <w:ind w:left="360" w:hanging="360"/>
      </w:pPr>
      <w:rPr>
        <w:rFonts w:ascii="Times New Roman" w:hAnsi="Times New Roman" w:cs="Times New Roman" w:hint="default"/>
        <w:b w:val="0"/>
        <w:i w:val="0"/>
        <w:color w:val="auto"/>
        <w:position w:val="2"/>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13D19DF"/>
    <w:multiLevelType w:val="hybridMultilevel"/>
    <w:tmpl w:val="6EB2FDCC"/>
    <w:lvl w:ilvl="0" w:tplc="FBACABBC">
      <w:start w:val="1"/>
      <w:numFmt w:val="bullet"/>
      <w:pStyle w:val="PastPerfTableBullet3"/>
      <w:lvlText w:val="•"/>
      <w:lvlJc w:val="left"/>
      <w:pPr>
        <w:ind w:left="1094" w:hanging="360"/>
      </w:pPr>
      <w:rPr>
        <w:rFonts w:ascii="Times New Roman" w:hAnsi="Times New Roman" w:cs="Times New Roman" w:hint="default"/>
        <w:b/>
        <w:i w:val="0"/>
        <w:color w:val="auto"/>
      </w:rPr>
    </w:lvl>
    <w:lvl w:ilvl="1" w:tplc="04090003" w:tentative="1">
      <w:start w:val="1"/>
      <w:numFmt w:val="bullet"/>
      <w:lvlText w:val="o"/>
      <w:lvlJc w:val="left"/>
      <w:pPr>
        <w:ind w:left="1814" w:hanging="360"/>
      </w:pPr>
      <w:rPr>
        <w:rFonts w:ascii="Courier New" w:hAnsi="Courier New" w:cs="Courier New" w:hint="default"/>
      </w:rPr>
    </w:lvl>
    <w:lvl w:ilvl="2" w:tplc="04090005" w:tentative="1">
      <w:start w:val="1"/>
      <w:numFmt w:val="bullet"/>
      <w:lvlText w:val=""/>
      <w:lvlJc w:val="left"/>
      <w:pPr>
        <w:ind w:left="2534" w:hanging="360"/>
      </w:pPr>
      <w:rPr>
        <w:rFonts w:ascii="Wingdings" w:hAnsi="Wingdings" w:hint="default"/>
      </w:rPr>
    </w:lvl>
    <w:lvl w:ilvl="3" w:tplc="04090001" w:tentative="1">
      <w:start w:val="1"/>
      <w:numFmt w:val="bullet"/>
      <w:lvlText w:val=""/>
      <w:lvlJc w:val="left"/>
      <w:pPr>
        <w:ind w:left="3254" w:hanging="360"/>
      </w:pPr>
      <w:rPr>
        <w:rFonts w:ascii="Symbol" w:hAnsi="Symbol" w:hint="default"/>
      </w:rPr>
    </w:lvl>
    <w:lvl w:ilvl="4" w:tplc="04090003" w:tentative="1">
      <w:start w:val="1"/>
      <w:numFmt w:val="bullet"/>
      <w:lvlText w:val="o"/>
      <w:lvlJc w:val="left"/>
      <w:pPr>
        <w:ind w:left="3974" w:hanging="360"/>
      </w:pPr>
      <w:rPr>
        <w:rFonts w:ascii="Courier New" w:hAnsi="Courier New" w:cs="Courier New" w:hint="default"/>
      </w:rPr>
    </w:lvl>
    <w:lvl w:ilvl="5" w:tplc="04090005" w:tentative="1">
      <w:start w:val="1"/>
      <w:numFmt w:val="bullet"/>
      <w:lvlText w:val=""/>
      <w:lvlJc w:val="left"/>
      <w:pPr>
        <w:ind w:left="4694" w:hanging="360"/>
      </w:pPr>
      <w:rPr>
        <w:rFonts w:ascii="Wingdings" w:hAnsi="Wingdings" w:hint="default"/>
      </w:rPr>
    </w:lvl>
    <w:lvl w:ilvl="6" w:tplc="04090001" w:tentative="1">
      <w:start w:val="1"/>
      <w:numFmt w:val="bullet"/>
      <w:lvlText w:val=""/>
      <w:lvlJc w:val="left"/>
      <w:pPr>
        <w:ind w:left="5414" w:hanging="360"/>
      </w:pPr>
      <w:rPr>
        <w:rFonts w:ascii="Symbol" w:hAnsi="Symbol" w:hint="default"/>
      </w:rPr>
    </w:lvl>
    <w:lvl w:ilvl="7" w:tplc="04090003" w:tentative="1">
      <w:start w:val="1"/>
      <w:numFmt w:val="bullet"/>
      <w:lvlText w:val="o"/>
      <w:lvlJc w:val="left"/>
      <w:pPr>
        <w:ind w:left="6134" w:hanging="360"/>
      </w:pPr>
      <w:rPr>
        <w:rFonts w:ascii="Courier New" w:hAnsi="Courier New" w:cs="Courier New" w:hint="default"/>
      </w:rPr>
    </w:lvl>
    <w:lvl w:ilvl="8" w:tplc="04090005" w:tentative="1">
      <w:start w:val="1"/>
      <w:numFmt w:val="bullet"/>
      <w:lvlText w:val=""/>
      <w:lvlJc w:val="left"/>
      <w:pPr>
        <w:ind w:left="6854" w:hanging="360"/>
      </w:pPr>
      <w:rPr>
        <w:rFonts w:ascii="Wingdings" w:hAnsi="Wingdings" w:hint="default"/>
      </w:rPr>
    </w:lvl>
  </w:abstractNum>
  <w:abstractNum w:abstractNumId="63" w15:restartNumberingAfterBreak="0">
    <w:nsid w:val="61B06690"/>
    <w:multiLevelType w:val="hybridMultilevel"/>
    <w:tmpl w:val="FD4CEC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622B61FD"/>
    <w:multiLevelType w:val="hybridMultilevel"/>
    <w:tmpl w:val="08B2D548"/>
    <w:lvl w:ilvl="0" w:tplc="84BA333A">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3D361BD"/>
    <w:multiLevelType w:val="multilevel"/>
    <w:tmpl w:val="992EEC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5331E3F"/>
    <w:multiLevelType w:val="hybridMultilevel"/>
    <w:tmpl w:val="FA8C6234"/>
    <w:lvl w:ilvl="0" w:tplc="E83AB6B4">
      <w:start w:val="1"/>
      <w:numFmt w:val="bullet"/>
      <w:lvlText w:val="•"/>
      <w:lvlJc w:val="left"/>
      <w:pPr>
        <w:ind w:left="360" w:hanging="280"/>
      </w:pPr>
    </w:lvl>
    <w:lvl w:ilvl="1" w:tplc="B6EAC8CC">
      <w:numFmt w:val="decimal"/>
      <w:lvlText w:val=""/>
      <w:lvlJc w:val="left"/>
    </w:lvl>
    <w:lvl w:ilvl="2" w:tplc="E64EF18E">
      <w:numFmt w:val="decimal"/>
      <w:lvlText w:val=""/>
      <w:lvlJc w:val="left"/>
    </w:lvl>
    <w:lvl w:ilvl="3" w:tplc="6324D9C0">
      <w:numFmt w:val="decimal"/>
      <w:lvlText w:val=""/>
      <w:lvlJc w:val="left"/>
    </w:lvl>
    <w:lvl w:ilvl="4" w:tplc="468A9526">
      <w:numFmt w:val="decimal"/>
      <w:lvlText w:val=""/>
      <w:lvlJc w:val="left"/>
    </w:lvl>
    <w:lvl w:ilvl="5" w:tplc="5C74575C">
      <w:numFmt w:val="decimal"/>
      <w:lvlText w:val=""/>
      <w:lvlJc w:val="left"/>
    </w:lvl>
    <w:lvl w:ilvl="6" w:tplc="ECECA7AC">
      <w:numFmt w:val="decimal"/>
      <w:lvlText w:val=""/>
      <w:lvlJc w:val="left"/>
    </w:lvl>
    <w:lvl w:ilvl="7" w:tplc="16006EB4">
      <w:numFmt w:val="decimal"/>
      <w:lvlText w:val=""/>
      <w:lvlJc w:val="left"/>
    </w:lvl>
    <w:lvl w:ilvl="8" w:tplc="896EB456">
      <w:numFmt w:val="decimal"/>
      <w:lvlText w:val=""/>
      <w:lvlJc w:val="left"/>
    </w:lvl>
  </w:abstractNum>
  <w:abstractNum w:abstractNumId="67" w15:restartNumberingAfterBreak="0">
    <w:nsid w:val="69065A2D"/>
    <w:multiLevelType w:val="hybridMultilevel"/>
    <w:tmpl w:val="692A0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910618C"/>
    <w:multiLevelType w:val="hybridMultilevel"/>
    <w:tmpl w:val="ACACE79C"/>
    <w:lvl w:ilvl="0" w:tplc="CF662502">
      <w:start w:val="1"/>
      <w:numFmt w:val="bullet"/>
      <w:pStyle w:val="DCalloutbullet"/>
      <w:lvlText w:val=""/>
      <w:lvlJc w:val="left"/>
      <w:pPr>
        <w:ind w:left="907" w:hanging="360"/>
      </w:pPr>
      <w:rPr>
        <w:rFonts w:ascii="Symbol" w:hAnsi="Symbol" w:hint="default"/>
      </w:rPr>
    </w:lvl>
    <w:lvl w:ilvl="1" w:tplc="04090003" w:tentative="1">
      <w:start w:val="1"/>
      <w:numFmt w:val="bullet"/>
      <w:lvlText w:val="o"/>
      <w:lvlJc w:val="left"/>
      <w:pPr>
        <w:ind w:left="1627" w:hanging="360"/>
      </w:pPr>
      <w:rPr>
        <w:rFonts w:ascii="Courier New" w:hAnsi="Courier New" w:cs="Courier New" w:hint="default"/>
      </w:rPr>
    </w:lvl>
    <w:lvl w:ilvl="2" w:tplc="04090005" w:tentative="1">
      <w:start w:val="1"/>
      <w:numFmt w:val="bullet"/>
      <w:lvlText w:val=""/>
      <w:lvlJc w:val="left"/>
      <w:pPr>
        <w:ind w:left="2347" w:hanging="360"/>
      </w:pPr>
      <w:rPr>
        <w:rFonts w:ascii="Wingdings" w:hAnsi="Wingdings" w:hint="default"/>
      </w:rPr>
    </w:lvl>
    <w:lvl w:ilvl="3" w:tplc="04090001" w:tentative="1">
      <w:start w:val="1"/>
      <w:numFmt w:val="bullet"/>
      <w:lvlText w:val=""/>
      <w:lvlJc w:val="left"/>
      <w:pPr>
        <w:ind w:left="3067" w:hanging="360"/>
      </w:pPr>
      <w:rPr>
        <w:rFonts w:ascii="Symbol" w:hAnsi="Symbol" w:hint="default"/>
      </w:rPr>
    </w:lvl>
    <w:lvl w:ilvl="4" w:tplc="04090003" w:tentative="1">
      <w:start w:val="1"/>
      <w:numFmt w:val="bullet"/>
      <w:lvlText w:val="o"/>
      <w:lvlJc w:val="left"/>
      <w:pPr>
        <w:ind w:left="3787" w:hanging="360"/>
      </w:pPr>
      <w:rPr>
        <w:rFonts w:ascii="Courier New" w:hAnsi="Courier New" w:cs="Courier New" w:hint="default"/>
      </w:rPr>
    </w:lvl>
    <w:lvl w:ilvl="5" w:tplc="04090005" w:tentative="1">
      <w:start w:val="1"/>
      <w:numFmt w:val="bullet"/>
      <w:lvlText w:val=""/>
      <w:lvlJc w:val="left"/>
      <w:pPr>
        <w:ind w:left="4507" w:hanging="360"/>
      </w:pPr>
      <w:rPr>
        <w:rFonts w:ascii="Wingdings" w:hAnsi="Wingdings" w:hint="default"/>
      </w:rPr>
    </w:lvl>
    <w:lvl w:ilvl="6" w:tplc="04090001" w:tentative="1">
      <w:start w:val="1"/>
      <w:numFmt w:val="bullet"/>
      <w:lvlText w:val=""/>
      <w:lvlJc w:val="left"/>
      <w:pPr>
        <w:ind w:left="5227" w:hanging="360"/>
      </w:pPr>
      <w:rPr>
        <w:rFonts w:ascii="Symbol" w:hAnsi="Symbol" w:hint="default"/>
      </w:rPr>
    </w:lvl>
    <w:lvl w:ilvl="7" w:tplc="04090003" w:tentative="1">
      <w:start w:val="1"/>
      <w:numFmt w:val="bullet"/>
      <w:lvlText w:val="o"/>
      <w:lvlJc w:val="left"/>
      <w:pPr>
        <w:ind w:left="5947" w:hanging="360"/>
      </w:pPr>
      <w:rPr>
        <w:rFonts w:ascii="Courier New" w:hAnsi="Courier New" w:cs="Courier New" w:hint="default"/>
      </w:rPr>
    </w:lvl>
    <w:lvl w:ilvl="8" w:tplc="04090005" w:tentative="1">
      <w:start w:val="1"/>
      <w:numFmt w:val="bullet"/>
      <w:lvlText w:val=""/>
      <w:lvlJc w:val="left"/>
      <w:pPr>
        <w:ind w:left="6667" w:hanging="360"/>
      </w:pPr>
      <w:rPr>
        <w:rFonts w:ascii="Wingdings" w:hAnsi="Wingdings" w:hint="default"/>
      </w:rPr>
    </w:lvl>
  </w:abstractNum>
  <w:abstractNum w:abstractNumId="69" w15:restartNumberingAfterBreak="0">
    <w:nsid w:val="69E07751"/>
    <w:multiLevelType w:val="multilevel"/>
    <w:tmpl w:val="86E6A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A0C23B4"/>
    <w:multiLevelType w:val="hybridMultilevel"/>
    <w:tmpl w:val="DD2EBA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1" w15:restartNumberingAfterBreak="0">
    <w:nsid w:val="6ACC5236"/>
    <w:multiLevelType w:val="multilevel"/>
    <w:tmpl w:val="659C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DA938CA"/>
    <w:multiLevelType w:val="multilevel"/>
    <w:tmpl w:val="C090C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E783C78"/>
    <w:multiLevelType w:val="hybridMultilevel"/>
    <w:tmpl w:val="F8CEBA5C"/>
    <w:lvl w:ilvl="0" w:tplc="022A870C">
      <w:start w:val="1"/>
      <w:numFmt w:val="bullet"/>
      <w:lvlText w:val=""/>
      <w:lvlJc w:val="left"/>
      <w:pPr>
        <w:ind w:left="1440" w:hanging="360"/>
      </w:pPr>
      <w:rPr>
        <w:rFonts w:ascii="Symbol" w:hAnsi="Symbol"/>
      </w:rPr>
    </w:lvl>
    <w:lvl w:ilvl="1" w:tplc="8146EBD0">
      <w:start w:val="1"/>
      <w:numFmt w:val="bullet"/>
      <w:lvlText w:val=""/>
      <w:lvlJc w:val="left"/>
      <w:pPr>
        <w:ind w:left="1440" w:hanging="360"/>
      </w:pPr>
      <w:rPr>
        <w:rFonts w:ascii="Symbol" w:hAnsi="Symbol"/>
      </w:rPr>
    </w:lvl>
    <w:lvl w:ilvl="2" w:tplc="1CB222F6">
      <w:start w:val="1"/>
      <w:numFmt w:val="bullet"/>
      <w:lvlText w:val=""/>
      <w:lvlJc w:val="left"/>
      <w:pPr>
        <w:ind w:left="1440" w:hanging="360"/>
      </w:pPr>
      <w:rPr>
        <w:rFonts w:ascii="Symbol" w:hAnsi="Symbol"/>
      </w:rPr>
    </w:lvl>
    <w:lvl w:ilvl="3" w:tplc="AB80F82A">
      <w:start w:val="1"/>
      <w:numFmt w:val="bullet"/>
      <w:lvlText w:val=""/>
      <w:lvlJc w:val="left"/>
      <w:pPr>
        <w:ind w:left="1440" w:hanging="360"/>
      </w:pPr>
      <w:rPr>
        <w:rFonts w:ascii="Symbol" w:hAnsi="Symbol"/>
      </w:rPr>
    </w:lvl>
    <w:lvl w:ilvl="4" w:tplc="F6664A12">
      <w:start w:val="1"/>
      <w:numFmt w:val="bullet"/>
      <w:lvlText w:val=""/>
      <w:lvlJc w:val="left"/>
      <w:pPr>
        <w:ind w:left="1440" w:hanging="360"/>
      </w:pPr>
      <w:rPr>
        <w:rFonts w:ascii="Symbol" w:hAnsi="Symbol"/>
      </w:rPr>
    </w:lvl>
    <w:lvl w:ilvl="5" w:tplc="FD3A5FF8">
      <w:start w:val="1"/>
      <w:numFmt w:val="bullet"/>
      <w:lvlText w:val=""/>
      <w:lvlJc w:val="left"/>
      <w:pPr>
        <w:ind w:left="1440" w:hanging="360"/>
      </w:pPr>
      <w:rPr>
        <w:rFonts w:ascii="Symbol" w:hAnsi="Symbol"/>
      </w:rPr>
    </w:lvl>
    <w:lvl w:ilvl="6" w:tplc="0E08AD6A">
      <w:start w:val="1"/>
      <w:numFmt w:val="bullet"/>
      <w:lvlText w:val=""/>
      <w:lvlJc w:val="left"/>
      <w:pPr>
        <w:ind w:left="1440" w:hanging="360"/>
      </w:pPr>
      <w:rPr>
        <w:rFonts w:ascii="Symbol" w:hAnsi="Symbol"/>
      </w:rPr>
    </w:lvl>
    <w:lvl w:ilvl="7" w:tplc="5FD0259C">
      <w:start w:val="1"/>
      <w:numFmt w:val="bullet"/>
      <w:lvlText w:val=""/>
      <w:lvlJc w:val="left"/>
      <w:pPr>
        <w:ind w:left="1440" w:hanging="360"/>
      </w:pPr>
      <w:rPr>
        <w:rFonts w:ascii="Symbol" w:hAnsi="Symbol"/>
      </w:rPr>
    </w:lvl>
    <w:lvl w:ilvl="8" w:tplc="2F0C348E">
      <w:start w:val="1"/>
      <w:numFmt w:val="bullet"/>
      <w:lvlText w:val=""/>
      <w:lvlJc w:val="left"/>
      <w:pPr>
        <w:ind w:left="1440" w:hanging="360"/>
      </w:pPr>
      <w:rPr>
        <w:rFonts w:ascii="Symbol" w:hAnsi="Symbol"/>
      </w:rPr>
    </w:lvl>
  </w:abstractNum>
  <w:abstractNum w:abstractNumId="74" w15:restartNumberingAfterBreak="0">
    <w:nsid w:val="6EC96D0C"/>
    <w:multiLevelType w:val="hybridMultilevel"/>
    <w:tmpl w:val="8D1E3786"/>
    <w:lvl w:ilvl="0" w:tplc="9698B13E">
      <w:start w:val="1"/>
      <w:numFmt w:val="bullet"/>
      <w:pStyle w:val="PastPerfTableBullet2"/>
      <w:lvlText w:val=""/>
      <w:lvlJc w:val="left"/>
      <w:pPr>
        <w:ind w:left="547" w:hanging="360"/>
      </w:pPr>
      <w:rPr>
        <w:rFonts w:ascii="Symbol" w:hAnsi="Symbol" w:hint="default"/>
        <w:b w:val="0"/>
        <w:i w:val="0"/>
        <w:position w:val="2"/>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FBD626A"/>
    <w:multiLevelType w:val="multilevel"/>
    <w:tmpl w:val="709EB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44F5992"/>
    <w:multiLevelType w:val="hybridMultilevel"/>
    <w:tmpl w:val="164A6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50C1A0E"/>
    <w:multiLevelType w:val="hybridMultilevel"/>
    <w:tmpl w:val="A830C616"/>
    <w:lvl w:ilvl="0" w:tplc="C2A277D4">
      <w:start w:val="1"/>
      <w:numFmt w:val="bullet"/>
      <w:pStyle w:val="TableBullet1"/>
      <w:lvlText w:val="•"/>
      <w:lvlJc w:val="left"/>
      <w:pPr>
        <w:ind w:left="360" w:hanging="360"/>
      </w:pPr>
      <w:rPr>
        <w:rFonts w:ascii="Times New Roman" w:hAnsi="Times New Roman" w:cs="Times New Roman" w:hint="default"/>
        <w:b w:val="0"/>
        <w:i w:val="0"/>
        <w:color w:val="auto"/>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601619E"/>
    <w:multiLevelType w:val="multilevel"/>
    <w:tmpl w:val="838E43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73C7EF7"/>
    <w:multiLevelType w:val="hybridMultilevel"/>
    <w:tmpl w:val="815C1932"/>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0" w15:restartNumberingAfterBreak="0">
    <w:nsid w:val="77A0171B"/>
    <w:multiLevelType w:val="hybridMultilevel"/>
    <w:tmpl w:val="5A8E5290"/>
    <w:lvl w:ilvl="0" w:tplc="9A5E7950">
      <w:start w:val="1"/>
      <w:numFmt w:val="bullet"/>
      <w:pStyle w:val="Callout2CheckmarkBullet"/>
      <w:lvlText w:val="P"/>
      <w:lvlJc w:val="left"/>
      <w:pPr>
        <w:ind w:left="720" w:hanging="360"/>
      </w:pPr>
      <w:rPr>
        <w:rFonts w:ascii="Wingdings 2" w:hAnsi="Wingdings 2"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7B51210B"/>
    <w:multiLevelType w:val="hybridMultilevel"/>
    <w:tmpl w:val="B562038C"/>
    <w:lvl w:ilvl="0" w:tplc="F814DE34">
      <w:start w:val="1"/>
      <w:numFmt w:val="bullet"/>
      <w:pStyle w:val="BulletCheckmark"/>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E2B92CE"/>
    <w:multiLevelType w:val="hybridMultilevel"/>
    <w:tmpl w:val="FFFFFFFF"/>
    <w:lvl w:ilvl="0" w:tplc="D5DC0A16">
      <w:start w:val="1"/>
      <w:numFmt w:val="bullet"/>
      <w:lvlText w:val=""/>
      <w:lvlJc w:val="left"/>
      <w:pPr>
        <w:ind w:left="720" w:hanging="360"/>
      </w:pPr>
      <w:rPr>
        <w:rFonts w:ascii="Symbol" w:hAnsi="Symbol" w:hint="default"/>
      </w:rPr>
    </w:lvl>
    <w:lvl w:ilvl="1" w:tplc="5D9A3E82">
      <w:start w:val="1"/>
      <w:numFmt w:val="bullet"/>
      <w:lvlText w:val="o"/>
      <w:lvlJc w:val="left"/>
      <w:pPr>
        <w:ind w:left="1440" w:hanging="360"/>
      </w:pPr>
      <w:rPr>
        <w:rFonts w:ascii="Courier New" w:hAnsi="Courier New" w:hint="default"/>
      </w:rPr>
    </w:lvl>
    <w:lvl w:ilvl="2" w:tplc="641A9756">
      <w:start w:val="1"/>
      <w:numFmt w:val="bullet"/>
      <w:lvlText w:val=""/>
      <w:lvlJc w:val="left"/>
      <w:pPr>
        <w:ind w:left="2160" w:hanging="360"/>
      </w:pPr>
      <w:rPr>
        <w:rFonts w:ascii="Wingdings" w:hAnsi="Wingdings" w:hint="default"/>
      </w:rPr>
    </w:lvl>
    <w:lvl w:ilvl="3" w:tplc="30D60EC0">
      <w:start w:val="1"/>
      <w:numFmt w:val="bullet"/>
      <w:lvlText w:val=""/>
      <w:lvlJc w:val="left"/>
      <w:pPr>
        <w:ind w:left="2880" w:hanging="360"/>
      </w:pPr>
      <w:rPr>
        <w:rFonts w:ascii="Symbol" w:hAnsi="Symbol" w:hint="default"/>
      </w:rPr>
    </w:lvl>
    <w:lvl w:ilvl="4" w:tplc="4D644C28">
      <w:start w:val="1"/>
      <w:numFmt w:val="bullet"/>
      <w:lvlText w:val="o"/>
      <w:lvlJc w:val="left"/>
      <w:pPr>
        <w:ind w:left="3600" w:hanging="360"/>
      </w:pPr>
      <w:rPr>
        <w:rFonts w:ascii="Courier New" w:hAnsi="Courier New" w:hint="default"/>
      </w:rPr>
    </w:lvl>
    <w:lvl w:ilvl="5" w:tplc="E8E42F02">
      <w:start w:val="1"/>
      <w:numFmt w:val="bullet"/>
      <w:lvlText w:val=""/>
      <w:lvlJc w:val="left"/>
      <w:pPr>
        <w:ind w:left="4320" w:hanging="360"/>
      </w:pPr>
      <w:rPr>
        <w:rFonts w:ascii="Wingdings" w:hAnsi="Wingdings" w:hint="default"/>
      </w:rPr>
    </w:lvl>
    <w:lvl w:ilvl="6" w:tplc="B312401C">
      <w:start w:val="1"/>
      <w:numFmt w:val="bullet"/>
      <w:lvlText w:val=""/>
      <w:lvlJc w:val="left"/>
      <w:pPr>
        <w:ind w:left="5040" w:hanging="360"/>
      </w:pPr>
      <w:rPr>
        <w:rFonts w:ascii="Symbol" w:hAnsi="Symbol" w:hint="default"/>
      </w:rPr>
    </w:lvl>
    <w:lvl w:ilvl="7" w:tplc="ED7A0512">
      <w:start w:val="1"/>
      <w:numFmt w:val="bullet"/>
      <w:lvlText w:val="o"/>
      <w:lvlJc w:val="left"/>
      <w:pPr>
        <w:ind w:left="5760" w:hanging="360"/>
      </w:pPr>
      <w:rPr>
        <w:rFonts w:ascii="Courier New" w:hAnsi="Courier New" w:hint="default"/>
      </w:rPr>
    </w:lvl>
    <w:lvl w:ilvl="8" w:tplc="E2462BDA">
      <w:start w:val="1"/>
      <w:numFmt w:val="bullet"/>
      <w:lvlText w:val=""/>
      <w:lvlJc w:val="left"/>
      <w:pPr>
        <w:ind w:left="6480" w:hanging="360"/>
      </w:pPr>
      <w:rPr>
        <w:rFonts w:ascii="Wingdings" w:hAnsi="Wingdings" w:hint="default"/>
      </w:rPr>
    </w:lvl>
  </w:abstractNum>
  <w:num w:numId="1" w16cid:durableId="1300919308">
    <w:abstractNumId w:val="55"/>
  </w:num>
  <w:num w:numId="2" w16cid:durableId="1501585090">
    <w:abstractNumId w:val="77"/>
  </w:num>
  <w:num w:numId="3" w16cid:durableId="131408428">
    <w:abstractNumId w:val="5"/>
  </w:num>
  <w:num w:numId="4" w16cid:durableId="2018582678">
    <w:abstractNumId w:val="10"/>
  </w:num>
  <w:num w:numId="5" w16cid:durableId="1838420971">
    <w:abstractNumId w:val="30"/>
  </w:num>
  <w:num w:numId="6" w16cid:durableId="639850171">
    <w:abstractNumId w:val="15"/>
  </w:num>
  <w:num w:numId="7" w16cid:durableId="82921604">
    <w:abstractNumId w:val="51"/>
  </w:num>
  <w:num w:numId="8" w16cid:durableId="2136094576">
    <w:abstractNumId w:val="43"/>
  </w:num>
  <w:num w:numId="9" w16cid:durableId="668211921">
    <w:abstractNumId w:val="49"/>
  </w:num>
  <w:num w:numId="10" w16cid:durableId="1569918882">
    <w:abstractNumId w:val="11"/>
  </w:num>
  <w:num w:numId="11" w16cid:durableId="562519737">
    <w:abstractNumId w:val="23"/>
  </w:num>
  <w:num w:numId="12" w16cid:durableId="11883404">
    <w:abstractNumId w:val="81"/>
  </w:num>
  <w:num w:numId="13" w16cid:durableId="1574583779">
    <w:abstractNumId w:val="4"/>
  </w:num>
  <w:num w:numId="14" w16cid:durableId="537937124">
    <w:abstractNumId w:val="80"/>
  </w:num>
  <w:num w:numId="15" w16cid:durableId="2079865867">
    <w:abstractNumId w:val="61"/>
  </w:num>
  <w:num w:numId="16" w16cid:durableId="583496942">
    <w:abstractNumId w:val="74"/>
  </w:num>
  <w:num w:numId="17" w16cid:durableId="1594361796">
    <w:abstractNumId w:val="24"/>
  </w:num>
  <w:num w:numId="18" w16cid:durableId="1061833047">
    <w:abstractNumId w:val="62"/>
  </w:num>
  <w:num w:numId="19" w16cid:durableId="435372692">
    <w:abstractNumId w:val="64"/>
  </w:num>
  <w:num w:numId="20" w16cid:durableId="1676956873">
    <w:abstractNumId w:val="33"/>
  </w:num>
  <w:num w:numId="21" w16cid:durableId="975061256">
    <w:abstractNumId w:val="82"/>
  </w:num>
  <w:num w:numId="22" w16cid:durableId="555967100">
    <w:abstractNumId w:val="53"/>
  </w:num>
  <w:num w:numId="23" w16cid:durableId="1966085341">
    <w:abstractNumId w:val="71"/>
  </w:num>
  <w:num w:numId="24" w16cid:durableId="1597902619">
    <w:abstractNumId w:val="58"/>
  </w:num>
  <w:num w:numId="25" w16cid:durableId="998119592">
    <w:abstractNumId w:val="72"/>
  </w:num>
  <w:num w:numId="26" w16cid:durableId="1379401955">
    <w:abstractNumId w:val="2"/>
  </w:num>
  <w:num w:numId="27" w16cid:durableId="1333676358">
    <w:abstractNumId w:val="29"/>
  </w:num>
  <w:num w:numId="28" w16cid:durableId="52779249">
    <w:abstractNumId w:val="45"/>
  </w:num>
  <w:num w:numId="29" w16cid:durableId="1665665438">
    <w:abstractNumId w:val="14"/>
  </w:num>
  <w:num w:numId="30" w16cid:durableId="291207181">
    <w:abstractNumId w:val="17"/>
  </w:num>
  <w:num w:numId="31" w16cid:durableId="1541698945">
    <w:abstractNumId w:val="36"/>
  </w:num>
  <w:num w:numId="32" w16cid:durableId="2069108206">
    <w:abstractNumId w:val="6"/>
  </w:num>
  <w:num w:numId="33" w16cid:durableId="1773356491">
    <w:abstractNumId w:val="69"/>
  </w:num>
  <w:num w:numId="34" w16cid:durableId="911499913">
    <w:abstractNumId w:val="70"/>
  </w:num>
  <w:num w:numId="35" w16cid:durableId="1110399370">
    <w:abstractNumId w:val="48"/>
  </w:num>
  <w:num w:numId="36" w16cid:durableId="1565683257">
    <w:abstractNumId w:val="50"/>
  </w:num>
  <w:num w:numId="37" w16cid:durableId="138574516">
    <w:abstractNumId w:val="16"/>
  </w:num>
  <w:num w:numId="38" w16cid:durableId="1842886666">
    <w:abstractNumId w:val="13"/>
  </w:num>
  <w:num w:numId="39" w16cid:durableId="1473016315">
    <w:abstractNumId w:val="31"/>
  </w:num>
  <w:num w:numId="40" w16cid:durableId="520827098">
    <w:abstractNumId w:val="68"/>
  </w:num>
  <w:num w:numId="41" w16cid:durableId="1434672124">
    <w:abstractNumId w:val="12"/>
  </w:num>
  <w:num w:numId="42" w16cid:durableId="125900037">
    <w:abstractNumId w:val="7"/>
  </w:num>
  <w:num w:numId="43" w16cid:durableId="888226520">
    <w:abstractNumId w:val="20"/>
  </w:num>
  <w:num w:numId="44" w16cid:durableId="285694642">
    <w:abstractNumId w:val="75"/>
  </w:num>
  <w:num w:numId="45" w16cid:durableId="426509604">
    <w:abstractNumId w:val="78"/>
  </w:num>
  <w:num w:numId="46" w16cid:durableId="146171431">
    <w:abstractNumId w:val="65"/>
  </w:num>
  <w:num w:numId="47" w16cid:durableId="901408116">
    <w:abstractNumId w:val="38"/>
  </w:num>
  <w:num w:numId="48" w16cid:durableId="719523433">
    <w:abstractNumId w:val="9"/>
  </w:num>
  <w:num w:numId="49" w16cid:durableId="382369064">
    <w:abstractNumId w:val="26"/>
  </w:num>
  <w:num w:numId="50" w16cid:durableId="491944005">
    <w:abstractNumId w:val="40"/>
  </w:num>
  <w:num w:numId="51" w16cid:durableId="1641572096">
    <w:abstractNumId w:val="32"/>
    <w:lvlOverride w:ilvl="0">
      <w:startOverride w:val="1"/>
    </w:lvlOverride>
  </w:num>
  <w:num w:numId="52" w16cid:durableId="211424219">
    <w:abstractNumId w:val="59"/>
    <w:lvlOverride w:ilvl="0">
      <w:startOverride w:val="1"/>
    </w:lvlOverride>
  </w:num>
  <w:num w:numId="53" w16cid:durableId="1314407097">
    <w:abstractNumId w:val="28"/>
    <w:lvlOverride w:ilvl="0">
      <w:startOverride w:val="1"/>
    </w:lvlOverride>
  </w:num>
  <w:num w:numId="54" w16cid:durableId="166791368">
    <w:abstractNumId w:val="66"/>
    <w:lvlOverride w:ilvl="0">
      <w:startOverride w:val="1"/>
    </w:lvlOverride>
  </w:num>
  <w:num w:numId="55" w16cid:durableId="515461672">
    <w:abstractNumId w:val="54"/>
    <w:lvlOverride w:ilvl="0">
      <w:startOverride w:val="1"/>
    </w:lvlOverride>
  </w:num>
  <w:num w:numId="56" w16cid:durableId="913316663">
    <w:abstractNumId w:val="42"/>
  </w:num>
  <w:num w:numId="57" w16cid:durableId="343897101">
    <w:abstractNumId w:val="8"/>
    <w:lvlOverride w:ilvl="0">
      <w:startOverride w:val="1"/>
    </w:lvlOverride>
  </w:num>
  <w:num w:numId="58" w16cid:durableId="1985498433">
    <w:abstractNumId w:val="67"/>
  </w:num>
  <w:num w:numId="59" w16cid:durableId="368528202">
    <w:abstractNumId w:val="8"/>
  </w:num>
  <w:num w:numId="60" w16cid:durableId="424225508">
    <w:abstractNumId w:val="21"/>
  </w:num>
  <w:num w:numId="61" w16cid:durableId="1405686690">
    <w:abstractNumId w:val="63"/>
  </w:num>
  <w:num w:numId="62" w16cid:durableId="1701585553">
    <w:abstractNumId w:val="52"/>
  </w:num>
  <w:num w:numId="63" w16cid:durableId="1796823805">
    <w:abstractNumId w:val="25"/>
  </w:num>
  <w:num w:numId="64" w16cid:durableId="508952832">
    <w:abstractNumId w:val="41"/>
  </w:num>
  <w:num w:numId="65" w16cid:durableId="390036379">
    <w:abstractNumId w:val="27"/>
  </w:num>
  <w:num w:numId="66" w16cid:durableId="947663441">
    <w:abstractNumId w:val="46"/>
  </w:num>
  <w:num w:numId="67" w16cid:durableId="2010521996">
    <w:abstractNumId w:val="18"/>
  </w:num>
  <w:num w:numId="68" w16cid:durableId="627273490">
    <w:abstractNumId w:val="44"/>
  </w:num>
  <w:num w:numId="69" w16cid:durableId="1784839647">
    <w:abstractNumId w:val="22"/>
  </w:num>
  <w:num w:numId="70" w16cid:durableId="586697494">
    <w:abstractNumId w:val="57"/>
  </w:num>
  <w:num w:numId="71" w16cid:durableId="1553425111">
    <w:abstractNumId w:val="19"/>
  </w:num>
  <w:num w:numId="72" w16cid:durableId="1281569810">
    <w:abstractNumId w:val="56"/>
  </w:num>
  <w:num w:numId="73" w16cid:durableId="987830700">
    <w:abstractNumId w:val="35"/>
  </w:num>
  <w:num w:numId="74" w16cid:durableId="311443918">
    <w:abstractNumId w:val="37"/>
  </w:num>
  <w:num w:numId="75" w16cid:durableId="28457141">
    <w:abstractNumId w:val="39"/>
  </w:num>
  <w:num w:numId="76" w16cid:durableId="559093182">
    <w:abstractNumId w:val="79"/>
  </w:num>
  <w:num w:numId="77" w16cid:durableId="603806751">
    <w:abstractNumId w:val="60"/>
  </w:num>
  <w:num w:numId="78" w16cid:durableId="362247887">
    <w:abstractNumId w:val="47"/>
  </w:num>
  <w:num w:numId="79" w16cid:durableId="1858736481">
    <w:abstractNumId w:val="76"/>
  </w:num>
  <w:num w:numId="80" w16cid:durableId="1094545824">
    <w:abstractNumId w:val="1"/>
  </w:num>
  <w:num w:numId="81" w16cid:durableId="1034965494">
    <w:abstractNumId w:val="73"/>
  </w:num>
  <w:num w:numId="82" w16cid:durableId="1848127690">
    <w:abstractNumId w:val="0"/>
  </w:num>
  <w:num w:numId="83" w16cid:durableId="1788238574">
    <w:abstractNumId w:val="34"/>
  </w:num>
  <w:num w:numId="84" w16cid:durableId="1118186612">
    <w:abstractNumId w:val="3"/>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ocumentProtection w:formatting="1" w:enforcement="0"/>
  <w:defaultTabStop w:val="720"/>
  <w:drawingGridHorizontalSpacing w:val="12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34F"/>
    <w:rsid w:val="00000239"/>
    <w:rsid w:val="00000966"/>
    <w:rsid w:val="000015BB"/>
    <w:rsid w:val="00001928"/>
    <w:rsid w:val="00001E2A"/>
    <w:rsid w:val="0000255F"/>
    <w:rsid w:val="000025C3"/>
    <w:rsid w:val="0000281A"/>
    <w:rsid w:val="0000281D"/>
    <w:rsid w:val="00002899"/>
    <w:rsid w:val="00002922"/>
    <w:rsid w:val="00002CBB"/>
    <w:rsid w:val="00003241"/>
    <w:rsid w:val="00003355"/>
    <w:rsid w:val="000035AD"/>
    <w:rsid w:val="00003898"/>
    <w:rsid w:val="00003F2A"/>
    <w:rsid w:val="0000438C"/>
    <w:rsid w:val="000048C9"/>
    <w:rsid w:val="00005949"/>
    <w:rsid w:val="000059FF"/>
    <w:rsid w:val="00005B9A"/>
    <w:rsid w:val="0000640D"/>
    <w:rsid w:val="00006981"/>
    <w:rsid w:val="00006DE6"/>
    <w:rsid w:val="00006E71"/>
    <w:rsid w:val="00007047"/>
    <w:rsid w:val="0000729B"/>
    <w:rsid w:val="000075DD"/>
    <w:rsid w:val="00007E13"/>
    <w:rsid w:val="00010294"/>
    <w:rsid w:val="00010302"/>
    <w:rsid w:val="0001060C"/>
    <w:rsid w:val="00010CAD"/>
    <w:rsid w:val="00010E3E"/>
    <w:rsid w:val="0001101A"/>
    <w:rsid w:val="00011048"/>
    <w:rsid w:val="00011215"/>
    <w:rsid w:val="000113FA"/>
    <w:rsid w:val="0001187B"/>
    <w:rsid w:val="000118BF"/>
    <w:rsid w:val="000119AF"/>
    <w:rsid w:val="00011C3B"/>
    <w:rsid w:val="00011DEE"/>
    <w:rsid w:val="000120BB"/>
    <w:rsid w:val="00012188"/>
    <w:rsid w:val="0001235B"/>
    <w:rsid w:val="0001269B"/>
    <w:rsid w:val="00012832"/>
    <w:rsid w:val="0001284A"/>
    <w:rsid w:val="00012F72"/>
    <w:rsid w:val="0001352F"/>
    <w:rsid w:val="00014016"/>
    <w:rsid w:val="000144A1"/>
    <w:rsid w:val="00014532"/>
    <w:rsid w:val="00014B73"/>
    <w:rsid w:val="00014C5E"/>
    <w:rsid w:val="0001524F"/>
    <w:rsid w:val="0001570B"/>
    <w:rsid w:val="0001573B"/>
    <w:rsid w:val="00015AF2"/>
    <w:rsid w:val="00016650"/>
    <w:rsid w:val="00016E45"/>
    <w:rsid w:val="00017256"/>
    <w:rsid w:val="000172AF"/>
    <w:rsid w:val="000173D0"/>
    <w:rsid w:val="000174EA"/>
    <w:rsid w:val="00017798"/>
    <w:rsid w:val="00017EE5"/>
    <w:rsid w:val="0002006D"/>
    <w:rsid w:val="000201C2"/>
    <w:rsid w:val="0002029D"/>
    <w:rsid w:val="00020701"/>
    <w:rsid w:val="0002087E"/>
    <w:rsid w:val="000208CA"/>
    <w:rsid w:val="00020D97"/>
    <w:rsid w:val="00020E14"/>
    <w:rsid w:val="00020ED3"/>
    <w:rsid w:val="00020FC5"/>
    <w:rsid w:val="000210C1"/>
    <w:rsid w:val="000210FF"/>
    <w:rsid w:val="0002113F"/>
    <w:rsid w:val="000218B2"/>
    <w:rsid w:val="00022720"/>
    <w:rsid w:val="00023320"/>
    <w:rsid w:val="000233D4"/>
    <w:rsid w:val="00024038"/>
    <w:rsid w:val="000240B2"/>
    <w:rsid w:val="000240BD"/>
    <w:rsid w:val="000240F6"/>
    <w:rsid w:val="000242CF"/>
    <w:rsid w:val="000248F6"/>
    <w:rsid w:val="00024A9E"/>
    <w:rsid w:val="00024E98"/>
    <w:rsid w:val="000259BA"/>
    <w:rsid w:val="00025CA1"/>
    <w:rsid w:val="00025D54"/>
    <w:rsid w:val="00025F88"/>
    <w:rsid w:val="00025FD9"/>
    <w:rsid w:val="000261DF"/>
    <w:rsid w:val="0002651C"/>
    <w:rsid w:val="0002653E"/>
    <w:rsid w:val="00026777"/>
    <w:rsid w:val="0002686E"/>
    <w:rsid w:val="000269BC"/>
    <w:rsid w:val="00027175"/>
    <w:rsid w:val="000272C8"/>
    <w:rsid w:val="000273B8"/>
    <w:rsid w:val="000275AE"/>
    <w:rsid w:val="00027BCB"/>
    <w:rsid w:val="00027F5F"/>
    <w:rsid w:val="000301DD"/>
    <w:rsid w:val="00030267"/>
    <w:rsid w:val="00030289"/>
    <w:rsid w:val="00030441"/>
    <w:rsid w:val="000306D0"/>
    <w:rsid w:val="00030A17"/>
    <w:rsid w:val="00030DE5"/>
    <w:rsid w:val="00030E60"/>
    <w:rsid w:val="00030ED8"/>
    <w:rsid w:val="00031083"/>
    <w:rsid w:val="000311C1"/>
    <w:rsid w:val="00031A21"/>
    <w:rsid w:val="000322EA"/>
    <w:rsid w:val="000323A7"/>
    <w:rsid w:val="000329D2"/>
    <w:rsid w:val="00032E88"/>
    <w:rsid w:val="00032F2F"/>
    <w:rsid w:val="00033822"/>
    <w:rsid w:val="00033831"/>
    <w:rsid w:val="00033F87"/>
    <w:rsid w:val="00034273"/>
    <w:rsid w:val="000346B7"/>
    <w:rsid w:val="00034713"/>
    <w:rsid w:val="000349C1"/>
    <w:rsid w:val="00034C5B"/>
    <w:rsid w:val="00035890"/>
    <w:rsid w:val="00035BD8"/>
    <w:rsid w:val="00035DB4"/>
    <w:rsid w:val="00036209"/>
    <w:rsid w:val="000363FD"/>
    <w:rsid w:val="00036443"/>
    <w:rsid w:val="00036816"/>
    <w:rsid w:val="00036973"/>
    <w:rsid w:val="00036A56"/>
    <w:rsid w:val="00036B31"/>
    <w:rsid w:val="00036CD0"/>
    <w:rsid w:val="00036ED0"/>
    <w:rsid w:val="00036EDE"/>
    <w:rsid w:val="00037792"/>
    <w:rsid w:val="0003780E"/>
    <w:rsid w:val="0003782A"/>
    <w:rsid w:val="000378E1"/>
    <w:rsid w:val="00037B62"/>
    <w:rsid w:val="00037BFE"/>
    <w:rsid w:val="00037DEF"/>
    <w:rsid w:val="000400EA"/>
    <w:rsid w:val="000401A6"/>
    <w:rsid w:val="000401BB"/>
    <w:rsid w:val="00040285"/>
    <w:rsid w:val="00040739"/>
    <w:rsid w:val="000409BC"/>
    <w:rsid w:val="00040BBA"/>
    <w:rsid w:val="00040F88"/>
    <w:rsid w:val="0004118E"/>
    <w:rsid w:val="00041578"/>
    <w:rsid w:val="00041619"/>
    <w:rsid w:val="00041A11"/>
    <w:rsid w:val="00041F9C"/>
    <w:rsid w:val="000421CD"/>
    <w:rsid w:val="000421FB"/>
    <w:rsid w:val="00042973"/>
    <w:rsid w:val="00042E89"/>
    <w:rsid w:val="00042E8B"/>
    <w:rsid w:val="0004304B"/>
    <w:rsid w:val="0004333D"/>
    <w:rsid w:val="00043731"/>
    <w:rsid w:val="00043BF7"/>
    <w:rsid w:val="00043C39"/>
    <w:rsid w:val="00043DF2"/>
    <w:rsid w:val="00044012"/>
    <w:rsid w:val="0004465A"/>
    <w:rsid w:val="00044CE5"/>
    <w:rsid w:val="00044EEF"/>
    <w:rsid w:val="00045403"/>
    <w:rsid w:val="0004559A"/>
    <w:rsid w:val="00045B87"/>
    <w:rsid w:val="00045D2B"/>
    <w:rsid w:val="000460CA"/>
    <w:rsid w:val="00046127"/>
    <w:rsid w:val="000464A0"/>
    <w:rsid w:val="000467F5"/>
    <w:rsid w:val="0004681D"/>
    <w:rsid w:val="0004689C"/>
    <w:rsid w:val="000469DD"/>
    <w:rsid w:val="00046A15"/>
    <w:rsid w:val="000471DE"/>
    <w:rsid w:val="0004749A"/>
    <w:rsid w:val="00047663"/>
    <w:rsid w:val="00047DF9"/>
    <w:rsid w:val="00047E3F"/>
    <w:rsid w:val="0005087A"/>
    <w:rsid w:val="00050885"/>
    <w:rsid w:val="0005088D"/>
    <w:rsid w:val="00050AF8"/>
    <w:rsid w:val="00050BE7"/>
    <w:rsid w:val="00050D01"/>
    <w:rsid w:val="0005103C"/>
    <w:rsid w:val="0005149D"/>
    <w:rsid w:val="00051753"/>
    <w:rsid w:val="00051A5A"/>
    <w:rsid w:val="00051AA6"/>
    <w:rsid w:val="000528EC"/>
    <w:rsid w:val="000528F1"/>
    <w:rsid w:val="00052907"/>
    <w:rsid w:val="00052931"/>
    <w:rsid w:val="00052CA1"/>
    <w:rsid w:val="00052CF2"/>
    <w:rsid w:val="00052D41"/>
    <w:rsid w:val="0005317E"/>
    <w:rsid w:val="00053351"/>
    <w:rsid w:val="0005364E"/>
    <w:rsid w:val="000536A3"/>
    <w:rsid w:val="00053AED"/>
    <w:rsid w:val="00053C69"/>
    <w:rsid w:val="00053C8D"/>
    <w:rsid w:val="00053E25"/>
    <w:rsid w:val="0005422B"/>
    <w:rsid w:val="00054414"/>
    <w:rsid w:val="0005464F"/>
    <w:rsid w:val="00054AD6"/>
    <w:rsid w:val="00054D40"/>
    <w:rsid w:val="00055078"/>
    <w:rsid w:val="00055428"/>
    <w:rsid w:val="000556DD"/>
    <w:rsid w:val="000559F5"/>
    <w:rsid w:val="00055A16"/>
    <w:rsid w:val="00055B5B"/>
    <w:rsid w:val="00055E9A"/>
    <w:rsid w:val="00055F93"/>
    <w:rsid w:val="00056103"/>
    <w:rsid w:val="00056E51"/>
    <w:rsid w:val="00056E96"/>
    <w:rsid w:val="00056ECF"/>
    <w:rsid w:val="0005737F"/>
    <w:rsid w:val="00057575"/>
    <w:rsid w:val="00057A09"/>
    <w:rsid w:val="00057A1E"/>
    <w:rsid w:val="00057A66"/>
    <w:rsid w:val="00057A9F"/>
    <w:rsid w:val="00057B3A"/>
    <w:rsid w:val="00057CA2"/>
    <w:rsid w:val="00057D73"/>
    <w:rsid w:val="0006071A"/>
    <w:rsid w:val="00060D55"/>
    <w:rsid w:val="00061230"/>
    <w:rsid w:val="00061442"/>
    <w:rsid w:val="000616A0"/>
    <w:rsid w:val="00061A04"/>
    <w:rsid w:val="0006264D"/>
    <w:rsid w:val="00062C7B"/>
    <w:rsid w:val="00063329"/>
    <w:rsid w:val="000639DC"/>
    <w:rsid w:val="00063BF1"/>
    <w:rsid w:val="00064089"/>
    <w:rsid w:val="000649E5"/>
    <w:rsid w:val="00064B9F"/>
    <w:rsid w:val="00064E57"/>
    <w:rsid w:val="0006548A"/>
    <w:rsid w:val="00065FB5"/>
    <w:rsid w:val="00066971"/>
    <w:rsid w:val="00066AA9"/>
    <w:rsid w:val="00067A8D"/>
    <w:rsid w:val="00067B06"/>
    <w:rsid w:val="00067C0A"/>
    <w:rsid w:val="00067D09"/>
    <w:rsid w:val="0007088C"/>
    <w:rsid w:val="00070AD5"/>
    <w:rsid w:val="00070E59"/>
    <w:rsid w:val="00070F1B"/>
    <w:rsid w:val="00071188"/>
    <w:rsid w:val="0007128A"/>
    <w:rsid w:val="00071340"/>
    <w:rsid w:val="000713A0"/>
    <w:rsid w:val="000713EF"/>
    <w:rsid w:val="0007167B"/>
    <w:rsid w:val="00071841"/>
    <w:rsid w:val="00071D18"/>
    <w:rsid w:val="0007203E"/>
    <w:rsid w:val="000720A5"/>
    <w:rsid w:val="000723AE"/>
    <w:rsid w:val="00072882"/>
    <w:rsid w:val="0007369F"/>
    <w:rsid w:val="00073B8C"/>
    <w:rsid w:val="00074083"/>
    <w:rsid w:val="00074765"/>
    <w:rsid w:val="00074B51"/>
    <w:rsid w:val="00074BEF"/>
    <w:rsid w:val="00075038"/>
    <w:rsid w:val="0007514D"/>
    <w:rsid w:val="000756D4"/>
    <w:rsid w:val="00075DB8"/>
    <w:rsid w:val="000765FA"/>
    <w:rsid w:val="0007691C"/>
    <w:rsid w:val="000769CA"/>
    <w:rsid w:val="00076F7B"/>
    <w:rsid w:val="00077057"/>
    <w:rsid w:val="00077276"/>
    <w:rsid w:val="00077499"/>
    <w:rsid w:val="000774B6"/>
    <w:rsid w:val="00077639"/>
    <w:rsid w:val="00077675"/>
    <w:rsid w:val="000776DA"/>
    <w:rsid w:val="00080556"/>
    <w:rsid w:val="00080723"/>
    <w:rsid w:val="000814E9"/>
    <w:rsid w:val="000817B9"/>
    <w:rsid w:val="00081BC2"/>
    <w:rsid w:val="00081CAA"/>
    <w:rsid w:val="00081E4A"/>
    <w:rsid w:val="00081F9C"/>
    <w:rsid w:val="00082291"/>
    <w:rsid w:val="000823D4"/>
    <w:rsid w:val="0008241A"/>
    <w:rsid w:val="00082636"/>
    <w:rsid w:val="00082E93"/>
    <w:rsid w:val="00083126"/>
    <w:rsid w:val="0008329A"/>
    <w:rsid w:val="0008363E"/>
    <w:rsid w:val="0008377F"/>
    <w:rsid w:val="00083F9F"/>
    <w:rsid w:val="0008454B"/>
    <w:rsid w:val="000847C0"/>
    <w:rsid w:val="00084AF3"/>
    <w:rsid w:val="0008534D"/>
    <w:rsid w:val="000858B8"/>
    <w:rsid w:val="00085B9E"/>
    <w:rsid w:val="000860F2"/>
    <w:rsid w:val="00086507"/>
    <w:rsid w:val="0008692A"/>
    <w:rsid w:val="00086983"/>
    <w:rsid w:val="00087006"/>
    <w:rsid w:val="000870AE"/>
    <w:rsid w:val="000871AB"/>
    <w:rsid w:val="00087B05"/>
    <w:rsid w:val="00087C01"/>
    <w:rsid w:val="00087F21"/>
    <w:rsid w:val="000901EB"/>
    <w:rsid w:val="00090357"/>
    <w:rsid w:val="0009050E"/>
    <w:rsid w:val="000909D3"/>
    <w:rsid w:val="00090FAE"/>
    <w:rsid w:val="00091157"/>
    <w:rsid w:val="000911F6"/>
    <w:rsid w:val="0009138A"/>
    <w:rsid w:val="00091447"/>
    <w:rsid w:val="000914CA"/>
    <w:rsid w:val="0009164D"/>
    <w:rsid w:val="00091705"/>
    <w:rsid w:val="00091718"/>
    <w:rsid w:val="00091847"/>
    <w:rsid w:val="00091ED6"/>
    <w:rsid w:val="00091F1F"/>
    <w:rsid w:val="0009271B"/>
    <w:rsid w:val="0009306B"/>
    <w:rsid w:val="00093C4C"/>
    <w:rsid w:val="00093E72"/>
    <w:rsid w:val="00094149"/>
    <w:rsid w:val="00094226"/>
    <w:rsid w:val="00095159"/>
    <w:rsid w:val="00095182"/>
    <w:rsid w:val="000956BB"/>
    <w:rsid w:val="000958FF"/>
    <w:rsid w:val="00095BFA"/>
    <w:rsid w:val="00095C39"/>
    <w:rsid w:val="00096B6A"/>
    <w:rsid w:val="00096D6F"/>
    <w:rsid w:val="00096E2D"/>
    <w:rsid w:val="0009751D"/>
    <w:rsid w:val="00097792"/>
    <w:rsid w:val="00097A2C"/>
    <w:rsid w:val="000A0369"/>
    <w:rsid w:val="000A07CC"/>
    <w:rsid w:val="000A080D"/>
    <w:rsid w:val="000A09CE"/>
    <w:rsid w:val="000A0A49"/>
    <w:rsid w:val="000A0D77"/>
    <w:rsid w:val="000A0DA0"/>
    <w:rsid w:val="000A0FFF"/>
    <w:rsid w:val="000A1333"/>
    <w:rsid w:val="000A1582"/>
    <w:rsid w:val="000A18F0"/>
    <w:rsid w:val="000A1ACA"/>
    <w:rsid w:val="000A21B0"/>
    <w:rsid w:val="000A23E0"/>
    <w:rsid w:val="000A2642"/>
    <w:rsid w:val="000A2CE5"/>
    <w:rsid w:val="000A2EA6"/>
    <w:rsid w:val="000A2EB0"/>
    <w:rsid w:val="000A3822"/>
    <w:rsid w:val="000A3B23"/>
    <w:rsid w:val="000A427C"/>
    <w:rsid w:val="000A476F"/>
    <w:rsid w:val="000A4C6E"/>
    <w:rsid w:val="000A4F96"/>
    <w:rsid w:val="000A58BC"/>
    <w:rsid w:val="000A5AD0"/>
    <w:rsid w:val="000A62FA"/>
    <w:rsid w:val="000A65C3"/>
    <w:rsid w:val="000A67EF"/>
    <w:rsid w:val="000A6E0A"/>
    <w:rsid w:val="000A6E93"/>
    <w:rsid w:val="000A7960"/>
    <w:rsid w:val="000A7E50"/>
    <w:rsid w:val="000B0B58"/>
    <w:rsid w:val="000B0BAB"/>
    <w:rsid w:val="000B0D68"/>
    <w:rsid w:val="000B0EA4"/>
    <w:rsid w:val="000B1137"/>
    <w:rsid w:val="000B16B9"/>
    <w:rsid w:val="000B1AD6"/>
    <w:rsid w:val="000B1BCE"/>
    <w:rsid w:val="000B1BFB"/>
    <w:rsid w:val="000B1DE7"/>
    <w:rsid w:val="000B2179"/>
    <w:rsid w:val="000B23A5"/>
    <w:rsid w:val="000B279F"/>
    <w:rsid w:val="000B27C4"/>
    <w:rsid w:val="000B2DC8"/>
    <w:rsid w:val="000B3180"/>
    <w:rsid w:val="000B328F"/>
    <w:rsid w:val="000B38A3"/>
    <w:rsid w:val="000B3A7B"/>
    <w:rsid w:val="000B3B23"/>
    <w:rsid w:val="000B4350"/>
    <w:rsid w:val="000B45A2"/>
    <w:rsid w:val="000B4706"/>
    <w:rsid w:val="000B4B10"/>
    <w:rsid w:val="000B4C70"/>
    <w:rsid w:val="000B4F9E"/>
    <w:rsid w:val="000B511C"/>
    <w:rsid w:val="000B5292"/>
    <w:rsid w:val="000B59AA"/>
    <w:rsid w:val="000B59FF"/>
    <w:rsid w:val="000B6110"/>
    <w:rsid w:val="000B66CD"/>
    <w:rsid w:val="000B67ED"/>
    <w:rsid w:val="000B6D6D"/>
    <w:rsid w:val="000B6E3E"/>
    <w:rsid w:val="000B6E5F"/>
    <w:rsid w:val="000B733E"/>
    <w:rsid w:val="000B7B84"/>
    <w:rsid w:val="000B7C13"/>
    <w:rsid w:val="000B7E80"/>
    <w:rsid w:val="000C0292"/>
    <w:rsid w:val="000C0411"/>
    <w:rsid w:val="000C082E"/>
    <w:rsid w:val="000C0AA7"/>
    <w:rsid w:val="000C0D11"/>
    <w:rsid w:val="000C0E0F"/>
    <w:rsid w:val="000C0EC0"/>
    <w:rsid w:val="000C0ED0"/>
    <w:rsid w:val="000C1823"/>
    <w:rsid w:val="000C1E9C"/>
    <w:rsid w:val="000C2CA7"/>
    <w:rsid w:val="000C366A"/>
    <w:rsid w:val="000C3724"/>
    <w:rsid w:val="000C3D93"/>
    <w:rsid w:val="000C4308"/>
    <w:rsid w:val="000C433F"/>
    <w:rsid w:val="000C44D5"/>
    <w:rsid w:val="000C4698"/>
    <w:rsid w:val="000C5214"/>
    <w:rsid w:val="000C5297"/>
    <w:rsid w:val="000C5684"/>
    <w:rsid w:val="000C5732"/>
    <w:rsid w:val="000C5DAA"/>
    <w:rsid w:val="000C5FC7"/>
    <w:rsid w:val="000C6497"/>
    <w:rsid w:val="000C6C31"/>
    <w:rsid w:val="000C6EE8"/>
    <w:rsid w:val="000C757D"/>
    <w:rsid w:val="000C75C2"/>
    <w:rsid w:val="000C7651"/>
    <w:rsid w:val="000C7672"/>
    <w:rsid w:val="000C79CE"/>
    <w:rsid w:val="000D060B"/>
    <w:rsid w:val="000D0797"/>
    <w:rsid w:val="000D08D5"/>
    <w:rsid w:val="000D095E"/>
    <w:rsid w:val="000D0AEA"/>
    <w:rsid w:val="000D102B"/>
    <w:rsid w:val="000D16D1"/>
    <w:rsid w:val="000D1764"/>
    <w:rsid w:val="000D180C"/>
    <w:rsid w:val="000D18E3"/>
    <w:rsid w:val="000D1962"/>
    <w:rsid w:val="000D1B68"/>
    <w:rsid w:val="000D1D65"/>
    <w:rsid w:val="000D1EBF"/>
    <w:rsid w:val="000D20AD"/>
    <w:rsid w:val="000D2DF7"/>
    <w:rsid w:val="000D3013"/>
    <w:rsid w:val="000D3066"/>
    <w:rsid w:val="000D31A6"/>
    <w:rsid w:val="000D3510"/>
    <w:rsid w:val="000D3545"/>
    <w:rsid w:val="000D3697"/>
    <w:rsid w:val="000D39F2"/>
    <w:rsid w:val="000D3DAE"/>
    <w:rsid w:val="000D3E19"/>
    <w:rsid w:val="000D44AB"/>
    <w:rsid w:val="000D4889"/>
    <w:rsid w:val="000D4CDD"/>
    <w:rsid w:val="000D4F8B"/>
    <w:rsid w:val="000D4FA9"/>
    <w:rsid w:val="000D4FE9"/>
    <w:rsid w:val="000D4FEB"/>
    <w:rsid w:val="000D5C24"/>
    <w:rsid w:val="000D5D5E"/>
    <w:rsid w:val="000D6C55"/>
    <w:rsid w:val="000D77CD"/>
    <w:rsid w:val="000D7C84"/>
    <w:rsid w:val="000D7F23"/>
    <w:rsid w:val="000E077D"/>
    <w:rsid w:val="000E083F"/>
    <w:rsid w:val="000E0993"/>
    <w:rsid w:val="000E0A5E"/>
    <w:rsid w:val="000E0FAC"/>
    <w:rsid w:val="000E2187"/>
    <w:rsid w:val="000E2311"/>
    <w:rsid w:val="000E2358"/>
    <w:rsid w:val="000E24C9"/>
    <w:rsid w:val="000E296D"/>
    <w:rsid w:val="000E298A"/>
    <w:rsid w:val="000E2DE2"/>
    <w:rsid w:val="000E35ED"/>
    <w:rsid w:val="000E3649"/>
    <w:rsid w:val="000E386E"/>
    <w:rsid w:val="000E393E"/>
    <w:rsid w:val="000E3F35"/>
    <w:rsid w:val="000E41E7"/>
    <w:rsid w:val="000E4783"/>
    <w:rsid w:val="000E49DA"/>
    <w:rsid w:val="000E53E8"/>
    <w:rsid w:val="000E6196"/>
    <w:rsid w:val="000E6781"/>
    <w:rsid w:val="000E737F"/>
    <w:rsid w:val="000E759F"/>
    <w:rsid w:val="000E77E3"/>
    <w:rsid w:val="000E7A27"/>
    <w:rsid w:val="000F0081"/>
    <w:rsid w:val="000F04D4"/>
    <w:rsid w:val="000F06FC"/>
    <w:rsid w:val="000F16E1"/>
    <w:rsid w:val="000F194D"/>
    <w:rsid w:val="000F19A2"/>
    <w:rsid w:val="000F1ACE"/>
    <w:rsid w:val="000F23C6"/>
    <w:rsid w:val="000F25B9"/>
    <w:rsid w:val="000F3299"/>
    <w:rsid w:val="000F36AE"/>
    <w:rsid w:val="000F3BF1"/>
    <w:rsid w:val="000F3C9D"/>
    <w:rsid w:val="000F402A"/>
    <w:rsid w:val="000F4260"/>
    <w:rsid w:val="000F427F"/>
    <w:rsid w:val="000F44A1"/>
    <w:rsid w:val="000F493E"/>
    <w:rsid w:val="000F4972"/>
    <w:rsid w:val="000F49A0"/>
    <w:rsid w:val="000F50FF"/>
    <w:rsid w:val="000F57DA"/>
    <w:rsid w:val="000F58D5"/>
    <w:rsid w:val="000F5AC7"/>
    <w:rsid w:val="000F5AC9"/>
    <w:rsid w:val="000F5BEA"/>
    <w:rsid w:val="000F5F17"/>
    <w:rsid w:val="000F5F6F"/>
    <w:rsid w:val="000F62F9"/>
    <w:rsid w:val="000F673B"/>
    <w:rsid w:val="000F68E2"/>
    <w:rsid w:val="000F7327"/>
    <w:rsid w:val="000F7385"/>
    <w:rsid w:val="000F742E"/>
    <w:rsid w:val="000F7635"/>
    <w:rsid w:val="000F7887"/>
    <w:rsid w:val="000F7B7A"/>
    <w:rsid w:val="000F7C78"/>
    <w:rsid w:val="000F7D9E"/>
    <w:rsid w:val="0010019E"/>
    <w:rsid w:val="0010083C"/>
    <w:rsid w:val="001008C4"/>
    <w:rsid w:val="00100A96"/>
    <w:rsid w:val="00100D7A"/>
    <w:rsid w:val="00101299"/>
    <w:rsid w:val="00101351"/>
    <w:rsid w:val="00101411"/>
    <w:rsid w:val="00101A90"/>
    <w:rsid w:val="00101B23"/>
    <w:rsid w:val="00101BBD"/>
    <w:rsid w:val="00101BFF"/>
    <w:rsid w:val="00101CAF"/>
    <w:rsid w:val="00101E83"/>
    <w:rsid w:val="00101F6D"/>
    <w:rsid w:val="0010202C"/>
    <w:rsid w:val="0010229A"/>
    <w:rsid w:val="0010239E"/>
    <w:rsid w:val="00102988"/>
    <w:rsid w:val="00102B02"/>
    <w:rsid w:val="00102E38"/>
    <w:rsid w:val="00103DDE"/>
    <w:rsid w:val="00104132"/>
    <w:rsid w:val="001043E2"/>
    <w:rsid w:val="001044FD"/>
    <w:rsid w:val="00104D20"/>
    <w:rsid w:val="00104EF0"/>
    <w:rsid w:val="00105DF0"/>
    <w:rsid w:val="00105E76"/>
    <w:rsid w:val="00106446"/>
    <w:rsid w:val="0010647B"/>
    <w:rsid w:val="00106707"/>
    <w:rsid w:val="0010692C"/>
    <w:rsid w:val="00106F1D"/>
    <w:rsid w:val="001070EE"/>
    <w:rsid w:val="001071E0"/>
    <w:rsid w:val="00107372"/>
    <w:rsid w:val="00107722"/>
    <w:rsid w:val="00107807"/>
    <w:rsid w:val="00107DBC"/>
    <w:rsid w:val="001102DC"/>
    <w:rsid w:val="00110391"/>
    <w:rsid w:val="00110489"/>
    <w:rsid w:val="00110EB7"/>
    <w:rsid w:val="00110FEF"/>
    <w:rsid w:val="00111A4A"/>
    <w:rsid w:val="00112961"/>
    <w:rsid w:val="001129FD"/>
    <w:rsid w:val="00112A74"/>
    <w:rsid w:val="00112AB4"/>
    <w:rsid w:val="00113B25"/>
    <w:rsid w:val="0011460B"/>
    <w:rsid w:val="00114BBC"/>
    <w:rsid w:val="00114D29"/>
    <w:rsid w:val="00114E6D"/>
    <w:rsid w:val="001150AA"/>
    <w:rsid w:val="00115250"/>
    <w:rsid w:val="00115B20"/>
    <w:rsid w:val="00115F03"/>
    <w:rsid w:val="00116124"/>
    <w:rsid w:val="001167B0"/>
    <w:rsid w:val="001169A7"/>
    <w:rsid w:val="001178ED"/>
    <w:rsid w:val="00117C1C"/>
    <w:rsid w:val="0012077C"/>
    <w:rsid w:val="001209BA"/>
    <w:rsid w:val="00120E2C"/>
    <w:rsid w:val="001219E3"/>
    <w:rsid w:val="00121D05"/>
    <w:rsid w:val="00121E2C"/>
    <w:rsid w:val="00121F0A"/>
    <w:rsid w:val="001222CA"/>
    <w:rsid w:val="00122402"/>
    <w:rsid w:val="0012287F"/>
    <w:rsid w:val="00122ACB"/>
    <w:rsid w:val="00123312"/>
    <w:rsid w:val="00123418"/>
    <w:rsid w:val="0012378A"/>
    <w:rsid w:val="001237C4"/>
    <w:rsid w:val="00123FC3"/>
    <w:rsid w:val="00124286"/>
    <w:rsid w:val="0012447A"/>
    <w:rsid w:val="00124ACF"/>
    <w:rsid w:val="00124E7A"/>
    <w:rsid w:val="00125484"/>
    <w:rsid w:val="0012587D"/>
    <w:rsid w:val="00125B6A"/>
    <w:rsid w:val="0012617A"/>
    <w:rsid w:val="001266E0"/>
    <w:rsid w:val="001268C3"/>
    <w:rsid w:val="001268D7"/>
    <w:rsid w:val="00126B0C"/>
    <w:rsid w:val="00127BA4"/>
    <w:rsid w:val="001301A2"/>
    <w:rsid w:val="001302DA"/>
    <w:rsid w:val="001304DA"/>
    <w:rsid w:val="00130561"/>
    <w:rsid w:val="00130694"/>
    <w:rsid w:val="00130E0E"/>
    <w:rsid w:val="00130F42"/>
    <w:rsid w:val="0013116D"/>
    <w:rsid w:val="00132099"/>
    <w:rsid w:val="001321CF"/>
    <w:rsid w:val="00132201"/>
    <w:rsid w:val="0013255B"/>
    <w:rsid w:val="00132ED5"/>
    <w:rsid w:val="0013314E"/>
    <w:rsid w:val="00133882"/>
    <w:rsid w:val="00133E5A"/>
    <w:rsid w:val="00133ED4"/>
    <w:rsid w:val="00133FD5"/>
    <w:rsid w:val="001340F0"/>
    <w:rsid w:val="001342A6"/>
    <w:rsid w:val="0013453C"/>
    <w:rsid w:val="001349CE"/>
    <w:rsid w:val="001349FE"/>
    <w:rsid w:val="00134AD1"/>
    <w:rsid w:val="00134F55"/>
    <w:rsid w:val="001355C0"/>
    <w:rsid w:val="00135749"/>
    <w:rsid w:val="00135BBF"/>
    <w:rsid w:val="00136631"/>
    <w:rsid w:val="00136A90"/>
    <w:rsid w:val="00136D3E"/>
    <w:rsid w:val="0013728D"/>
    <w:rsid w:val="001374FF"/>
    <w:rsid w:val="00137DCB"/>
    <w:rsid w:val="001400F8"/>
    <w:rsid w:val="001407A3"/>
    <w:rsid w:val="00140CF7"/>
    <w:rsid w:val="00140D2A"/>
    <w:rsid w:val="001417A9"/>
    <w:rsid w:val="0014184C"/>
    <w:rsid w:val="00141BB6"/>
    <w:rsid w:val="001422FB"/>
    <w:rsid w:val="00142B64"/>
    <w:rsid w:val="00142B87"/>
    <w:rsid w:val="0014338A"/>
    <w:rsid w:val="0014367D"/>
    <w:rsid w:val="001436B8"/>
    <w:rsid w:val="001437CC"/>
    <w:rsid w:val="00144035"/>
    <w:rsid w:val="001441AF"/>
    <w:rsid w:val="00144287"/>
    <w:rsid w:val="00144A2F"/>
    <w:rsid w:val="00144C5B"/>
    <w:rsid w:val="00145BE7"/>
    <w:rsid w:val="001462ED"/>
    <w:rsid w:val="00146A1B"/>
    <w:rsid w:val="00146B3F"/>
    <w:rsid w:val="00147436"/>
    <w:rsid w:val="00147706"/>
    <w:rsid w:val="0014794C"/>
    <w:rsid w:val="00150242"/>
    <w:rsid w:val="0015083B"/>
    <w:rsid w:val="00150991"/>
    <w:rsid w:val="00150A20"/>
    <w:rsid w:val="00150C3C"/>
    <w:rsid w:val="00151353"/>
    <w:rsid w:val="001517C9"/>
    <w:rsid w:val="0015186F"/>
    <w:rsid w:val="00151F36"/>
    <w:rsid w:val="00152B55"/>
    <w:rsid w:val="00152D96"/>
    <w:rsid w:val="00153287"/>
    <w:rsid w:val="00153430"/>
    <w:rsid w:val="00153DC3"/>
    <w:rsid w:val="0015413A"/>
    <w:rsid w:val="001542A3"/>
    <w:rsid w:val="00154501"/>
    <w:rsid w:val="00154540"/>
    <w:rsid w:val="00154B59"/>
    <w:rsid w:val="00154B69"/>
    <w:rsid w:val="00155567"/>
    <w:rsid w:val="00155FFD"/>
    <w:rsid w:val="001560D2"/>
    <w:rsid w:val="0015622D"/>
    <w:rsid w:val="00156474"/>
    <w:rsid w:val="00156614"/>
    <w:rsid w:val="00156C09"/>
    <w:rsid w:val="00156E47"/>
    <w:rsid w:val="0015739E"/>
    <w:rsid w:val="00157427"/>
    <w:rsid w:val="00157C24"/>
    <w:rsid w:val="00157C8C"/>
    <w:rsid w:val="00160391"/>
    <w:rsid w:val="00161175"/>
    <w:rsid w:val="00161699"/>
    <w:rsid w:val="00161A0E"/>
    <w:rsid w:val="001621AB"/>
    <w:rsid w:val="00162242"/>
    <w:rsid w:val="0016230F"/>
    <w:rsid w:val="00162716"/>
    <w:rsid w:val="00162740"/>
    <w:rsid w:val="00162C25"/>
    <w:rsid w:val="001633F2"/>
    <w:rsid w:val="001636E8"/>
    <w:rsid w:val="0016395B"/>
    <w:rsid w:val="00163CBC"/>
    <w:rsid w:val="00163D32"/>
    <w:rsid w:val="0016410C"/>
    <w:rsid w:val="001641CB"/>
    <w:rsid w:val="001648B6"/>
    <w:rsid w:val="001649DA"/>
    <w:rsid w:val="0016517F"/>
    <w:rsid w:val="00165BAB"/>
    <w:rsid w:val="00165F1E"/>
    <w:rsid w:val="00166997"/>
    <w:rsid w:val="00167100"/>
    <w:rsid w:val="00167231"/>
    <w:rsid w:val="00167424"/>
    <w:rsid w:val="001677A6"/>
    <w:rsid w:val="00167D15"/>
    <w:rsid w:val="00167E51"/>
    <w:rsid w:val="00167FF0"/>
    <w:rsid w:val="001702B2"/>
    <w:rsid w:val="001703B9"/>
    <w:rsid w:val="00170533"/>
    <w:rsid w:val="001707B0"/>
    <w:rsid w:val="00170A7C"/>
    <w:rsid w:val="00170ABF"/>
    <w:rsid w:val="00170C9D"/>
    <w:rsid w:val="00171114"/>
    <w:rsid w:val="0017134F"/>
    <w:rsid w:val="00171BF9"/>
    <w:rsid w:val="00172756"/>
    <w:rsid w:val="00172C38"/>
    <w:rsid w:val="00173305"/>
    <w:rsid w:val="001734C3"/>
    <w:rsid w:val="0017385D"/>
    <w:rsid w:val="00173E2B"/>
    <w:rsid w:val="00173F36"/>
    <w:rsid w:val="0017409E"/>
    <w:rsid w:val="0017470F"/>
    <w:rsid w:val="00174AA8"/>
    <w:rsid w:val="001752A9"/>
    <w:rsid w:val="00175304"/>
    <w:rsid w:val="0017540A"/>
    <w:rsid w:val="0017572C"/>
    <w:rsid w:val="00175774"/>
    <w:rsid w:val="00176077"/>
    <w:rsid w:val="001760A7"/>
    <w:rsid w:val="0017627B"/>
    <w:rsid w:val="001764FC"/>
    <w:rsid w:val="0017663E"/>
    <w:rsid w:val="001766AD"/>
    <w:rsid w:val="001766CF"/>
    <w:rsid w:val="0017680B"/>
    <w:rsid w:val="00176A5D"/>
    <w:rsid w:val="00176AB0"/>
    <w:rsid w:val="00176C95"/>
    <w:rsid w:val="00176F39"/>
    <w:rsid w:val="00177163"/>
    <w:rsid w:val="00177187"/>
    <w:rsid w:val="00177234"/>
    <w:rsid w:val="0017789A"/>
    <w:rsid w:val="00180278"/>
    <w:rsid w:val="001803B1"/>
    <w:rsid w:val="00180A96"/>
    <w:rsid w:val="00180D48"/>
    <w:rsid w:val="00181397"/>
    <w:rsid w:val="001814FE"/>
    <w:rsid w:val="001818F1"/>
    <w:rsid w:val="00181ACA"/>
    <w:rsid w:val="00181D03"/>
    <w:rsid w:val="00181D8F"/>
    <w:rsid w:val="00181DE6"/>
    <w:rsid w:val="00181E48"/>
    <w:rsid w:val="001820B6"/>
    <w:rsid w:val="001821B6"/>
    <w:rsid w:val="00182798"/>
    <w:rsid w:val="00182D41"/>
    <w:rsid w:val="00182DFE"/>
    <w:rsid w:val="0018367C"/>
    <w:rsid w:val="00183BCE"/>
    <w:rsid w:val="001853DB"/>
    <w:rsid w:val="001853E4"/>
    <w:rsid w:val="00185771"/>
    <w:rsid w:val="001857D9"/>
    <w:rsid w:val="00185AF1"/>
    <w:rsid w:val="00185E30"/>
    <w:rsid w:val="001866DD"/>
    <w:rsid w:val="00186A32"/>
    <w:rsid w:val="00186CA5"/>
    <w:rsid w:val="00187177"/>
    <w:rsid w:val="001872BF"/>
    <w:rsid w:val="00187BD5"/>
    <w:rsid w:val="00187EDF"/>
    <w:rsid w:val="001901AA"/>
    <w:rsid w:val="00190625"/>
    <w:rsid w:val="001907E2"/>
    <w:rsid w:val="00190821"/>
    <w:rsid w:val="001910C4"/>
    <w:rsid w:val="00191CF3"/>
    <w:rsid w:val="00191EDA"/>
    <w:rsid w:val="00191F0B"/>
    <w:rsid w:val="00192010"/>
    <w:rsid w:val="00192568"/>
    <w:rsid w:val="001927AA"/>
    <w:rsid w:val="00192F53"/>
    <w:rsid w:val="0019300F"/>
    <w:rsid w:val="0019309A"/>
    <w:rsid w:val="00193619"/>
    <w:rsid w:val="0019367D"/>
    <w:rsid w:val="001936A5"/>
    <w:rsid w:val="00193C2E"/>
    <w:rsid w:val="001940A7"/>
    <w:rsid w:val="001955D5"/>
    <w:rsid w:val="00195640"/>
    <w:rsid w:val="0019577C"/>
    <w:rsid w:val="00195BC7"/>
    <w:rsid w:val="00195C36"/>
    <w:rsid w:val="00195E57"/>
    <w:rsid w:val="00195FA7"/>
    <w:rsid w:val="00196582"/>
    <w:rsid w:val="00197075"/>
    <w:rsid w:val="00197207"/>
    <w:rsid w:val="00197240"/>
    <w:rsid w:val="001972F0"/>
    <w:rsid w:val="0019731D"/>
    <w:rsid w:val="001975BA"/>
    <w:rsid w:val="00197653"/>
    <w:rsid w:val="001A0140"/>
    <w:rsid w:val="001A043C"/>
    <w:rsid w:val="001A08CD"/>
    <w:rsid w:val="001A0D05"/>
    <w:rsid w:val="001A0DA3"/>
    <w:rsid w:val="001A0E28"/>
    <w:rsid w:val="001A0E3B"/>
    <w:rsid w:val="001A0FC7"/>
    <w:rsid w:val="001A16D2"/>
    <w:rsid w:val="001A19D0"/>
    <w:rsid w:val="001A1F3C"/>
    <w:rsid w:val="001A21CC"/>
    <w:rsid w:val="001A22FD"/>
    <w:rsid w:val="001A2393"/>
    <w:rsid w:val="001A24CE"/>
    <w:rsid w:val="001A264E"/>
    <w:rsid w:val="001A278B"/>
    <w:rsid w:val="001A2BBE"/>
    <w:rsid w:val="001A36FC"/>
    <w:rsid w:val="001A4773"/>
    <w:rsid w:val="001A496B"/>
    <w:rsid w:val="001A4AFA"/>
    <w:rsid w:val="001A4F0E"/>
    <w:rsid w:val="001A5587"/>
    <w:rsid w:val="001A59A7"/>
    <w:rsid w:val="001A5F4D"/>
    <w:rsid w:val="001A6162"/>
    <w:rsid w:val="001A670F"/>
    <w:rsid w:val="001A6763"/>
    <w:rsid w:val="001A6766"/>
    <w:rsid w:val="001A6A4E"/>
    <w:rsid w:val="001A6EA4"/>
    <w:rsid w:val="001A70C1"/>
    <w:rsid w:val="001A7192"/>
    <w:rsid w:val="001A73DB"/>
    <w:rsid w:val="001A75A2"/>
    <w:rsid w:val="001A78CE"/>
    <w:rsid w:val="001A7D1E"/>
    <w:rsid w:val="001A7D82"/>
    <w:rsid w:val="001A7DAF"/>
    <w:rsid w:val="001A7ECD"/>
    <w:rsid w:val="001A7F36"/>
    <w:rsid w:val="001A7FA5"/>
    <w:rsid w:val="001B0223"/>
    <w:rsid w:val="001B024F"/>
    <w:rsid w:val="001B0EC1"/>
    <w:rsid w:val="001B1195"/>
    <w:rsid w:val="001B1FE2"/>
    <w:rsid w:val="001B2095"/>
    <w:rsid w:val="001B285D"/>
    <w:rsid w:val="001B2C5B"/>
    <w:rsid w:val="001B2E75"/>
    <w:rsid w:val="001B2F38"/>
    <w:rsid w:val="001B31D0"/>
    <w:rsid w:val="001B3625"/>
    <w:rsid w:val="001B366E"/>
    <w:rsid w:val="001B369C"/>
    <w:rsid w:val="001B36D8"/>
    <w:rsid w:val="001B3C74"/>
    <w:rsid w:val="001B3FB5"/>
    <w:rsid w:val="001B4466"/>
    <w:rsid w:val="001B499A"/>
    <w:rsid w:val="001B4A8B"/>
    <w:rsid w:val="001B4D0C"/>
    <w:rsid w:val="001B4DEE"/>
    <w:rsid w:val="001B4E97"/>
    <w:rsid w:val="001B507D"/>
    <w:rsid w:val="001B5301"/>
    <w:rsid w:val="001B6775"/>
    <w:rsid w:val="001B6A8D"/>
    <w:rsid w:val="001B6B87"/>
    <w:rsid w:val="001B6BD6"/>
    <w:rsid w:val="001B7194"/>
    <w:rsid w:val="001B79FA"/>
    <w:rsid w:val="001B7E96"/>
    <w:rsid w:val="001C0297"/>
    <w:rsid w:val="001C1033"/>
    <w:rsid w:val="001C16F3"/>
    <w:rsid w:val="001C1B8C"/>
    <w:rsid w:val="001C1CBF"/>
    <w:rsid w:val="001C1EF1"/>
    <w:rsid w:val="001C1F64"/>
    <w:rsid w:val="001C2348"/>
    <w:rsid w:val="001C31D8"/>
    <w:rsid w:val="001C3557"/>
    <w:rsid w:val="001C37A1"/>
    <w:rsid w:val="001C3A4B"/>
    <w:rsid w:val="001C3C0D"/>
    <w:rsid w:val="001C3F34"/>
    <w:rsid w:val="001C478E"/>
    <w:rsid w:val="001C4A60"/>
    <w:rsid w:val="001C5E0C"/>
    <w:rsid w:val="001C6001"/>
    <w:rsid w:val="001C69C2"/>
    <w:rsid w:val="001C6A26"/>
    <w:rsid w:val="001C6BDE"/>
    <w:rsid w:val="001C7019"/>
    <w:rsid w:val="001C7040"/>
    <w:rsid w:val="001C7260"/>
    <w:rsid w:val="001C741F"/>
    <w:rsid w:val="001C7579"/>
    <w:rsid w:val="001C75E1"/>
    <w:rsid w:val="001C7A30"/>
    <w:rsid w:val="001C7BF9"/>
    <w:rsid w:val="001C7F68"/>
    <w:rsid w:val="001D0879"/>
    <w:rsid w:val="001D0AAE"/>
    <w:rsid w:val="001D0EC2"/>
    <w:rsid w:val="001D10F4"/>
    <w:rsid w:val="001D1363"/>
    <w:rsid w:val="001D1707"/>
    <w:rsid w:val="001D1893"/>
    <w:rsid w:val="001D190F"/>
    <w:rsid w:val="001D1AA3"/>
    <w:rsid w:val="001D24B1"/>
    <w:rsid w:val="001D2DA3"/>
    <w:rsid w:val="001D31A8"/>
    <w:rsid w:val="001D3356"/>
    <w:rsid w:val="001D3AEA"/>
    <w:rsid w:val="001D3B88"/>
    <w:rsid w:val="001D45AF"/>
    <w:rsid w:val="001D47BC"/>
    <w:rsid w:val="001D483C"/>
    <w:rsid w:val="001D4ACF"/>
    <w:rsid w:val="001D4ADA"/>
    <w:rsid w:val="001D4D9D"/>
    <w:rsid w:val="001D5459"/>
    <w:rsid w:val="001D561F"/>
    <w:rsid w:val="001D59FD"/>
    <w:rsid w:val="001D6403"/>
    <w:rsid w:val="001D6E63"/>
    <w:rsid w:val="001D751D"/>
    <w:rsid w:val="001D7A25"/>
    <w:rsid w:val="001D7BA0"/>
    <w:rsid w:val="001E0CD2"/>
    <w:rsid w:val="001E0D07"/>
    <w:rsid w:val="001E0F00"/>
    <w:rsid w:val="001E1025"/>
    <w:rsid w:val="001E1082"/>
    <w:rsid w:val="001E15ED"/>
    <w:rsid w:val="001E161E"/>
    <w:rsid w:val="001E1AF5"/>
    <w:rsid w:val="001E1DDC"/>
    <w:rsid w:val="001E1F99"/>
    <w:rsid w:val="001E243F"/>
    <w:rsid w:val="001E2E6E"/>
    <w:rsid w:val="001E306A"/>
    <w:rsid w:val="001E321A"/>
    <w:rsid w:val="001E3314"/>
    <w:rsid w:val="001E33FE"/>
    <w:rsid w:val="001E3D73"/>
    <w:rsid w:val="001E412A"/>
    <w:rsid w:val="001E414F"/>
    <w:rsid w:val="001E41DE"/>
    <w:rsid w:val="001E4649"/>
    <w:rsid w:val="001E483C"/>
    <w:rsid w:val="001E48FD"/>
    <w:rsid w:val="001E4B09"/>
    <w:rsid w:val="001E505E"/>
    <w:rsid w:val="001E565A"/>
    <w:rsid w:val="001E57BA"/>
    <w:rsid w:val="001E5949"/>
    <w:rsid w:val="001E5991"/>
    <w:rsid w:val="001E5A5A"/>
    <w:rsid w:val="001E5A8D"/>
    <w:rsid w:val="001E6FD4"/>
    <w:rsid w:val="001E7626"/>
    <w:rsid w:val="001E7760"/>
    <w:rsid w:val="001E781D"/>
    <w:rsid w:val="001F03B8"/>
    <w:rsid w:val="001F054F"/>
    <w:rsid w:val="001F05BC"/>
    <w:rsid w:val="001F0B8D"/>
    <w:rsid w:val="001F0C44"/>
    <w:rsid w:val="001F0D61"/>
    <w:rsid w:val="001F1215"/>
    <w:rsid w:val="001F18E0"/>
    <w:rsid w:val="001F2079"/>
    <w:rsid w:val="001F263E"/>
    <w:rsid w:val="001F2725"/>
    <w:rsid w:val="001F2B13"/>
    <w:rsid w:val="001F32B3"/>
    <w:rsid w:val="001F36CC"/>
    <w:rsid w:val="001F3701"/>
    <w:rsid w:val="001F382D"/>
    <w:rsid w:val="001F393D"/>
    <w:rsid w:val="001F3FFC"/>
    <w:rsid w:val="001F4718"/>
    <w:rsid w:val="001F49D3"/>
    <w:rsid w:val="001F5256"/>
    <w:rsid w:val="001F528F"/>
    <w:rsid w:val="001F5403"/>
    <w:rsid w:val="001F578D"/>
    <w:rsid w:val="001F5983"/>
    <w:rsid w:val="001F5CE6"/>
    <w:rsid w:val="001F5D51"/>
    <w:rsid w:val="001F61AC"/>
    <w:rsid w:val="001F6229"/>
    <w:rsid w:val="001F629B"/>
    <w:rsid w:val="001F63A3"/>
    <w:rsid w:val="001F65CA"/>
    <w:rsid w:val="001F6685"/>
    <w:rsid w:val="001F6DB4"/>
    <w:rsid w:val="001F707C"/>
    <w:rsid w:val="001F7855"/>
    <w:rsid w:val="001F7A2A"/>
    <w:rsid w:val="001F7FF7"/>
    <w:rsid w:val="00200812"/>
    <w:rsid w:val="00200DEC"/>
    <w:rsid w:val="00201156"/>
    <w:rsid w:val="0020118F"/>
    <w:rsid w:val="00201914"/>
    <w:rsid w:val="00202B18"/>
    <w:rsid w:val="0020358F"/>
    <w:rsid w:val="002043C5"/>
    <w:rsid w:val="002046C4"/>
    <w:rsid w:val="002059E3"/>
    <w:rsid w:val="00205BA9"/>
    <w:rsid w:val="00205E72"/>
    <w:rsid w:val="00206A38"/>
    <w:rsid w:val="00206A4A"/>
    <w:rsid w:val="0020708C"/>
    <w:rsid w:val="0020724D"/>
    <w:rsid w:val="002103C6"/>
    <w:rsid w:val="00210491"/>
    <w:rsid w:val="002105BC"/>
    <w:rsid w:val="00210602"/>
    <w:rsid w:val="00210A44"/>
    <w:rsid w:val="00210DC5"/>
    <w:rsid w:val="00210E89"/>
    <w:rsid w:val="00210ED3"/>
    <w:rsid w:val="002110F4"/>
    <w:rsid w:val="002112C6"/>
    <w:rsid w:val="0021148E"/>
    <w:rsid w:val="002114B4"/>
    <w:rsid w:val="0021150E"/>
    <w:rsid w:val="00211653"/>
    <w:rsid w:val="00212085"/>
    <w:rsid w:val="0021236A"/>
    <w:rsid w:val="002126E7"/>
    <w:rsid w:val="0021298D"/>
    <w:rsid w:val="00212B39"/>
    <w:rsid w:val="00212EC1"/>
    <w:rsid w:val="00212F9D"/>
    <w:rsid w:val="00213051"/>
    <w:rsid w:val="00213071"/>
    <w:rsid w:val="002135FF"/>
    <w:rsid w:val="0021369E"/>
    <w:rsid w:val="00213869"/>
    <w:rsid w:val="00213A30"/>
    <w:rsid w:val="00214361"/>
    <w:rsid w:val="00214A20"/>
    <w:rsid w:val="00214E42"/>
    <w:rsid w:val="00214E57"/>
    <w:rsid w:val="0021541C"/>
    <w:rsid w:val="00215429"/>
    <w:rsid w:val="002154F1"/>
    <w:rsid w:val="002158AA"/>
    <w:rsid w:val="00215D3F"/>
    <w:rsid w:val="00215DCC"/>
    <w:rsid w:val="002160A9"/>
    <w:rsid w:val="002161B3"/>
    <w:rsid w:val="00216493"/>
    <w:rsid w:val="00216930"/>
    <w:rsid w:val="00216B31"/>
    <w:rsid w:val="00216C59"/>
    <w:rsid w:val="00217C0B"/>
    <w:rsid w:val="00217E44"/>
    <w:rsid w:val="00220564"/>
    <w:rsid w:val="002208A3"/>
    <w:rsid w:val="002209FF"/>
    <w:rsid w:val="00220C9C"/>
    <w:rsid w:val="00222773"/>
    <w:rsid w:val="00222A6F"/>
    <w:rsid w:val="00222CAA"/>
    <w:rsid w:val="00223283"/>
    <w:rsid w:val="00223334"/>
    <w:rsid w:val="0022373D"/>
    <w:rsid w:val="00223838"/>
    <w:rsid w:val="0022438B"/>
    <w:rsid w:val="002247D3"/>
    <w:rsid w:val="00224BBA"/>
    <w:rsid w:val="00224C2C"/>
    <w:rsid w:val="0022509D"/>
    <w:rsid w:val="002256EE"/>
    <w:rsid w:val="00225A5B"/>
    <w:rsid w:val="00225B3B"/>
    <w:rsid w:val="00225D53"/>
    <w:rsid w:val="00225FBC"/>
    <w:rsid w:val="00225FFF"/>
    <w:rsid w:val="002260B0"/>
    <w:rsid w:val="00226123"/>
    <w:rsid w:val="00226512"/>
    <w:rsid w:val="002265AF"/>
    <w:rsid w:val="002267D0"/>
    <w:rsid w:val="002268E0"/>
    <w:rsid w:val="00226A39"/>
    <w:rsid w:val="00226A83"/>
    <w:rsid w:val="00226A89"/>
    <w:rsid w:val="00226EB2"/>
    <w:rsid w:val="00226EC1"/>
    <w:rsid w:val="00227AEF"/>
    <w:rsid w:val="00227AF4"/>
    <w:rsid w:val="0023000B"/>
    <w:rsid w:val="0023062B"/>
    <w:rsid w:val="00230747"/>
    <w:rsid w:val="00230DF8"/>
    <w:rsid w:val="00231259"/>
    <w:rsid w:val="002312EE"/>
    <w:rsid w:val="00231696"/>
    <w:rsid w:val="002318A0"/>
    <w:rsid w:val="0023195E"/>
    <w:rsid w:val="00231D3C"/>
    <w:rsid w:val="00231E68"/>
    <w:rsid w:val="00231EDB"/>
    <w:rsid w:val="002324BD"/>
    <w:rsid w:val="002325F8"/>
    <w:rsid w:val="00232DC7"/>
    <w:rsid w:val="00233729"/>
    <w:rsid w:val="00233776"/>
    <w:rsid w:val="00233D25"/>
    <w:rsid w:val="00233D4F"/>
    <w:rsid w:val="002342D9"/>
    <w:rsid w:val="00234528"/>
    <w:rsid w:val="00234849"/>
    <w:rsid w:val="00234ECA"/>
    <w:rsid w:val="0023529A"/>
    <w:rsid w:val="00235374"/>
    <w:rsid w:val="002356B7"/>
    <w:rsid w:val="00235725"/>
    <w:rsid w:val="00235DE3"/>
    <w:rsid w:val="00236086"/>
    <w:rsid w:val="0023659D"/>
    <w:rsid w:val="00236DF8"/>
    <w:rsid w:val="00236E95"/>
    <w:rsid w:val="00236F07"/>
    <w:rsid w:val="0023717C"/>
    <w:rsid w:val="0023717E"/>
    <w:rsid w:val="00237671"/>
    <w:rsid w:val="00237690"/>
    <w:rsid w:val="0023799C"/>
    <w:rsid w:val="002379E0"/>
    <w:rsid w:val="00237EEE"/>
    <w:rsid w:val="00240674"/>
    <w:rsid w:val="00240C0D"/>
    <w:rsid w:val="00241356"/>
    <w:rsid w:val="00241FD6"/>
    <w:rsid w:val="00242157"/>
    <w:rsid w:val="002422D9"/>
    <w:rsid w:val="00242C08"/>
    <w:rsid w:val="00242F02"/>
    <w:rsid w:val="00243AE7"/>
    <w:rsid w:val="00243C00"/>
    <w:rsid w:val="00243D28"/>
    <w:rsid w:val="00243EC5"/>
    <w:rsid w:val="00243F86"/>
    <w:rsid w:val="002440B1"/>
    <w:rsid w:val="002440D5"/>
    <w:rsid w:val="00244B7B"/>
    <w:rsid w:val="002454E2"/>
    <w:rsid w:val="00245804"/>
    <w:rsid w:val="00245A0F"/>
    <w:rsid w:val="00246028"/>
    <w:rsid w:val="00246098"/>
    <w:rsid w:val="00246561"/>
    <w:rsid w:val="002468D7"/>
    <w:rsid w:val="00246BB2"/>
    <w:rsid w:val="002474B8"/>
    <w:rsid w:val="002500DB"/>
    <w:rsid w:val="0025059F"/>
    <w:rsid w:val="00250C8F"/>
    <w:rsid w:val="002515C5"/>
    <w:rsid w:val="002515D4"/>
    <w:rsid w:val="002515ED"/>
    <w:rsid w:val="00251BC9"/>
    <w:rsid w:val="00251D4E"/>
    <w:rsid w:val="00251F8C"/>
    <w:rsid w:val="002522DE"/>
    <w:rsid w:val="002524C8"/>
    <w:rsid w:val="00252753"/>
    <w:rsid w:val="00253250"/>
    <w:rsid w:val="0025338C"/>
    <w:rsid w:val="002537D0"/>
    <w:rsid w:val="0025386B"/>
    <w:rsid w:val="00253D58"/>
    <w:rsid w:val="00253DA2"/>
    <w:rsid w:val="00253F3C"/>
    <w:rsid w:val="002540DD"/>
    <w:rsid w:val="00254348"/>
    <w:rsid w:val="002544F7"/>
    <w:rsid w:val="00254568"/>
    <w:rsid w:val="002548B6"/>
    <w:rsid w:val="002548CD"/>
    <w:rsid w:val="002548F0"/>
    <w:rsid w:val="00254BF9"/>
    <w:rsid w:val="00254DD5"/>
    <w:rsid w:val="00254E74"/>
    <w:rsid w:val="00255006"/>
    <w:rsid w:val="002553E2"/>
    <w:rsid w:val="002556DA"/>
    <w:rsid w:val="002557E0"/>
    <w:rsid w:val="002557F9"/>
    <w:rsid w:val="00255867"/>
    <w:rsid w:val="00255A70"/>
    <w:rsid w:val="00255A75"/>
    <w:rsid w:val="00255E8D"/>
    <w:rsid w:val="00255F09"/>
    <w:rsid w:val="0025604C"/>
    <w:rsid w:val="00256190"/>
    <w:rsid w:val="002562B4"/>
    <w:rsid w:val="0025656A"/>
    <w:rsid w:val="0025656B"/>
    <w:rsid w:val="00256726"/>
    <w:rsid w:val="002569AD"/>
    <w:rsid w:val="00256B38"/>
    <w:rsid w:val="00256D59"/>
    <w:rsid w:val="00256DE5"/>
    <w:rsid w:val="0025748E"/>
    <w:rsid w:val="00257D77"/>
    <w:rsid w:val="002602DC"/>
    <w:rsid w:val="00260786"/>
    <w:rsid w:val="00260A1D"/>
    <w:rsid w:val="00260C39"/>
    <w:rsid w:val="002621B0"/>
    <w:rsid w:val="00262843"/>
    <w:rsid w:val="002629E9"/>
    <w:rsid w:val="00262B92"/>
    <w:rsid w:val="00262EEA"/>
    <w:rsid w:val="002630AE"/>
    <w:rsid w:val="0026311D"/>
    <w:rsid w:val="0026338A"/>
    <w:rsid w:val="002637CA"/>
    <w:rsid w:val="00263B7A"/>
    <w:rsid w:val="002642EC"/>
    <w:rsid w:val="002648AB"/>
    <w:rsid w:val="00264B7E"/>
    <w:rsid w:val="00264E34"/>
    <w:rsid w:val="00265A19"/>
    <w:rsid w:val="00265C5F"/>
    <w:rsid w:val="002667E7"/>
    <w:rsid w:val="00266AF9"/>
    <w:rsid w:val="002673BA"/>
    <w:rsid w:val="00267BA5"/>
    <w:rsid w:val="00267CDF"/>
    <w:rsid w:val="002700C8"/>
    <w:rsid w:val="0027044E"/>
    <w:rsid w:val="00270E3A"/>
    <w:rsid w:val="00270E47"/>
    <w:rsid w:val="00271119"/>
    <w:rsid w:val="002714F3"/>
    <w:rsid w:val="00271960"/>
    <w:rsid w:val="00271CFA"/>
    <w:rsid w:val="002720B9"/>
    <w:rsid w:val="00272200"/>
    <w:rsid w:val="00272439"/>
    <w:rsid w:val="00272A4D"/>
    <w:rsid w:val="00272A6F"/>
    <w:rsid w:val="00272EC4"/>
    <w:rsid w:val="00272FF5"/>
    <w:rsid w:val="0027394B"/>
    <w:rsid w:val="00273A02"/>
    <w:rsid w:val="00273A1D"/>
    <w:rsid w:val="00273F82"/>
    <w:rsid w:val="00273F9E"/>
    <w:rsid w:val="0027409B"/>
    <w:rsid w:val="002745C5"/>
    <w:rsid w:val="002746A8"/>
    <w:rsid w:val="0027488D"/>
    <w:rsid w:val="00274EA4"/>
    <w:rsid w:val="00274F1E"/>
    <w:rsid w:val="00274F90"/>
    <w:rsid w:val="002751EE"/>
    <w:rsid w:val="00275276"/>
    <w:rsid w:val="0027563A"/>
    <w:rsid w:val="00275DCC"/>
    <w:rsid w:val="0027606B"/>
    <w:rsid w:val="0027610B"/>
    <w:rsid w:val="0027615B"/>
    <w:rsid w:val="0027627C"/>
    <w:rsid w:val="0027658B"/>
    <w:rsid w:val="002765D9"/>
    <w:rsid w:val="00276A50"/>
    <w:rsid w:val="00276C59"/>
    <w:rsid w:val="00276FDB"/>
    <w:rsid w:val="002771D6"/>
    <w:rsid w:val="00277263"/>
    <w:rsid w:val="002772A8"/>
    <w:rsid w:val="002775D7"/>
    <w:rsid w:val="00277848"/>
    <w:rsid w:val="00277A49"/>
    <w:rsid w:val="00277F65"/>
    <w:rsid w:val="00280008"/>
    <w:rsid w:val="002807EC"/>
    <w:rsid w:val="002807F5"/>
    <w:rsid w:val="00280CCF"/>
    <w:rsid w:val="00280FBF"/>
    <w:rsid w:val="00281199"/>
    <w:rsid w:val="00281226"/>
    <w:rsid w:val="0028165B"/>
    <w:rsid w:val="00281870"/>
    <w:rsid w:val="002818E4"/>
    <w:rsid w:val="00281927"/>
    <w:rsid w:val="00282452"/>
    <w:rsid w:val="002828DA"/>
    <w:rsid w:val="00282C6A"/>
    <w:rsid w:val="00282EC2"/>
    <w:rsid w:val="0028333E"/>
    <w:rsid w:val="002833E0"/>
    <w:rsid w:val="002833E3"/>
    <w:rsid w:val="00283A11"/>
    <w:rsid w:val="00283DED"/>
    <w:rsid w:val="00283F75"/>
    <w:rsid w:val="00284E9D"/>
    <w:rsid w:val="00284F40"/>
    <w:rsid w:val="002853FE"/>
    <w:rsid w:val="00285E36"/>
    <w:rsid w:val="00285FA3"/>
    <w:rsid w:val="0028607A"/>
    <w:rsid w:val="00286E59"/>
    <w:rsid w:val="00287563"/>
    <w:rsid w:val="00287993"/>
    <w:rsid w:val="002879CD"/>
    <w:rsid w:val="00287A5A"/>
    <w:rsid w:val="00287E1C"/>
    <w:rsid w:val="00287FE6"/>
    <w:rsid w:val="002900DF"/>
    <w:rsid w:val="00290408"/>
    <w:rsid w:val="00291126"/>
    <w:rsid w:val="002916A3"/>
    <w:rsid w:val="0029175F"/>
    <w:rsid w:val="002918DE"/>
    <w:rsid w:val="00291A0B"/>
    <w:rsid w:val="00291B9E"/>
    <w:rsid w:val="002920F3"/>
    <w:rsid w:val="0029224C"/>
    <w:rsid w:val="0029232A"/>
    <w:rsid w:val="002926D3"/>
    <w:rsid w:val="002928D1"/>
    <w:rsid w:val="002928FB"/>
    <w:rsid w:val="00292E3A"/>
    <w:rsid w:val="002931EE"/>
    <w:rsid w:val="00293A9E"/>
    <w:rsid w:val="00293B20"/>
    <w:rsid w:val="00293B57"/>
    <w:rsid w:val="00294198"/>
    <w:rsid w:val="00294EDA"/>
    <w:rsid w:val="002951D9"/>
    <w:rsid w:val="00295472"/>
    <w:rsid w:val="0029573C"/>
    <w:rsid w:val="00295A4E"/>
    <w:rsid w:val="00295CCF"/>
    <w:rsid w:val="00295DAE"/>
    <w:rsid w:val="00295EC5"/>
    <w:rsid w:val="00296325"/>
    <w:rsid w:val="0029640C"/>
    <w:rsid w:val="00296739"/>
    <w:rsid w:val="00296A38"/>
    <w:rsid w:val="00296E1B"/>
    <w:rsid w:val="00296F28"/>
    <w:rsid w:val="002972C3"/>
    <w:rsid w:val="0029736F"/>
    <w:rsid w:val="002974D5"/>
    <w:rsid w:val="00297516"/>
    <w:rsid w:val="002A0044"/>
    <w:rsid w:val="002A066D"/>
    <w:rsid w:val="002A072F"/>
    <w:rsid w:val="002A0796"/>
    <w:rsid w:val="002A0842"/>
    <w:rsid w:val="002A0B1A"/>
    <w:rsid w:val="002A0D27"/>
    <w:rsid w:val="002A0D48"/>
    <w:rsid w:val="002A1669"/>
    <w:rsid w:val="002A1794"/>
    <w:rsid w:val="002A17A7"/>
    <w:rsid w:val="002A1FD0"/>
    <w:rsid w:val="002A262C"/>
    <w:rsid w:val="002A2881"/>
    <w:rsid w:val="002A2AC9"/>
    <w:rsid w:val="002A2EA4"/>
    <w:rsid w:val="002A3088"/>
    <w:rsid w:val="002A3231"/>
    <w:rsid w:val="002A3437"/>
    <w:rsid w:val="002A345F"/>
    <w:rsid w:val="002A34E2"/>
    <w:rsid w:val="002A3541"/>
    <w:rsid w:val="002A3660"/>
    <w:rsid w:val="002A3889"/>
    <w:rsid w:val="002A43FA"/>
    <w:rsid w:val="002A44AE"/>
    <w:rsid w:val="002A4502"/>
    <w:rsid w:val="002A48A9"/>
    <w:rsid w:val="002A54CC"/>
    <w:rsid w:val="002A57B2"/>
    <w:rsid w:val="002A5945"/>
    <w:rsid w:val="002A59C0"/>
    <w:rsid w:val="002A646F"/>
    <w:rsid w:val="002A6C45"/>
    <w:rsid w:val="002A7409"/>
    <w:rsid w:val="002A7538"/>
    <w:rsid w:val="002A7563"/>
    <w:rsid w:val="002A76D9"/>
    <w:rsid w:val="002A790F"/>
    <w:rsid w:val="002A7A97"/>
    <w:rsid w:val="002A7FE0"/>
    <w:rsid w:val="002B012C"/>
    <w:rsid w:val="002B0327"/>
    <w:rsid w:val="002B069F"/>
    <w:rsid w:val="002B0A5B"/>
    <w:rsid w:val="002B16E1"/>
    <w:rsid w:val="002B1975"/>
    <w:rsid w:val="002B1C2F"/>
    <w:rsid w:val="002B2272"/>
    <w:rsid w:val="002B2733"/>
    <w:rsid w:val="002B289D"/>
    <w:rsid w:val="002B2C08"/>
    <w:rsid w:val="002B32EA"/>
    <w:rsid w:val="002B3C90"/>
    <w:rsid w:val="002B3F7E"/>
    <w:rsid w:val="002B40EE"/>
    <w:rsid w:val="002B4456"/>
    <w:rsid w:val="002B4804"/>
    <w:rsid w:val="002B4CEC"/>
    <w:rsid w:val="002B4E80"/>
    <w:rsid w:val="002B5439"/>
    <w:rsid w:val="002B5F16"/>
    <w:rsid w:val="002B5F7C"/>
    <w:rsid w:val="002B62A5"/>
    <w:rsid w:val="002B65F4"/>
    <w:rsid w:val="002B683E"/>
    <w:rsid w:val="002B6DD1"/>
    <w:rsid w:val="002B6DE2"/>
    <w:rsid w:val="002B6FEB"/>
    <w:rsid w:val="002B7521"/>
    <w:rsid w:val="002B7586"/>
    <w:rsid w:val="002B7B52"/>
    <w:rsid w:val="002C03D7"/>
    <w:rsid w:val="002C078C"/>
    <w:rsid w:val="002C092D"/>
    <w:rsid w:val="002C0B14"/>
    <w:rsid w:val="002C0E63"/>
    <w:rsid w:val="002C10FD"/>
    <w:rsid w:val="002C170D"/>
    <w:rsid w:val="002C1B0F"/>
    <w:rsid w:val="002C22EB"/>
    <w:rsid w:val="002C2659"/>
    <w:rsid w:val="002C2AA4"/>
    <w:rsid w:val="002C2C04"/>
    <w:rsid w:val="002C2D92"/>
    <w:rsid w:val="002C2F5E"/>
    <w:rsid w:val="002C2F76"/>
    <w:rsid w:val="002C36E8"/>
    <w:rsid w:val="002C3F46"/>
    <w:rsid w:val="002C436E"/>
    <w:rsid w:val="002C460E"/>
    <w:rsid w:val="002C498C"/>
    <w:rsid w:val="002C4ACF"/>
    <w:rsid w:val="002C5119"/>
    <w:rsid w:val="002C5562"/>
    <w:rsid w:val="002C5607"/>
    <w:rsid w:val="002C5641"/>
    <w:rsid w:val="002C599C"/>
    <w:rsid w:val="002C5D01"/>
    <w:rsid w:val="002C5F83"/>
    <w:rsid w:val="002C60FE"/>
    <w:rsid w:val="002C6616"/>
    <w:rsid w:val="002C6910"/>
    <w:rsid w:val="002C7021"/>
    <w:rsid w:val="002C7614"/>
    <w:rsid w:val="002C7FC4"/>
    <w:rsid w:val="002D03E1"/>
    <w:rsid w:val="002D097C"/>
    <w:rsid w:val="002D09BD"/>
    <w:rsid w:val="002D0B8E"/>
    <w:rsid w:val="002D1057"/>
    <w:rsid w:val="002D111E"/>
    <w:rsid w:val="002D1FC5"/>
    <w:rsid w:val="002D21E1"/>
    <w:rsid w:val="002D2390"/>
    <w:rsid w:val="002D288E"/>
    <w:rsid w:val="002D2CE8"/>
    <w:rsid w:val="002D2DFC"/>
    <w:rsid w:val="002D3438"/>
    <w:rsid w:val="002D3B24"/>
    <w:rsid w:val="002D3C63"/>
    <w:rsid w:val="002D3D42"/>
    <w:rsid w:val="002D430B"/>
    <w:rsid w:val="002D4BE6"/>
    <w:rsid w:val="002D4D27"/>
    <w:rsid w:val="002D4D91"/>
    <w:rsid w:val="002D4FE0"/>
    <w:rsid w:val="002D5183"/>
    <w:rsid w:val="002D51AA"/>
    <w:rsid w:val="002D5380"/>
    <w:rsid w:val="002D5612"/>
    <w:rsid w:val="002D58D1"/>
    <w:rsid w:val="002D59F5"/>
    <w:rsid w:val="002D5CD7"/>
    <w:rsid w:val="002D601E"/>
    <w:rsid w:val="002D6052"/>
    <w:rsid w:val="002D62F1"/>
    <w:rsid w:val="002D6D94"/>
    <w:rsid w:val="002D6DC9"/>
    <w:rsid w:val="002D6F4F"/>
    <w:rsid w:val="002D7624"/>
    <w:rsid w:val="002E019A"/>
    <w:rsid w:val="002E03B5"/>
    <w:rsid w:val="002E0C27"/>
    <w:rsid w:val="002E1235"/>
    <w:rsid w:val="002E160C"/>
    <w:rsid w:val="002E199F"/>
    <w:rsid w:val="002E1F45"/>
    <w:rsid w:val="002E29B2"/>
    <w:rsid w:val="002E32B2"/>
    <w:rsid w:val="002E3DDF"/>
    <w:rsid w:val="002E42EA"/>
    <w:rsid w:val="002E47A4"/>
    <w:rsid w:val="002E49AA"/>
    <w:rsid w:val="002E4B81"/>
    <w:rsid w:val="002E4DC8"/>
    <w:rsid w:val="002E521C"/>
    <w:rsid w:val="002E5323"/>
    <w:rsid w:val="002E53B3"/>
    <w:rsid w:val="002E5432"/>
    <w:rsid w:val="002E5666"/>
    <w:rsid w:val="002E576B"/>
    <w:rsid w:val="002E5897"/>
    <w:rsid w:val="002E5A39"/>
    <w:rsid w:val="002E5E24"/>
    <w:rsid w:val="002E5F8F"/>
    <w:rsid w:val="002E677F"/>
    <w:rsid w:val="002E68B5"/>
    <w:rsid w:val="002E6CC6"/>
    <w:rsid w:val="002E7319"/>
    <w:rsid w:val="002E76E7"/>
    <w:rsid w:val="002E7768"/>
    <w:rsid w:val="002E77A2"/>
    <w:rsid w:val="002E7C4D"/>
    <w:rsid w:val="002F02AA"/>
    <w:rsid w:val="002F0C29"/>
    <w:rsid w:val="002F0DD9"/>
    <w:rsid w:val="002F1D9D"/>
    <w:rsid w:val="002F1DE3"/>
    <w:rsid w:val="002F1FA7"/>
    <w:rsid w:val="002F2A94"/>
    <w:rsid w:val="002F2BED"/>
    <w:rsid w:val="002F2FE9"/>
    <w:rsid w:val="002F3062"/>
    <w:rsid w:val="002F3F28"/>
    <w:rsid w:val="002F4007"/>
    <w:rsid w:val="002F41DE"/>
    <w:rsid w:val="002F422E"/>
    <w:rsid w:val="002F4A26"/>
    <w:rsid w:val="002F4FFB"/>
    <w:rsid w:val="002F51CB"/>
    <w:rsid w:val="002F523B"/>
    <w:rsid w:val="002F5814"/>
    <w:rsid w:val="002F5C1F"/>
    <w:rsid w:val="002F5E51"/>
    <w:rsid w:val="002F62A4"/>
    <w:rsid w:val="002F64EB"/>
    <w:rsid w:val="002F6537"/>
    <w:rsid w:val="002F6B6E"/>
    <w:rsid w:val="002F6BD1"/>
    <w:rsid w:val="002F6DDE"/>
    <w:rsid w:val="002F6EC5"/>
    <w:rsid w:val="002F7075"/>
    <w:rsid w:val="002F7140"/>
    <w:rsid w:val="002F72B9"/>
    <w:rsid w:val="002F76CB"/>
    <w:rsid w:val="0030010C"/>
    <w:rsid w:val="003004F7"/>
    <w:rsid w:val="003005E9"/>
    <w:rsid w:val="00300DFF"/>
    <w:rsid w:val="00300ECF"/>
    <w:rsid w:val="00300F7A"/>
    <w:rsid w:val="0030101F"/>
    <w:rsid w:val="00301184"/>
    <w:rsid w:val="0030155C"/>
    <w:rsid w:val="003015AE"/>
    <w:rsid w:val="00301898"/>
    <w:rsid w:val="00301B41"/>
    <w:rsid w:val="00301F49"/>
    <w:rsid w:val="00301FAD"/>
    <w:rsid w:val="00301FC2"/>
    <w:rsid w:val="003022E8"/>
    <w:rsid w:val="00302470"/>
    <w:rsid w:val="00302646"/>
    <w:rsid w:val="003028D3"/>
    <w:rsid w:val="0030296C"/>
    <w:rsid w:val="00302D05"/>
    <w:rsid w:val="00302D26"/>
    <w:rsid w:val="00303608"/>
    <w:rsid w:val="00303863"/>
    <w:rsid w:val="0030386E"/>
    <w:rsid w:val="00303886"/>
    <w:rsid w:val="00303B8B"/>
    <w:rsid w:val="00303C66"/>
    <w:rsid w:val="00304B52"/>
    <w:rsid w:val="00304F34"/>
    <w:rsid w:val="003053CA"/>
    <w:rsid w:val="003055D4"/>
    <w:rsid w:val="00305937"/>
    <w:rsid w:val="003059F4"/>
    <w:rsid w:val="00305A74"/>
    <w:rsid w:val="00305A7A"/>
    <w:rsid w:val="00305DB2"/>
    <w:rsid w:val="00305FFE"/>
    <w:rsid w:val="003066F6"/>
    <w:rsid w:val="0030699E"/>
    <w:rsid w:val="00306A9C"/>
    <w:rsid w:val="00306C94"/>
    <w:rsid w:val="00306F3E"/>
    <w:rsid w:val="0030721A"/>
    <w:rsid w:val="00307233"/>
    <w:rsid w:val="00307F4A"/>
    <w:rsid w:val="00307FA0"/>
    <w:rsid w:val="00307FA1"/>
    <w:rsid w:val="0031017F"/>
    <w:rsid w:val="0031038D"/>
    <w:rsid w:val="003103FE"/>
    <w:rsid w:val="0031045F"/>
    <w:rsid w:val="00310554"/>
    <w:rsid w:val="00310A5A"/>
    <w:rsid w:val="00310F0C"/>
    <w:rsid w:val="00310F1F"/>
    <w:rsid w:val="00310F7F"/>
    <w:rsid w:val="003110A2"/>
    <w:rsid w:val="00311109"/>
    <w:rsid w:val="0031133E"/>
    <w:rsid w:val="003114D6"/>
    <w:rsid w:val="0031167B"/>
    <w:rsid w:val="003116AE"/>
    <w:rsid w:val="00311802"/>
    <w:rsid w:val="00311A67"/>
    <w:rsid w:val="00311BFE"/>
    <w:rsid w:val="00311E60"/>
    <w:rsid w:val="0031245A"/>
    <w:rsid w:val="00312BB4"/>
    <w:rsid w:val="00312E32"/>
    <w:rsid w:val="00312E8C"/>
    <w:rsid w:val="0031302E"/>
    <w:rsid w:val="00313385"/>
    <w:rsid w:val="00314087"/>
    <w:rsid w:val="00314337"/>
    <w:rsid w:val="00314411"/>
    <w:rsid w:val="0031446F"/>
    <w:rsid w:val="003145BA"/>
    <w:rsid w:val="00315527"/>
    <w:rsid w:val="0031566F"/>
    <w:rsid w:val="0031626D"/>
    <w:rsid w:val="003162E0"/>
    <w:rsid w:val="00316C3E"/>
    <w:rsid w:val="00316D14"/>
    <w:rsid w:val="0031700F"/>
    <w:rsid w:val="00317826"/>
    <w:rsid w:val="00317F3D"/>
    <w:rsid w:val="00320162"/>
    <w:rsid w:val="00320789"/>
    <w:rsid w:val="003208C3"/>
    <w:rsid w:val="00320E89"/>
    <w:rsid w:val="00320F5B"/>
    <w:rsid w:val="00321612"/>
    <w:rsid w:val="0032267A"/>
    <w:rsid w:val="0032318B"/>
    <w:rsid w:val="00323283"/>
    <w:rsid w:val="00323E88"/>
    <w:rsid w:val="00323EB3"/>
    <w:rsid w:val="00324133"/>
    <w:rsid w:val="003243FA"/>
    <w:rsid w:val="00324CDB"/>
    <w:rsid w:val="003251AC"/>
    <w:rsid w:val="00325793"/>
    <w:rsid w:val="00325D34"/>
    <w:rsid w:val="00325DEF"/>
    <w:rsid w:val="00325FC7"/>
    <w:rsid w:val="003260D0"/>
    <w:rsid w:val="00326610"/>
    <w:rsid w:val="0032661E"/>
    <w:rsid w:val="00326852"/>
    <w:rsid w:val="00326970"/>
    <w:rsid w:val="003269B4"/>
    <w:rsid w:val="0032718A"/>
    <w:rsid w:val="00327B25"/>
    <w:rsid w:val="00327D47"/>
    <w:rsid w:val="00330003"/>
    <w:rsid w:val="00330413"/>
    <w:rsid w:val="003305BC"/>
    <w:rsid w:val="0033098D"/>
    <w:rsid w:val="00330AD4"/>
    <w:rsid w:val="00330D23"/>
    <w:rsid w:val="00330D51"/>
    <w:rsid w:val="00331000"/>
    <w:rsid w:val="00331551"/>
    <w:rsid w:val="0033165F"/>
    <w:rsid w:val="00331A62"/>
    <w:rsid w:val="00331F77"/>
    <w:rsid w:val="00331FA8"/>
    <w:rsid w:val="0033224B"/>
    <w:rsid w:val="00332253"/>
    <w:rsid w:val="00332512"/>
    <w:rsid w:val="00332C5F"/>
    <w:rsid w:val="00332DD6"/>
    <w:rsid w:val="00332E98"/>
    <w:rsid w:val="00333C4D"/>
    <w:rsid w:val="0033437D"/>
    <w:rsid w:val="00334761"/>
    <w:rsid w:val="00334AA6"/>
    <w:rsid w:val="00334B58"/>
    <w:rsid w:val="00334BFD"/>
    <w:rsid w:val="00334E26"/>
    <w:rsid w:val="003351F7"/>
    <w:rsid w:val="00335798"/>
    <w:rsid w:val="00335E75"/>
    <w:rsid w:val="003360C7"/>
    <w:rsid w:val="00336219"/>
    <w:rsid w:val="003363BC"/>
    <w:rsid w:val="00336725"/>
    <w:rsid w:val="0033758F"/>
    <w:rsid w:val="00337BDE"/>
    <w:rsid w:val="00337C58"/>
    <w:rsid w:val="00340330"/>
    <w:rsid w:val="00340C9D"/>
    <w:rsid w:val="00340E8E"/>
    <w:rsid w:val="00340F78"/>
    <w:rsid w:val="00341071"/>
    <w:rsid w:val="0034117D"/>
    <w:rsid w:val="0034146C"/>
    <w:rsid w:val="003414B0"/>
    <w:rsid w:val="003414BC"/>
    <w:rsid w:val="00341A46"/>
    <w:rsid w:val="00342515"/>
    <w:rsid w:val="00342955"/>
    <w:rsid w:val="00342D94"/>
    <w:rsid w:val="003432F7"/>
    <w:rsid w:val="0034330D"/>
    <w:rsid w:val="003435CB"/>
    <w:rsid w:val="0034367D"/>
    <w:rsid w:val="003436F9"/>
    <w:rsid w:val="00343A20"/>
    <w:rsid w:val="00343ACF"/>
    <w:rsid w:val="00343AEA"/>
    <w:rsid w:val="00343B4C"/>
    <w:rsid w:val="00343D48"/>
    <w:rsid w:val="00343E59"/>
    <w:rsid w:val="00343F12"/>
    <w:rsid w:val="00344246"/>
    <w:rsid w:val="003442AD"/>
    <w:rsid w:val="0034430A"/>
    <w:rsid w:val="003443D4"/>
    <w:rsid w:val="0034491E"/>
    <w:rsid w:val="00344E46"/>
    <w:rsid w:val="003450A0"/>
    <w:rsid w:val="00345193"/>
    <w:rsid w:val="003456CB"/>
    <w:rsid w:val="003456DD"/>
    <w:rsid w:val="003456E9"/>
    <w:rsid w:val="00345853"/>
    <w:rsid w:val="00345FDE"/>
    <w:rsid w:val="003461D9"/>
    <w:rsid w:val="00346694"/>
    <w:rsid w:val="00346ECA"/>
    <w:rsid w:val="0034700F"/>
    <w:rsid w:val="00347120"/>
    <w:rsid w:val="003471C5"/>
    <w:rsid w:val="0034731C"/>
    <w:rsid w:val="003476B0"/>
    <w:rsid w:val="003477C6"/>
    <w:rsid w:val="00347C45"/>
    <w:rsid w:val="00347CF1"/>
    <w:rsid w:val="00350073"/>
    <w:rsid w:val="00350501"/>
    <w:rsid w:val="003508BD"/>
    <w:rsid w:val="00350982"/>
    <w:rsid w:val="00350B20"/>
    <w:rsid w:val="003513DE"/>
    <w:rsid w:val="00351693"/>
    <w:rsid w:val="00351C39"/>
    <w:rsid w:val="00351D49"/>
    <w:rsid w:val="00351F79"/>
    <w:rsid w:val="003523A5"/>
    <w:rsid w:val="003527A8"/>
    <w:rsid w:val="00352B37"/>
    <w:rsid w:val="00352C0E"/>
    <w:rsid w:val="00352F58"/>
    <w:rsid w:val="003534AA"/>
    <w:rsid w:val="003537A2"/>
    <w:rsid w:val="0035382F"/>
    <w:rsid w:val="00354A26"/>
    <w:rsid w:val="003550BF"/>
    <w:rsid w:val="00355C8C"/>
    <w:rsid w:val="00355FE0"/>
    <w:rsid w:val="003565C3"/>
    <w:rsid w:val="00356B7F"/>
    <w:rsid w:val="003572AF"/>
    <w:rsid w:val="0035761E"/>
    <w:rsid w:val="00357B8A"/>
    <w:rsid w:val="00357E8F"/>
    <w:rsid w:val="00357F0A"/>
    <w:rsid w:val="0036008B"/>
    <w:rsid w:val="00360125"/>
    <w:rsid w:val="003607C2"/>
    <w:rsid w:val="00360B35"/>
    <w:rsid w:val="00360E45"/>
    <w:rsid w:val="003611F4"/>
    <w:rsid w:val="00361334"/>
    <w:rsid w:val="00361648"/>
    <w:rsid w:val="00361A32"/>
    <w:rsid w:val="00361CC1"/>
    <w:rsid w:val="00361E4A"/>
    <w:rsid w:val="00361EE4"/>
    <w:rsid w:val="003625C5"/>
    <w:rsid w:val="0036309D"/>
    <w:rsid w:val="00363252"/>
    <w:rsid w:val="003636A7"/>
    <w:rsid w:val="003639B9"/>
    <w:rsid w:val="00363A83"/>
    <w:rsid w:val="003647B7"/>
    <w:rsid w:val="0036480E"/>
    <w:rsid w:val="0036512C"/>
    <w:rsid w:val="00365223"/>
    <w:rsid w:val="003653EC"/>
    <w:rsid w:val="00365915"/>
    <w:rsid w:val="00365E7B"/>
    <w:rsid w:val="00365F60"/>
    <w:rsid w:val="0036647F"/>
    <w:rsid w:val="003667F1"/>
    <w:rsid w:val="00366A24"/>
    <w:rsid w:val="0036747B"/>
    <w:rsid w:val="00367704"/>
    <w:rsid w:val="0036793F"/>
    <w:rsid w:val="00367BA6"/>
    <w:rsid w:val="00367DF1"/>
    <w:rsid w:val="00367E02"/>
    <w:rsid w:val="00370716"/>
    <w:rsid w:val="00370A9A"/>
    <w:rsid w:val="00370B7A"/>
    <w:rsid w:val="00370CA3"/>
    <w:rsid w:val="00370E78"/>
    <w:rsid w:val="0037159E"/>
    <w:rsid w:val="00371898"/>
    <w:rsid w:val="003718BA"/>
    <w:rsid w:val="003719D6"/>
    <w:rsid w:val="00371EE7"/>
    <w:rsid w:val="00371FE5"/>
    <w:rsid w:val="00372581"/>
    <w:rsid w:val="00372935"/>
    <w:rsid w:val="003729B8"/>
    <w:rsid w:val="00372F53"/>
    <w:rsid w:val="00373B89"/>
    <w:rsid w:val="00373C12"/>
    <w:rsid w:val="00373FCE"/>
    <w:rsid w:val="0037437E"/>
    <w:rsid w:val="003744EF"/>
    <w:rsid w:val="00374530"/>
    <w:rsid w:val="00374692"/>
    <w:rsid w:val="0037473E"/>
    <w:rsid w:val="00374A0D"/>
    <w:rsid w:val="00374CC8"/>
    <w:rsid w:val="00374D6C"/>
    <w:rsid w:val="00374DC9"/>
    <w:rsid w:val="003758CD"/>
    <w:rsid w:val="00375A8E"/>
    <w:rsid w:val="00375B24"/>
    <w:rsid w:val="00375BA0"/>
    <w:rsid w:val="00375C4D"/>
    <w:rsid w:val="00375E49"/>
    <w:rsid w:val="00375EA4"/>
    <w:rsid w:val="0037616F"/>
    <w:rsid w:val="003765FC"/>
    <w:rsid w:val="003767A2"/>
    <w:rsid w:val="0037686E"/>
    <w:rsid w:val="003769E4"/>
    <w:rsid w:val="00376BDC"/>
    <w:rsid w:val="003770F7"/>
    <w:rsid w:val="00377239"/>
    <w:rsid w:val="00377297"/>
    <w:rsid w:val="003779D3"/>
    <w:rsid w:val="00377B44"/>
    <w:rsid w:val="00377B82"/>
    <w:rsid w:val="00377C20"/>
    <w:rsid w:val="00377D88"/>
    <w:rsid w:val="00377FCD"/>
    <w:rsid w:val="003805BE"/>
    <w:rsid w:val="003808FF"/>
    <w:rsid w:val="00380A35"/>
    <w:rsid w:val="00380DFF"/>
    <w:rsid w:val="003812AA"/>
    <w:rsid w:val="00381301"/>
    <w:rsid w:val="00381325"/>
    <w:rsid w:val="003815D0"/>
    <w:rsid w:val="00381B02"/>
    <w:rsid w:val="00381F1F"/>
    <w:rsid w:val="003820CB"/>
    <w:rsid w:val="00382587"/>
    <w:rsid w:val="003826E2"/>
    <w:rsid w:val="003828B1"/>
    <w:rsid w:val="00382B7C"/>
    <w:rsid w:val="00382BD0"/>
    <w:rsid w:val="00382FA5"/>
    <w:rsid w:val="00383094"/>
    <w:rsid w:val="003830A0"/>
    <w:rsid w:val="0038316A"/>
    <w:rsid w:val="00383701"/>
    <w:rsid w:val="00383C4F"/>
    <w:rsid w:val="00383D57"/>
    <w:rsid w:val="00384BEA"/>
    <w:rsid w:val="00384E44"/>
    <w:rsid w:val="00385032"/>
    <w:rsid w:val="00385145"/>
    <w:rsid w:val="003855FB"/>
    <w:rsid w:val="00385A2D"/>
    <w:rsid w:val="00385A50"/>
    <w:rsid w:val="00385C6E"/>
    <w:rsid w:val="00385D94"/>
    <w:rsid w:val="00385E44"/>
    <w:rsid w:val="00386062"/>
    <w:rsid w:val="00386679"/>
    <w:rsid w:val="00386905"/>
    <w:rsid w:val="00386A6C"/>
    <w:rsid w:val="00386EE5"/>
    <w:rsid w:val="00387321"/>
    <w:rsid w:val="00387531"/>
    <w:rsid w:val="003878CC"/>
    <w:rsid w:val="00387B02"/>
    <w:rsid w:val="00387E07"/>
    <w:rsid w:val="00387F78"/>
    <w:rsid w:val="0039000B"/>
    <w:rsid w:val="00390031"/>
    <w:rsid w:val="0039039C"/>
    <w:rsid w:val="0039055D"/>
    <w:rsid w:val="003908C9"/>
    <w:rsid w:val="00390AB5"/>
    <w:rsid w:val="00390B46"/>
    <w:rsid w:val="00390CA8"/>
    <w:rsid w:val="00390CFE"/>
    <w:rsid w:val="003910D5"/>
    <w:rsid w:val="0039195E"/>
    <w:rsid w:val="00391A7A"/>
    <w:rsid w:val="00391E47"/>
    <w:rsid w:val="00392465"/>
    <w:rsid w:val="003925E2"/>
    <w:rsid w:val="00392844"/>
    <w:rsid w:val="00392E9F"/>
    <w:rsid w:val="00392ED1"/>
    <w:rsid w:val="00392F38"/>
    <w:rsid w:val="00393181"/>
    <w:rsid w:val="003932C4"/>
    <w:rsid w:val="00393310"/>
    <w:rsid w:val="0039381E"/>
    <w:rsid w:val="00393A55"/>
    <w:rsid w:val="00393D23"/>
    <w:rsid w:val="003945F9"/>
    <w:rsid w:val="003947F0"/>
    <w:rsid w:val="00394A4B"/>
    <w:rsid w:val="00394A8D"/>
    <w:rsid w:val="00394C31"/>
    <w:rsid w:val="00394D65"/>
    <w:rsid w:val="003952EB"/>
    <w:rsid w:val="00395352"/>
    <w:rsid w:val="00395524"/>
    <w:rsid w:val="003955BE"/>
    <w:rsid w:val="003959DA"/>
    <w:rsid w:val="00395C1B"/>
    <w:rsid w:val="00396C18"/>
    <w:rsid w:val="00396D80"/>
    <w:rsid w:val="00396F3C"/>
    <w:rsid w:val="00397011"/>
    <w:rsid w:val="00397169"/>
    <w:rsid w:val="003971A7"/>
    <w:rsid w:val="00397422"/>
    <w:rsid w:val="0039750B"/>
    <w:rsid w:val="00397C67"/>
    <w:rsid w:val="003A0137"/>
    <w:rsid w:val="003A02D1"/>
    <w:rsid w:val="003A04F4"/>
    <w:rsid w:val="003A0605"/>
    <w:rsid w:val="003A0F74"/>
    <w:rsid w:val="003A1154"/>
    <w:rsid w:val="003A14AA"/>
    <w:rsid w:val="003A1544"/>
    <w:rsid w:val="003A1755"/>
    <w:rsid w:val="003A18E5"/>
    <w:rsid w:val="003A21F0"/>
    <w:rsid w:val="003A2216"/>
    <w:rsid w:val="003A24D5"/>
    <w:rsid w:val="003A2922"/>
    <w:rsid w:val="003A2EC4"/>
    <w:rsid w:val="003A39AF"/>
    <w:rsid w:val="003A3EFB"/>
    <w:rsid w:val="003A40AC"/>
    <w:rsid w:val="003A44B3"/>
    <w:rsid w:val="003A5097"/>
    <w:rsid w:val="003A54B9"/>
    <w:rsid w:val="003A5F69"/>
    <w:rsid w:val="003A60FE"/>
    <w:rsid w:val="003A65EF"/>
    <w:rsid w:val="003A6813"/>
    <w:rsid w:val="003A6982"/>
    <w:rsid w:val="003A6DCF"/>
    <w:rsid w:val="003A6E06"/>
    <w:rsid w:val="003A71AC"/>
    <w:rsid w:val="003A72DA"/>
    <w:rsid w:val="003A771E"/>
    <w:rsid w:val="003A7CB6"/>
    <w:rsid w:val="003B0010"/>
    <w:rsid w:val="003B003F"/>
    <w:rsid w:val="003B01A4"/>
    <w:rsid w:val="003B0460"/>
    <w:rsid w:val="003B06EE"/>
    <w:rsid w:val="003B0978"/>
    <w:rsid w:val="003B0C71"/>
    <w:rsid w:val="003B10F2"/>
    <w:rsid w:val="003B1501"/>
    <w:rsid w:val="003B17C2"/>
    <w:rsid w:val="003B1835"/>
    <w:rsid w:val="003B1EC7"/>
    <w:rsid w:val="003B1EE0"/>
    <w:rsid w:val="003B2867"/>
    <w:rsid w:val="003B29CD"/>
    <w:rsid w:val="003B2AA4"/>
    <w:rsid w:val="003B2D56"/>
    <w:rsid w:val="003B3015"/>
    <w:rsid w:val="003B4EFC"/>
    <w:rsid w:val="003B50C3"/>
    <w:rsid w:val="003B5572"/>
    <w:rsid w:val="003B5583"/>
    <w:rsid w:val="003B56FA"/>
    <w:rsid w:val="003B5B37"/>
    <w:rsid w:val="003B5B98"/>
    <w:rsid w:val="003B5C21"/>
    <w:rsid w:val="003B5F56"/>
    <w:rsid w:val="003B6A8F"/>
    <w:rsid w:val="003B7087"/>
    <w:rsid w:val="003B7234"/>
    <w:rsid w:val="003B75E3"/>
    <w:rsid w:val="003B7E80"/>
    <w:rsid w:val="003C0013"/>
    <w:rsid w:val="003C0341"/>
    <w:rsid w:val="003C0D28"/>
    <w:rsid w:val="003C0EA2"/>
    <w:rsid w:val="003C111E"/>
    <w:rsid w:val="003C177D"/>
    <w:rsid w:val="003C1CFA"/>
    <w:rsid w:val="003C1D35"/>
    <w:rsid w:val="003C21C9"/>
    <w:rsid w:val="003C2743"/>
    <w:rsid w:val="003C2753"/>
    <w:rsid w:val="003C2916"/>
    <w:rsid w:val="003C2D41"/>
    <w:rsid w:val="003C308F"/>
    <w:rsid w:val="003C36E4"/>
    <w:rsid w:val="003C3BCF"/>
    <w:rsid w:val="003C3CBA"/>
    <w:rsid w:val="003C3CC7"/>
    <w:rsid w:val="003C4141"/>
    <w:rsid w:val="003C4247"/>
    <w:rsid w:val="003C44E8"/>
    <w:rsid w:val="003C46BC"/>
    <w:rsid w:val="003C4B6B"/>
    <w:rsid w:val="003C4DFA"/>
    <w:rsid w:val="003C52ED"/>
    <w:rsid w:val="003C5484"/>
    <w:rsid w:val="003C54EE"/>
    <w:rsid w:val="003C6321"/>
    <w:rsid w:val="003C664F"/>
    <w:rsid w:val="003C67C8"/>
    <w:rsid w:val="003C6A5E"/>
    <w:rsid w:val="003C6BD3"/>
    <w:rsid w:val="003C6C2E"/>
    <w:rsid w:val="003C7179"/>
    <w:rsid w:val="003C7338"/>
    <w:rsid w:val="003C76F5"/>
    <w:rsid w:val="003C797C"/>
    <w:rsid w:val="003C7C12"/>
    <w:rsid w:val="003C7F35"/>
    <w:rsid w:val="003D01F1"/>
    <w:rsid w:val="003D0540"/>
    <w:rsid w:val="003D06C3"/>
    <w:rsid w:val="003D0CAF"/>
    <w:rsid w:val="003D13C4"/>
    <w:rsid w:val="003D13F4"/>
    <w:rsid w:val="003D198D"/>
    <w:rsid w:val="003D20F4"/>
    <w:rsid w:val="003D2164"/>
    <w:rsid w:val="003D263B"/>
    <w:rsid w:val="003D28F7"/>
    <w:rsid w:val="003D291A"/>
    <w:rsid w:val="003D2BC9"/>
    <w:rsid w:val="003D2D00"/>
    <w:rsid w:val="003D2DA8"/>
    <w:rsid w:val="003D32F8"/>
    <w:rsid w:val="003D3CB7"/>
    <w:rsid w:val="003D3DFB"/>
    <w:rsid w:val="003D41F4"/>
    <w:rsid w:val="003D486A"/>
    <w:rsid w:val="003D487F"/>
    <w:rsid w:val="003D5744"/>
    <w:rsid w:val="003D5F85"/>
    <w:rsid w:val="003D61C7"/>
    <w:rsid w:val="003D6A9D"/>
    <w:rsid w:val="003D6DDB"/>
    <w:rsid w:val="003D6E1C"/>
    <w:rsid w:val="003D70AD"/>
    <w:rsid w:val="003D76E5"/>
    <w:rsid w:val="003E02D2"/>
    <w:rsid w:val="003E064D"/>
    <w:rsid w:val="003E116D"/>
    <w:rsid w:val="003E1203"/>
    <w:rsid w:val="003E2022"/>
    <w:rsid w:val="003E265B"/>
    <w:rsid w:val="003E363A"/>
    <w:rsid w:val="003E3714"/>
    <w:rsid w:val="003E3A10"/>
    <w:rsid w:val="003E4610"/>
    <w:rsid w:val="003E49D4"/>
    <w:rsid w:val="003E4A25"/>
    <w:rsid w:val="003E4BB7"/>
    <w:rsid w:val="003E50D0"/>
    <w:rsid w:val="003E519E"/>
    <w:rsid w:val="003E52C8"/>
    <w:rsid w:val="003E5BDC"/>
    <w:rsid w:val="003E5DE7"/>
    <w:rsid w:val="003E6368"/>
    <w:rsid w:val="003E63DD"/>
    <w:rsid w:val="003E6591"/>
    <w:rsid w:val="003E735E"/>
    <w:rsid w:val="003E736B"/>
    <w:rsid w:val="003E73E3"/>
    <w:rsid w:val="003E7496"/>
    <w:rsid w:val="003E7D4E"/>
    <w:rsid w:val="003E7E43"/>
    <w:rsid w:val="003E7E5C"/>
    <w:rsid w:val="003E7EEF"/>
    <w:rsid w:val="003F00F2"/>
    <w:rsid w:val="003F0704"/>
    <w:rsid w:val="003F097D"/>
    <w:rsid w:val="003F0AD5"/>
    <w:rsid w:val="003F107C"/>
    <w:rsid w:val="003F13D8"/>
    <w:rsid w:val="003F1B0E"/>
    <w:rsid w:val="003F1B9A"/>
    <w:rsid w:val="003F24FC"/>
    <w:rsid w:val="003F258A"/>
    <w:rsid w:val="003F29A8"/>
    <w:rsid w:val="003F2BA2"/>
    <w:rsid w:val="003F3465"/>
    <w:rsid w:val="003F3928"/>
    <w:rsid w:val="003F484F"/>
    <w:rsid w:val="003F4C9E"/>
    <w:rsid w:val="003F4CAF"/>
    <w:rsid w:val="003F4CC0"/>
    <w:rsid w:val="003F50B6"/>
    <w:rsid w:val="003F541C"/>
    <w:rsid w:val="003F54DE"/>
    <w:rsid w:val="003F5927"/>
    <w:rsid w:val="003F5F12"/>
    <w:rsid w:val="003F5F83"/>
    <w:rsid w:val="003F615C"/>
    <w:rsid w:val="003F6A51"/>
    <w:rsid w:val="003F76B8"/>
    <w:rsid w:val="003F7A95"/>
    <w:rsid w:val="00400FFD"/>
    <w:rsid w:val="00401169"/>
    <w:rsid w:val="00401658"/>
    <w:rsid w:val="00401725"/>
    <w:rsid w:val="0040218F"/>
    <w:rsid w:val="00402721"/>
    <w:rsid w:val="00402C08"/>
    <w:rsid w:val="00402D40"/>
    <w:rsid w:val="00402ECE"/>
    <w:rsid w:val="00402FFF"/>
    <w:rsid w:val="004030BC"/>
    <w:rsid w:val="00403500"/>
    <w:rsid w:val="0040369C"/>
    <w:rsid w:val="00403FEC"/>
    <w:rsid w:val="00404108"/>
    <w:rsid w:val="0040435A"/>
    <w:rsid w:val="004045AA"/>
    <w:rsid w:val="00404B76"/>
    <w:rsid w:val="00404CEA"/>
    <w:rsid w:val="0040556B"/>
    <w:rsid w:val="0040577C"/>
    <w:rsid w:val="00405ADF"/>
    <w:rsid w:val="00406C82"/>
    <w:rsid w:val="004073BC"/>
    <w:rsid w:val="00407660"/>
    <w:rsid w:val="00407717"/>
    <w:rsid w:val="00407A8B"/>
    <w:rsid w:val="00410078"/>
    <w:rsid w:val="004106F6"/>
    <w:rsid w:val="00410ADD"/>
    <w:rsid w:val="00410B18"/>
    <w:rsid w:val="004121FD"/>
    <w:rsid w:val="004122FA"/>
    <w:rsid w:val="004128D0"/>
    <w:rsid w:val="00412B72"/>
    <w:rsid w:val="00412BE8"/>
    <w:rsid w:val="00412CF5"/>
    <w:rsid w:val="00412DF9"/>
    <w:rsid w:val="00413366"/>
    <w:rsid w:val="00413376"/>
    <w:rsid w:val="00414064"/>
    <w:rsid w:val="0041434F"/>
    <w:rsid w:val="00414633"/>
    <w:rsid w:val="00414B30"/>
    <w:rsid w:val="00415040"/>
    <w:rsid w:val="004150FE"/>
    <w:rsid w:val="0041517A"/>
    <w:rsid w:val="00415222"/>
    <w:rsid w:val="0041523F"/>
    <w:rsid w:val="00415543"/>
    <w:rsid w:val="004158D8"/>
    <w:rsid w:val="00415DA6"/>
    <w:rsid w:val="00415F48"/>
    <w:rsid w:val="004174B2"/>
    <w:rsid w:val="00417A18"/>
    <w:rsid w:val="00417BEC"/>
    <w:rsid w:val="00417D6B"/>
    <w:rsid w:val="00420545"/>
    <w:rsid w:val="00420695"/>
    <w:rsid w:val="004208D2"/>
    <w:rsid w:val="00420F80"/>
    <w:rsid w:val="00420FE6"/>
    <w:rsid w:val="004213F1"/>
    <w:rsid w:val="004214DB"/>
    <w:rsid w:val="00421790"/>
    <w:rsid w:val="00421A9D"/>
    <w:rsid w:val="00421E08"/>
    <w:rsid w:val="00421E53"/>
    <w:rsid w:val="00422001"/>
    <w:rsid w:val="0042269D"/>
    <w:rsid w:val="00422EEE"/>
    <w:rsid w:val="00422FA8"/>
    <w:rsid w:val="00423058"/>
    <w:rsid w:val="0042313F"/>
    <w:rsid w:val="00423864"/>
    <w:rsid w:val="004242E7"/>
    <w:rsid w:val="00424474"/>
    <w:rsid w:val="004249F2"/>
    <w:rsid w:val="00424AAF"/>
    <w:rsid w:val="00424ED0"/>
    <w:rsid w:val="00424F1C"/>
    <w:rsid w:val="00424F7E"/>
    <w:rsid w:val="00425AB2"/>
    <w:rsid w:val="00425BD3"/>
    <w:rsid w:val="00425F9E"/>
    <w:rsid w:val="00426285"/>
    <w:rsid w:val="0042642D"/>
    <w:rsid w:val="00426749"/>
    <w:rsid w:val="00426761"/>
    <w:rsid w:val="00427099"/>
    <w:rsid w:val="0042713F"/>
    <w:rsid w:val="00427151"/>
    <w:rsid w:val="004272B9"/>
    <w:rsid w:val="004274F9"/>
    <w:rsid w:val="00427CD7"/>
    <w:rsid w:val="00430676"/>
    <w:rsid w:val="004307D6"/>
    <w:rsid w:val="00430B3B"/>
    <w:rsid w:val="00430DB5"/>
    <w:rsid w:val="00430F54"/>
    <w:rsid w:val="00431364"/>
    <w:rsid w:val="004313C7"/>
    <w:rsid w:val="00432B80"/>
    <w:rsid w:val="00432C41"/>
    <w:rsid w:val="004331AC"/>
    <w:rsid w:val="0043327F"/>
    <w:rsid w:val="00433446"/>
    <w:rsid w:val="004335C5"/>
    <w:rsid w:val="004338F2"/>
    <w:rsid w:val="004339E3"/>
    <w:rsid w:val="00433A1F"/>
    <w:rsid w:val="00433B46"/>
    <w:rsid w:val="00433E7F"/>
    <w:rsid w:val="004344D7"/>
    <w:rsid w:val="00435056"/>
    <w:rsid w:val="0043523E"/>
    <w:rsid w:val="00435BA7"/>
    <w:rsid w:val="0043613E"/>
    <w:rsid w:val="004362B9"/>
    <w:rsid w:val="00436B00"/>
    <w:rsid w:val="00436F88"/>
    <w:rsid w:val="0043772D"/>
    <w:rsid w:val="00437B4C"/>
    <w:rsid w:val="00437C78"/>
    <w:rsid w:val="004405FF"/>
    <w:rsid w:val="00440BBB"/>
    <w:rsid w:val="00440E1C"/>
    <w:rsid w:val="0044119A"/>
    <w:rsid w:val="00441556"/>
    <w:rsid w:val="00441623"/>
    <w:rsid w:val="0044192B"/>
    <w:rsid w:val="00441B28"/>
    <w:rsid w:val="00441F7D"/>
    <w:rsid w:val="00442248"/>
    <w:rsid w:val="00442F20"/>
    <w:rsid w:val="00443A31"/>
    <w:rsid w:val="00443C59"/>
    <w:rsid w:val="00443DAC"/>
    <w:rsid w:val="00443ECA"/>
    <w:rsid w:val="00444479"/>
    <w:rsid w:val="00444579"/>
    <w:rsid w:val="0044459D"/>
    <w:rsid w:val="00444CDD"/>
    <w:rsid w:val="00444D9D"/>
    <w:rsid w:val="0044567E"/>
    <w:rsid w:val="00445B8E"/>
    <w:rsid w:val="00445BA7"/>
    <w:rsid w:val="00445D10"/>
    <w:rsid w:val="00446175"/>
    <w:rsid w:val="004463AE"/>
    <w:rsid w:val="0044651D"/>
    <w:rsid w:val="004470BA"/>
    <w:rsid w:val="00447211"/>
    <w:rsid w:val="00450690"/>
    <w:rsid w:val="00450D21"/>
    <w:rsid w:val="00451657"/>
    <w:rsid w:val="004517C4"/>
    <w:rsid w:val="00452392"/>
    <w:rsid w:val="00452682"/>
    <w:rsid w:val="00452ED3"/>
    <w:rsid w:val="00453274"/>
    <w:rsid w:val="00453F3C"/>
    <w:rsid w:val="004541D3"/>
    <w:rsid w:val="0045424C"/>
    <w:rsid w:val="00454696"/>
    <w:rsid w:val="00454725"/>
    <w:rsid w:val="00454B50"/>
    <w:rsid w:val="00454E04"/>
    <w:rsid w:val="00454E21"/>
    <w:rsid w:val="0045595F"/>
    <w:rsid w:val="0045596F"/>
    <w:rsid w:val="00455B46"/>
    <w:rsid w:val="00456768"/>
    <w:rsid w:val="00456AE9"/>
    <w:rsid w:val="00457381"/>
    <w:rsid w:val="004575CC"/>
    <w:rsid w:val="00457711"/>
    <w:rsid w:val="00457808"/>
    <w:rsid w:val="00457A6B"/>
    <w:rsid w:val="00457B83"/>
    <w:rsid w:val="00457F48"/>
    <w:rsid w:val="00457F93"/>
    <w:rsid w:val="00460D63"/>
    <w:rsid w:val="00460E77"/>
    <w:rsid w:val="004618CF"/>
    <w:rsid w:val="00461AFC"/>
    <w:rsid w:val="00461F06"/>
    <w:rsid w:val="00461F8D"/>
    <w:rsid w:val="00462275"/>
    <w:rsid w:val="0046276D"/>
    <w:rsid w:val="00462AE1"/>
    <w:rsid w:val="0046359E"/>
    <w:rsid w:val="0046369D"/>
    <w:rsid w:val="004636D5"/>
    <w:rsid w:val="00463E1C"/>
    <w:rsid w:val="00463EE1"/>
    <w:rsid w:val="0046420B"/>
    <w:rsid w:val="00464650"/>
    <w:rsid w:val="00464749"/>
    <w:rsid w:val="004647B6"/>
    <w:rsid w:val="00464C15"/>
    <w:rsid w:val="00464E08"/>
    <w:rsid w:val="004650B0"/>
    <w:rsid w:val="004655DA"/>
    <w:rsid w:val="00465671"/>
    <w:rsid w:val="004665B2"/>
    <w:rsid w:val="004668AE"/>
    <w:rsid w:val="00466E22"/>
    <w:rsid w:val="004671B9"/>
    <w:rsid w:val="00467571"/>
    <w:rsid w:val="0046762A"/>
    <w:rsid w:val="004677C0"/>
    <w:rsid w:val="00467CEA"/>
    <w:rsid w:val="00467CF8"/>
    <w:rsid w:val="00467EE4"/>
    <w:rsid w:val="004700F6"/>
    <w:rsid w:val="004702C8"/>
    <w:rsid w:val="00470331"/>
    <w:rsid w:val="0047040B"/>
    <w:rsid w:val="00470920"/>
    <w:rsid w:val="00470A29"/>
    <w:rsid w:val="00470E02"/>
    <w:rsid w:val="00470EBD"/>
    <w:rsid w:val="0047109B"/>
    <w:rsid w:val="00471121"/>
    <w:rsid w:val="00471297"/>
    <w:rsid w:val="00471461"/>
    <w:rsid w:val="004714E0"/>
    <w:rsid w:val="00471639"/>
    <w:rsid w:val="0047165D"/>
    <w:rsid w:val="0047174E"/>
    <w:rsid w:val="004718BB"/>
    <w:rsid w:val="004726D5"/>
    <w:rsid w:val="00472B84"/>
    <w:rsid w:val="00472CD4"/>
    <w:rsid w:val="00473AF1"/>
    <w:rsid w:val="00473D84"/>
    <w:rsid w:val="00474085"/>
    <w:rsid w:val="004742B6"/>
    <w:rsid w:val="00474E95"/>
    <w:rsid w:val="00475007"/>
    <w:rsid w:val="00475217"/>
    <w:rsid w:val="00475296"/>
    <w:rsid w:val="004752AF"/>
    <w:rsid w:val="004753BF"/>
    <w:rsid w:val="00476012"/>
    <w:rsid w:val="004760BE"/>
    <w:rsid w:val="0047610E"/>
    <w:rsid w:val="00476339"/>
    <w:rsid w:val="0047670B"/>
    <w:rsid w:val="00476EDF"/>
    <w:rsid w:val="00476F1D"/>
    <w:rsid w:val="00477000"/>
    <w:rsid w:val="0047745E"/>
    <w:rsid w:val="004778B2"/>
    <w:rsid w:val="00477913"/>
    <w:rsid w:val="004779C3"/>
    <w:rsid w:val="00477CF5"/>
    <w:rsid w:val="00477E65"/>
    <w:rsid w:val="00477ECF"/>
    <w:rsid w:val="00480588"/>
    <w:rsid w:val="00480632"/>
    <w:rsid w:val="00480923"/>
    <w:rsid w:val="00480A34"/>
    <w:rsid w:val="00480A83"/>
    <w:rsid w:val="00480D01"/>
    <w:rsid w:val="00481619"/>
    <w:rsid w:val="004816C1"/>
    <w:rsid w:val="00481981"/>
    <w:rsid w:val="00481AE7"/>
    <w:rsid w:val="00481CD3"/>
    <w:rsid w:val="00481F7B"/>
    <w:rsid w:val="00482B49"/>
    <w:rsid w:val="004834EA"/>
    <w:rsid w:val="004836A2"/>
    <w:rsid w:val="00484069"/>
    <w:rsid w:val="004841BC"/>
    <w:rsid w:val="00484A11"/>
    <w:rsid w:val="00484F30"/>
    <w:rsid w:val="00484F94"/>
    <w:rsid w:val="0048534E"/>
    <w:rsid w:val="004856B0"/>
    <w:rsid w:val="00485A1E"/>
    <w:rsid w:val="004866CB"/>
    <w:rsid w:val="00486CA8"/>
    <w:rsid w:val="00486D0C"/>
    <w:rsid w:val="00486D58"/>
    <w:rsid w:val="00486DE7"/>
    <w:rsid w:val="00486FDE"/>
    <w:rsid w:val="0048732E"/>
    <w:rsid w:val="00487831"/>
    <w:rsid w:val="004878E8"/>
    <w:rsid w:val="00487B90"/>
    <w:rsid w:val="00487BD8"/>
    <w:rsid w:val="00490173"/>
    <w:rsid w:val="004903FC"/>
    <w:rsid w:val="00490438"/>
    <w:rsid w:val="0049061C"/>
    <w:rsid w:val="00491352"/>
    <w:rsid w:val="004915CC"/>
    <w:rsid w:val="0049169B"/>
    <w:rsid w:val="00491C6A"/>
    <w:rsid w:val="00492001"/>
    <w:rsid w:val="00492049"/>
    <w:rsid w:val="004923E5"/>
    <w:rsid w:val="00492B1F"/>
    <w:rsid w:val="00492FDB"/>
    <w:rsid w:val="0049303F"/>
    <w:rsid w:val="0049360D"/>
    <w:rsid w:val="004936FB"/>
    <w:rsid w:val="00493753"/>
    <w:rsid w:val="004937CC"/>
    <w:rsid w:val="00493869"/>
    <w:rsid w:val="00493931"/>
    <w:rsid w:val="00493CF8"/>
    <w:rsid w:val="00493F4E"/>
    <w:rsid w:val="0049471C"/>
    <w:rsid w:val="00494753"/>
    <w:rsid w:val="0049481E"/>
    <w:rsid w:val="00494A42"/>
    <w:rsid w:val="00496014"/>
    <w:rsid w:val="00496374"/>
    <w:rsid w:val="004963D8"/>
    <w:rsid w:val="004963E0"/>
    <w:rsid w:val="004965FA"/>
    <w:rsid w:val="00496816"/>
    <w:rsid w:val="00496952"/>
    <w:rsid w:val="00496E74"/>
    <w:rsid w:val="00496F2A"/>
    <w:rsid w:val="00497404"/>
    <w:rsid w:val="0049775E"/>
    <w:rsid w:val="00497920"/>
    <w:rsid w:val="00497CA6"/>
    <w:rsid w:val="004A00E1"/>
    <w:rsid w:val="004A0442"/>
    <w:rsid w:val="004A04A3"/>
    <w:rsid w:val="004A0D25"/>
    <w:rsid w:val="004A0F48"/>
    <w:rsid w:val="004A1241"/>
    <w:rsid w:val="004A13AD"/>
    <w:rsid w:val="004A1C81"/>
    <w:rsid w:val="004A1D8F"/>
    <w:rsid w:val="004A201B"/>
    <w:rsid w:val="004A20BB"/>
    <w:rsid w:val="004A2458"/>
    <w:rsid w:val="004A2FCD"/>
    <w:rsid w:val="004A30B9"/>
    <w:rsid w:val="004A346A"/>
    <w:rsid w:val="004A3473"/>
    <w:rsid w:val="004A3589"/>
    <w:rsid w:val="004A386F"/>
    <w:rsid w:val="004A3D30"/>
    <w:rsid w:val="004A3E87"/>
    <w:rsid w:val="004A41ED"/>
    <w:rsid w:val="004A42A5"/>
    <w:rsid w:val="004A5146"/>
    <w:rsid w:val="004A527F"/>
    <w:rsid w:val="004A54B0"/>
    <w:rsid w:val="004A59D8"/>
    <w:rsid w:val="004A5DD7"/>
    <w:rsid w:val="004A63E3"/>
    <w:rsid w:val="004A6BC4"/>
    <w:rsid w:val="004A6F0D"/>
    <w:rsid w:val="004A75A3"/>
    <w:rsid w:val="004A765E"/>
    <w:rsid w:val="004A7EC5"/>
    <w:rsid w:val="004A7FBE"/>
    <w:rsid w:val="004B0656"/>
    <w:rsid w:val="004B0830"/>
    <w:rsid w:val="004B08C3"/>
    <w:rsid w:val="004B09A7"/>
    <w:rsid w:val="004B0BBF"/>
    <w:rsid w:val="004B0C23"/>
    <w:rsid w:val="004B0F24"/>
    <w:rsid w:val="004B0FE9"/>
    <w:rsid w:val="004B1018"/>
    <w:rsid w:val="004B13FE"/>
    <w:rsid w:val="004B1461"/>
    <w:rsid w:val="004B1A93"/>
    <w:rsid w:val="004B1E18"/>
    <w:rsid w:val="004B2296"/>
    <w:rsid w:val="004B2D95"/>
    <w:rsid w:val="004B30E0"/>
    <w:rsid w:val="004B4151"/>
    <w:rsid w:val="004B4243"/>
    <w:rsid w:val="004B424B"/>
    <w:rsid w:val="004B4411"/>
    <w:rsid w:val="004B445D"/>
    <w:rsid w:val="004B4788"/>
    <w:rsid w:val="004B4868"/>
    <w:rsid w:val="004B4FB0"/>
    <w:rsid w:val="004B520F"/>
    <w:rsid w:val="004B53D6"/>
    <w:rsid w:val="004B5631"/>
    <w:rsid w:val="004B5989"/>
    <w:rsid w:val="004B5D52"/>
    <w:rsid w:val="004B5E48"/>
    <w:rsid w:val="004B5E6E"/>
    <w:rsid w:val="004B6F8C"/>
    <w:rsid w:val="004B716E"/>
    <w:rsid w:val="004B7246"/>
    <w:rsid w:val="004B72E9"/>
    <w:rsid w:val="004B757F"/>
    <w:rsid w:val="004B770E"/>
    <w:rsid w:val="004B7925"/>
    <w:rsid w:val="004B796E"/>
    <w:rsid w:val="004B798D"/>
    <w:rsid w:val="004B79EB"/>
    <w:rsid w:val="004B7C97"/>
    <w:rsid w:val="004C03E3"/>
    <w:rsid w:val="004C08CA"/>
    <w:rsid w:val="004C0DB5"/>
    <w:rsid w:val="004C1628"/>
    <w:rsid w:val="004C1D58"/>
    <w:rsid w:val="004C246A"/>
    <w:rsid w:val="004C2506"/>
    <w:rsid w:val="004C27FE"/>
    <w:rsid w:val="004C2902"/>
    <w:rsid w:val="004C2AF6"/>
    <w:rsid w:val="004C2AFC"/>
    <w:rsid w:val="004C2B3C"/>
    <w:rsid w:val="004C2C75"/>
    <w:rsid w:val="004C2C87"/>
    <w:rsid w:val="004C2D9A"/>
    <w:rsid w:val="004C3729"/>
    <w:rsid w:val="004C3CE1"/>
    <w:rsid w:val="004C3FBE"/>
    <w:rsid w:val="004C45B7"/>
    <w:rsid w:val="004C4A65"/>
    <w:rsid w:val="004C4C60"/>
    <w:rsid w:val="004C4DB6"/>
    <w:rsid w:val="004C4E30"/>
    <w:rsid w:val="004C4F71"/>
    <w:rsid w:val="004C5101"/>
    <w:rsid w:val="004C54EE"/>
    <w:rsid w:val="004C56A5"/>
    <w:rsid w:val="004C5AC1"/>
    <w:rsid w:val="004C5B6A"/>
    <w:rsid w:val="004C5BEC"/>
    <w:rsid w:val="004C6046"/>
    <w:rsid w:val="004C637A"/>
    <w:rsid w:val="004C64A3"/>
    <w:rsid w:val="004C681B"/>
    <w:rsid w:val="004C6D27"/>
    <w:rsid w:val="004C7234"/>
    <w:rsid w:val="004C7961"/>
    <w:rsid w:val="004C79E8"/>
    <w:rsid w:val="004C7E3D"/>
    <w:rsid w:val="004D00D8"/>
    <w:rsid w:val="004D04A7"/>
    <w:rsid w:val="004D0626"/>
    <w:rsid w:val="004D0869"/>
    <w:rsid w:val="004D15EB"/>
    <w:rsid w:val="004D16BC"/>
    <w:rsid w:val="004D191A"/>
    <w:rsid w:val="004D1EC3"/>
    <w:rsid w:val="004D1F97"/>
    <w:rsid w:val="004D2075"/>
    <w:rsid w:val="004D222B"/>
    <w:rsid w:val="004D2404"/>
    <w:rsid w:val="004D262D"/>
    <w:rsid w:val="004D2923"/>
    <w:rsid w:val="004D2A2D"/>
    <w:rsid w:val="004D2B16"/>
    <w:rsid w:val="004D2EB6"/>
    <w:rsid w:val="004D3002"/>
    <w:rsid w:val="004D3226"/>
    <w:rsid w:val="004D35A9"/>
    <w:rsid w:val="004D35CD"/>
    <w:rsid w:val="004D4218"/>
    <w:rsid w:val="004D4CB5"/>
    <w:rsid w:val="004D51EF"/>
    <w:rsid w:val="004D537B"/>
    <w:rsid w:val="004D549F"/>
    <w:rsid w:val="004D57F4"/>
    <w:rsid w:val="004D5C0B"/>
    <w:rsid w:val="004D6CE3"/>
    <w:rsid w:val="004D71EE"/>
    <w:rsid w:val="004D791D"/>
    <w:rsid w:val="004E0223"/>
    <w:rsid w:val="004E0229"/>
    <w:rsid w:val="004E02BB"/>
    <w:rsid w:val="004E0607"/>
    <w:rsid w:val="004E0677"/>
    <w:rsid w:val="004E0970"/>
    <w:rsid w:val="004E1057"/>
    <w:rsid w:val="004E1465"/>
    <w:rsid w:val="004E1533"/>
    <w:rsid w:val="004E1833"/>
    <w:rsid w:val="004E197E"/>
    <w:rsid w:val="004E1CAF"/>
    <w:rsid w:val="004E287D"/>
    <w:rsid w:val="004E2888"/>
    <w:rsid w:val="004E2CA5"/>
    <w:rsid w:val="004E2FBE"/>
    <w:rsid w:val="004E3044"/>
    <w:rsid w:val="004E322D"/>
    <w:rsid w:val="004E3292"/>
    <w:rsid w:val="004E3429"/>
    <w:rsid w:val="004E389E"/>
    <w:rsid w:val="004E3DE8"/>
    <w:rsid w:val="004E42DE"/>
    <w:rsid w:val="004E49B1"/>
    <w:rsid w:val="004E4BE7"/>
    <w:rsid w:val="004E4CA8"/>
    <w:rsid w:val="004E4D55"/>
    <w:rsid w:val="004E4DB0"/>
    <w:rsid w:val="004E4DFB"/>
    <w:rsid w:val="004E4F97"/>
    <w:rsid w:val="004E4FF2"/>
    <w:rsid w:val="004E55CF"/>
    <w:rsid w:val="004E5BD3"/>
    <w:rsid w:val="004E5D16"/>
    <w:rsid w:val="004E5D68"/>
    <w:rsid w:val="004E5F58"/>
    <w:rsid w:val="004E68A0"/>
    <w:rsid w:val="004E6D32"/>
    <w:rsid w:val="004E6F69"/>
    <w:rsid w:val="004E74D4"/>
    <w:rsid w:val="004E7BE1"/>
    <w:rsid w:val="004E7C67"/>
    <w:rsid w:val="004F05D0"/>
    <w:rsid w:val="004F05DE"/>
    <w:rsid w:val="004F0A7C"/>
    <w:rsid w:val="004F0C03"/>
    <w:rsid w:val="004F0D3B"/>
    <w:rsid w:val="004F0F2E"/>
    <w:rsid w:val="004F146F"/>
    <w:rsid w:val="004F17B0"/>
    <w:rsid w:val="004F1857"/>
    <w:rsid w:val="004F193A"/>
    <w:rsid w:val="004F1B5B"/>
    <w:rsid w:val="004F3326"/>
    <w:rsid w:val="004F35C4"/>
    <w:rsid w:val="004F360B"/>
    <w:rsid w:val="004F399C"/>
    <w:rsid w:val="004F467E"/>
    <w:rsid w:val="004F486F"/>
    <w:rsid w:val="004F4CD1"/>
    <w:rsid w:val="004F4FCA"/>
    <w:rsid w:val="004F5210"/>
    <w:rsid w:val="004F521A"/>
    <w:rsid w:val="004F53B5"/>
    <w:rsid w:val="004F57A3"/>
    <w:rsid w:val="004F5DE1"/>
    <w:rsid w:val="004F5F97"/>
    <w:rsid w:val="004F6074"/>
    <w:rsid w:val="004F607E"/>
    <w:rsid w:val="004F6223"/>
    <w:rsid w:val="004F6662"/>
    <w:rsid w:val="004F67DA"/>
    <w:rsid w:val="004F683B"/>
    <w:rsid w:val="004F6883"/>
    <w:rsid w:val="004F68D0"/>
    <w:rsid w:val="004F7082"/>
    <w:rsid w:val="004F70C8"/>
    <w:rsid w:val="004F7105"/>
    <w:rsid w:val="004F72F2"/>
    <w:rsid w:val="004F734B"/>
    <w:rsid w:val="004F78BE"/>
    <w:rsid w:val="004F78D6"/>
    <w:rsid w:val="004F7AF3"/>
    <w:rsid w:val="004F7CE4"/>
    <w:rsid w:val="0050042C"/>
    <w:rsid w:val="00500A2F"/>
    <w:rsid w:val="00500DC8"/>
    <w:rsid w:val="00500FD3"/>
    <w:rsid w:val="005019BB"/>
    <w:rsid w:val="00501C0A"/>
    <w:rsid w:val="00501CD1"/>
    <w:rsid w:val="00501E2F"/>
    <w:rsid w:val="00502099"/>
    <w:rsid w:val="0050228C"/>
    <w:rsid w:val="00502357"/>
    <w:rsid w:val="0050242D"/>
    <w:rsid w:val="00502461"/>
    <w:rsid w:val="005028F2"/>
    <w:rsid w:val="00502937"/>
    <w:rsid w:val="00502B65"/>
    <w:rsid w:val="00502D4B"/>
    <w:rsid w:val="00503193"/>
    <w:rsid w:val="005038DA"/>
    <w:rsid w:val="00503E77"/>
    <w:rsid w:val="005042E1"/>
    <w:rsid w:val="00504A4F"/>
    <w:rsid w:val="00504B58"/>
    <w:rsid w:val="00505011"/>
    <w:rsid w:val="005052EB"/>
    <w:rsid w:val="0050551F"/>
    <w:rsid w:val="00505600"/>
    <w:rsid w:val="00505731"/>
    <w:rsid w:val="0050588C"/>
    <w:rsid w:val="00505AD5"/>
    <w:rsid w:val="00505FA0"/>
    <w:rsid w:val="00506243"/>
    <w:rsid w:val="00506E69"/>
    <w:rsid w:val="00507106"/>
    <w:rsid w:val="00507B44"/>
    <w:rsid w:val="00507D9F"/>
    <w:rsid w:val="005103F0"/>
    <w:rsid w:val="00510635"/>
    <w:rsid w:val="0051067B"/>
    <w:rsid w:val="00510697"/>
    <w:rsid w:val="00511024"/>
    <w:rsid w:val="00511853"/>
    <w:rsid w:val="00511F2A"/>
    <w:rsid w:val="005125C2"/>
    <w:rsid w:val="0051274A"/>
    <w:rsid w:val="00512DD0"/>
    <w:rsid w:val="005130A8"/>
    <w:rsid w:val="00513A6B"/>
    <w:rsid w:val="00513AF8"/>
    <w:rsid w:val="00513BAC"/>
    <w:rsid w:val="00513D8A"/>
    <w:rsid w:val="00513E3A"/>
    <w:rsid w:val="00514F9B"/>
    <w:rsid w:val="0051513A"/>
    <w:rsid w:val="0051550C"/>
    <w:rsid w:val="005157E0"/>
    <w:rsid w:val="00515A20"/>
    <w:rsid w:val="00515B1F"/>
    <w:rsid w:val="00515DB9"/>
    <w:rsid w:val="00516477"/>
    <w:rsid w:val="005167F6"/>
    <w:rsid w:val="0051698E"/>
    <w:rsid w:val="00516A0E"/>
    <w:rsid w:val="00516B66"/>
    <w:rsid w:val="00516EAF"/>
    <w:rsid w:val="005173D2"/>
    <w:rsid w:val="005174ED"/>
    <w:rsid w:val="00517C24"/>
    <w:rsid w:val="00517CC5"/>
    <w:rsid w:val="00517D52"/>
    <w:rsid w:val="00517FB9"/>
    <w:rsid w:val="005201BB"/>
    <w:rsid w:val="00520588"/>
    <w:rsid w:val="00520839"/>
    <w:rsid w:val="00520E9D"/>
    <w:rsid w:val="00521193"/>
    <w:rsid w:val="005211AB"/>
    <w:rsid w:val="00521F57"/>
    <w:rsid w:val="0052208B"/>
    <w:rsid w:val="00522317"/>
    <w:rsid w:val="00522320"/>
    <w:rsid w:val="005223B4"/>
    <w:rsid w:val="0052241C"/>
    <w:rsid w:val="00522437"/>
    <w:rsid w:val="0052268C"/>
    <w:rsid w:val="005227A8"/>
    <w:rsid w:val="00522843"/>
    <w:rsid w:val="00522BC8"/>
    <w:rsid w:val="00522E94"/>
    <w:rsid w:val="00522F85"/>
    <w:rsid w:val="0052392D"/>
    <w:rsid w:val="00523F55"/>
    <w:rsid w:val="00524360"/>
    <w:rsid w:val="0052479A"/>
    <w:rsid w:val="00524B8E"/>
    <w:rsid w:val="00525065"/>
    <w:rsid w:val="0052511B"/>
    <w:rsid w:val="005252AD"/>
    <w:rsid w:val="005259AD"/>
    <w:rsid w:val="00525CBB"/>
    <w:rsid w:val="00525FAF"/>
    <w:rsid w:val="0052630F"/>
    <w:rsid w:val="00526508"/>
    <w:rsid w:val="005266A1"/>
    <w:rsid w:val="00526962"/>
    <w:rsid w:val="00526A7D"/>
    <w:rsid w:val="00526F12"/>
    <w:rsid w:val="0052735B"/>
    <w:rsid w:val="00527448"/>
    <w:rsid w:val="0053047A"/>
    <w:rsid w:val="0053095D"/>
    <w:rsid w:val="00530B08"/>
    <w:rsid w:val="00530E1E"/>
    <w:rsid w:val="00530F46"/>
    <w:rsid w:val="00530F78"/>
    <w:rsid w:val="0053111D"/>
    <w:rsid w:val="00531684"/>
    <w:rsid w:val="00532013"/>
    <w:rsid w:val="005322A4"/>
    <w:rsid w:val="00532EE6"/>
    <w:rsid w:val="00533535"/>
    <w:rsid w:val="0053383B"/>
    <w:rsid w:val="00533905"/>
    <w:rsid w:val="00533B4C"/>
    <w:rsid w:val="00533CEF"/>
    <w:rsid w:val="00533DDB"/>
    <w:rsid w:val="005347BB"/>
    <w:rsid w:val="005349DE"/>
    <w:rsid w:val="00534E15"/>
    <w:rsid w:val="00534F26"/>
    <w:rsid w:val="005356BD"/>
    <w:rsid w:val="00535781"/>
    <w:rsid w:val="00535D80"/>
    <w:rsid w:val="00536167"/>
    <w:rsid w:val="00536326"/>
    <w:rsid w:val="00536363"/>
    <w:rsid w:val="005369D3"/>
    <w:rsid w:val="00536B88"/>
    <w:rsid w:val="0053737C"/>
    <w:rsid w:val="00537396"/>
    <w:rsid w:val="00537498"/>
    <w:rsid w:val="00537A8F"/>
    <w:rsid w:val="00540041"/>
    <w:rsid w:val="0054015D"/>
    <w:rsid w:val="00540244"/>
    <w:rsid w:val="00540587"/>
    <w:rsid w:val="005406C4"/>
    <w:rsid w:val="00540997"/>
    <w:rsid w:val="00540A35"/>
    <w:rsid w:val="00540B46"/>
    <w:rsid w:val="00540EBA"/>
    <w:rsid w:val="00541950"/>
    <w:rsid w:val="00541ABE"/>
    <w:rsid w:val="00542744"/>
    <w:rsid w:val="00542883"/>
    <w:rsid w:val="00542F8D"/>
    <w:rsid w:val="005433FC"/>
    <w:rsid w:val="00543606"/>
    <w:rsid w:val="00543C3D"/>
    <w:rsid w:val="00543E01"/>
    <w:rsid w:val="00543ED2"/>
    <w:rsid w:val="00544004"/>
    <w:rsid w:val="00544873"/>
    <w:rsid w:val="005448CB"/>
    <w:rsid w:val="00544A3D"/>
    <w:rsid w:val="00544E29"/>
    <w:rsid w:val="005457B8"/>
    <w:rsid w:val="0054584D"/>
    <w:rsid w:val="00545A6D"/>
    <w:rsid w:val="00545B40"/>
    <w:rsid w:val="00545F30"/>
    <w:rsid w:val="00546235"/>
    <w:rsid w:val="005462CD"/>
    <w:rsid w:val="00546966"/>
    <w:rsid w:val="005469D5"/>
    <w:rsid w:val="00546BBA"/>
    <w:rsid w:val="00546E73"/>
    <w:rsid w:val="0054721F"/>
    <w:rsid w:val="00547484"/>
    <w:rsid w:val="0054767C"/>
    <w:rsid w:val="00550266"/>
    <w:rsid w:val="0055074B"/>
    <w:rsid w:val="005508C5"/>
    <w:rsid w:val="005509B8"/>
    <w:rsid w:val="00550B50"/>
    <w:rsid w:val="00550BBD"/>
    <w:rsid w:val="00550EA8"/>
    <w:rsid w:val="0055100C"/>
    <w:rsid w:val="00551134"/>
    <w:rsid w:val="005518BF"/>
    <w:rsid w:val="005518E6"/>
    <w:rsid w:val="00551ACE"/>
    <w:rsid w:val="00551B53"/>
    <w:rsid w:val="00551C36"/>
    <w:rsid w:val="00551CBF"/>
    <w:rsid w:val="005521CF"/>
    <w:rsid w:val="005524A6"/>
    <w:rsid w:val="005525E5"/>
    <w:rsid w:val="005525F3"/>
    <w:rsid w:val="005526BE"/>
    <w:rsid w:val="00552AC9"/>
    <w:rsid w:val="00552D1D"/>
    <w:rsid w:val="00552DB2"/>
    <w:rsid w:val="0055345C"/>
    <w:rsid w:val="005534BE"/>
    <w:rsid w:val="00553998"/>
    <w:rsid w:val="005539D1"/>
    <w:rsid w:val="00553C52"/>
    <w:rsid w:val="00553D93"/>
    <w:rsid w:val="00553FB0"/>
    <w:rsid w:val="00554392"/>
    <w:rsid w:val="00554536"/>
    <w:rsid w:val="005556ED"/>
    <w:rsid w:val="00555732"/>
    <w:rsid w:val="00555942"/>
    <w:rsid w:val="00555B3A"/>
    <w:rsid w:val="00555C8E"/>
    <w:rsid w:val="00555DA6"/>
    <w:rsid w:val="00556381"/>
    <w:rsid w:val="00556DD8"/>
    <w:rsid w:val="00556F65"/>
    <w:rsid w:val="0055704C"/>
    <w:rsid w:val="00557A4F"/>
    <w:rsid w:val="00557E0E"/>
    <w:rsid w:val="0056011F"/>
    <w:rsid w:val="00560171"/>
    <w:rsid w:val="005601B5"/>
    <w:rsid w:val="00560592"/>
    <w:rsid w:val="0056061C"/>
    <w:rsid w:val="005606D3"/>
    <w:rsid w:val="005617C1"/>
    <w:rsid w:val="005617F1"/>
    <w:rsid w:val="00561823"/>
    <w:rsid w:val="00561C9B"/>
    <w:rsid w:val="00561EA3"/>
    <w:rsid w:val="005620EE"/>
    <w:rsid w:val="005625FD"/>
    <w:rsid w:val="00562A40"/>
    <w:rsid w:val="00562D0E"/>
    <w:rsid w:val="005638E6"/>
    <w:rsid w:val="00563E52"/>
    <w:rsid w:val="00563ECD"/>
    <w:rsid w:val="00563F5B"/>
    <w:rsid w:val="00564033"/>
    <w:rsid w:val="00564182"/>
    <w:rsid w:val="00564329"/>
    <w:rsid w:val="005647EB"/>
    <w:rsid w:val="00564D36"/>
    <w:rsid w:val="00564F21"/>
    <w:rsid w:val="00564FA0"/>
    <w:rsid w:val="0056508C"/>
    <w:rsid w:val="005653DD"/>
    <w:rsid w:val="00565A77"/>
    <w:rsid w:val="00566068"/>
    <w:rsid w:val="005662E5"/>
    <w:rsid w:val="005669E3"/>
    <w:rsid w:val="00566D67"/>
    <w:rsid w:val="00567067"/>
    <w:rsid w:val="005672B7"/>
    <w:rsid w:val="0056742A"/>
    <w:rsid w:val="0056747F"/>
    <w:rsid w:val="00567A8F"/>
    <w:rsid w:val="00567EAA"/>
    <w:rsid w:val="0057026C"/>
    <w:rsid w:val="00570384"/>
    <w:rsid w:val="0057047A"/>
    <w:rsid w:val="005713E5"/>
    <w:rsid w:val="00571518"/>
    <w:rsid w:val="005717AF"/>
    <w:rsid w:val="005720E9"/>
    <w:rsid w:val="00572315"/>
    <w:rsid w:val="0057272F"/>
    <w:rsid w:val="00572A35"/>
    <w:rsid w:val="00572C15"/>
    <w:rsid w:val="005730C4"/>
    <w:rsid w:val="005734D9"/>
    <w:rsid w:val="005739BD"/>
    <w:rsid w:val="00573D78"/>
    <w:rsid w:val="005741F3"/>
    <w:rsid w:val="00574432"/>
    <w:rsid w:val="005745A5"/>
    <w:rsid w:val="00574707"/>
    <w:rsid w:val="0057472D"/>
    <w:rsid w:val="005747A9"/>
    <w:rsid w:val="00574C63"/>
    <w:rsid w:val="00574FE0"/>
    <w:rsid w:val="00575053"/>
    <w:rsid w:val="005752C1"/>
    <w:rsid w:val="0057556F"/>
    <w:rsid w:val="00575841"/>
    <w:rsid w:val="00575E2C"/>
    <w:rsid w:val="00576B17"/>
    <w:rsid w:val="005771E7"/>
    <w:rsid w:val="005773F5"/>
    <w:rsid w:val="0057748F"/>
    <w:rsid w:val="00577547"/>
    <w:rsid w:val="00577A56"/>
    <w:rsid w:val="00577A88"/>
    <w:rsid w:val="00577FD6"/>
    <w:rsid w:val="0058010E"/>
    <w:rsid w:val="005813F2"/>
    <w:rsid w:val="005817A5"/>
    <w:rsid w:val="00581E43"/>
    <w:rsid w:val="005820AB"/>
    <w:rsid w:val="005827A2"/>
    <w:rsid w:val="00582989"/>
    <w:rsid w:val="005829B8"/>
    <w:rsid w:val="00582CBA"/>
    <w:rsid w:val="0058380B"/>
    <w:rsid w:val="00583C98"/>
    <w:rsid w:val="00583ECF"/>
    <w:rsid w:val="005840FF"/>
    <w:rsid w:val="00584725"/>
    <w:rsid w:val="00584ADE"/>
    <w:rsid w:val="00584D72"/>
    <w:rsid w:val="005851F7"/>
    <w:rsid w:val="00585882"/>
    <w:rsid w:val="005858CA"/>
    <w:rsid w:val="00585C6C"/>
    <w:rsid w:val="00585D75"/>
    <w:rsid w:val="00585F1E"/>
    <w:rsid w:val="005862CB"/>
    <w:rsid w:val="00586522"/>
    <w:rsid w:val="00586C26"/>
    <w:rsid w:val="005872A4"/>
    <w:rsid w:val="00587F13"/>
    <w:rsid w:val="00590095"/>
    <w:rsid w:val="0059025A"/>
    <w:rsid w:val="00590643"/>
    <w:rsid w:val="00590A31"/>
    <w:rsid w:val="00590D1D"/>
    <w:rsid w:val="005910AF"/>
    <w:rsid w:val="005912D1"/>
    <w:rsid w:val="0059157C"/>
    <w:rsid w:val="0059221B"/>
    <w:rsid w:val="00592581"/>
    <w:rsid w:val="005926DE"/>
    <w:rsid w:val="005928F2"/>
    <w:rsid w:val="00592B0A"/>
    <w:rsid w:val="00592BE7"/>
    <w:rsid w:val="0059310B"/>
    <w:rsid w:val="00593A76"/>
    <w:rsid w:val="00593DDB"/>
    <w:rsid w:val="00594202"/>
    <w:rsid w:val="00594470"/>
    <w:rsid w:val="00594542"/>
    <w:rsid w:val="00594867"/>
    <w:rsid w:val="00594901"/>
    <w:rsid w:val="00594A05"/>
    <w:rsid w:val="00594B4C"/>
    <w:rsid w:val="00594BA7"/>
    <w:rsid w:val="00594C89"/>
    <w:rsid w:val="00594CF4"/>
    <w:rsid w:val="00594DFE"/>
    <w:rsid w:val="00594F28"/>
    <w:rsid w:val="00595155"/>
    <w:rsid w:val="00595849"/>
    <w:rsid w:val="00595944"/>
    <w:rsid w:val="00595FF7"/>
    <w:rsid w:val="00596055"/>
    <w:rsid w:val="00596702"/>
    <w:rsid w:val="005968D8"/>
    <w:rsid w:val="00596909"/>
    <w:rsid w:val="00596ED8"/>
    <w:rsid w:val="00597193"/>
    <w:rsid w:val="0059750C"/>
    <w:rsid w:val="005975CE"/>
    <w:rsid w:val="00597722"/>
    <w:rsid w:val="00597BBA"/>
    <w:rsid w:val="00597E71"/>
    <w:rsid w:val="005A0151"/>
    <w:rsid w:val="005A02D4"/>
    <w:rsid w:val="005A082F"/>
    <w:rsid w:val="005A0952"/>
    <w:rsid w:val="005A0A0C"/>
    <w:rsid w:val="005A0B49"/>
    <w:rsid w:val="005A15D3"/>
    <w:rsid w:val="005A172F"/>
    <w:rsid w:val="005A18A4"/>
    <w:rsid w:val="005A1BB4"/>
    <w:rsid w:val="005A1BE2"/>
    <w:rsid w:val="005A1DDE"/>
    <w:rsid w:val="005A1FAB"/>
    <w:rsid w:val="005A2247"/>
    <w:rsid w:val="005A229D"/>
    <w:rsid w:val="005A2493"/>
    <w:rsid w:val="005A2521"/>
    <w:rsid w:val="005A2861"/>
    <w:rsid w:val="005A2E6D"/>
    <w:rsid w:val="005A2F5A"/>
    <w:rsid w:val="005A34C3"/>
    <w:rsid w:val="005A39B9"/>
    <w:rsid w:val="005A3FD0"/>
    <w:rsid w:val="005A4257"/>
    <w:rsid w:val="005A481B"/>
    <w:rsid w:val="005A5253"/>
    <w:rsid w:val="005A568A"/>
    <w:rsid w:val="005A584E"/>
    <w:rsid w:val="005A5D46"/>
    <w:rsid w:val="005A6B0A"/>
    <w:rsid w:val="005A6F5E"/>
    <w:rsid w:val="005A6F75"/>
    <w:rsid w:val="005A7213"/>
    <w:rsid w:val="005A7361"/>
    <w:rsid w:val="005A7B9E"/>
    <w:rsid w:val="005B036F"/>
    <w:rsid w:val="005B0432"/>
    <w:rsid w:val="005B049B"/>
    <w:rsid w:val="005B0842"/>
    <w:rsid w:val="005B0B12"/>
    <w:rsid w:val="005B1090"/>
    <w:rsid w:val="005B144F"/>
    <w:rsid w:val="005B1841"/>
    <w:rsid w:val="005B1A68"/>
    <w:rsid w:val="005B1A72"/>
    <w:rsid w:val="005B1AFC"/>
    <w:rsid w:val="005B1E8F"/>
    <w:rsid w:val="005B20E7"/>
    <w:rsid w:val="005B243B"/>
    <w:rsid w:val="005B27D7"/>
    <w:rsid w:val="005B2931"/>
    <w:rsid w:val="005B2DE2"/>
    <w:rsid w:val="005B32A5"/>
    <w:rsid w:val="005B37E5"/>
    <w:rsid w:val="005B3975"/>
    <w:rsid w:val="005B4B28"/>
    <w:rsid w:val="005B5AC3"/>
    <w:rsid w:val="005B6002"/>
    <w:rsid w:val="005B6181"/>
    <w:rsid w:val="005B6A71"/>
    <w:rsid w:val="005B6D33"/>
    <w:rsid w:val="005B6F6F"/>
    <w:rsid w:val="005B6F9D"/>
    <w:rsid w:val="005B726A"/>
    <w:rsid w:val="005B768D"/>
    <w:rsid w:val="005B76E2"/>
    <w:rsid w:val="005B7767"/>
    <w:rsid w:val="005B7775"/>
    <w:rsid w:val="005B7BFE"/>
    <w:rsid w:val="005B7C37"/>
    <w:rsid w:val="005B7E1A"/>
    <w:rsid w:val="005C0237"/>
    <w:rsid w:val="005C027D"/>
    <w:rsid w:val="005C076D"/>
    <w:rsid w:val="005C07EC"/>
    <w:rsid w:val="005C07EF"/>
    <w:rsid w:val="005C08E2"/>
    <w:rsid w:val="005C0E3A"/>
    <w:rsid w:val="005C0FC4"/>
    <w:rsid w:val="005C186E"/>
    <w:rsid w:val="005C1873"/>
    <w:rsid w:val="005C1892"/>
    <w:rsid w:val="005C1990"/>
    <w:rsid w:val="005C19A2"/>
    <w:rsid w:val="005C1CC9"/>
    <w:rsid w:val="005C1F78"/>
    <w:rsid w:val="005C200A"/>
    <w:rsid w:val="005C2100"/>
    <w:rsid w:val="005C25CF"/>
    <w:rsid w:val="005C268A"/>
    <w:rsid w:val="005C282D"/>
    <w:rsid w:val="005C2BE4"/>
    <w:rsid w:val="005C2E45"/>
    <w:rsid w:val="005C32D2"/>
    <w:rsid w:val="005C3403"/>
    <w:rsid w:val="005C479C"/>
    <w:rsid w:val="005C47D2"/>
    <w:rsid w:val="005C4D27"/>
    <w:rsid w:val="005C5118"/>
    <w:rsid w:val="005C5650"/>
    <w:rsid w:val="005C5B66"/>
    <w:rsid w:val="005C5D63"/>
    <w:rsid w:val="005C6023"/>
    <w:rsid w:val="005C6312"/>
    <w:rsid w:val="005C67A1"/>
    <w:rsid w:val="005C6CA6"/>
    <w:rsid w:val="005C6EEE"/>
    <w:rsid w:val="005C7260"/>
    <w:rsid w:val="005C78D9"/>
    <w:rsid w:val="005C78E9"/>
    <w:rsid w:val="005C7AC1"/>
    <w:rsid w:val="005D01A7"/>
    <w:rsid w:val="005D0475"/>
    <w:rsid w:val="005D0563"/>
    <w:rsid w:val="005D0641"/>
    <w:rsid w:val="005D0E69"/>
    <w:rsid w:val="005D1105"/>
    <w:rsid w:val="005D12EB"/>
    <w:rsid w:val="005D1515"/>
    <w:rsid w:val="005D1A63"/>
    <w:rsid w:val="005D1BD0"/>
    <w:rsid w:val="005D25A3"/>
    <w:rsid w:val="005D2876"/>
    <w:rsid w:val="005D2C41"/>
    <w:rsid w:val="005D3046"/>
    <w:rsid w:val="005D373E"/>
    <w:rsid w:val="005D37CD"/>
    <w:rsid w:val="005D3BCA"/>
    <w:rsid w:val="005D3CEA"/>
    <w:rsid w:val="005D3E8F"/>
    <w:rsid w:val="005D411B"/>
    <w:rsid w:val="005D45EF"/>
    <w:rsid w:val="005D4CD9"/>
    <w:rsid w:val="005D5187"/>
    <w:rsid w:val="005D5263"/>
    <w:rsid w:val="005D547D"/>
    <w:rsid w:val="005D5917"/>
    <w:rsid w:val="005D5F05"/>
    <w:rsid w:val="005D5F1B"/>
    <w:rsid w:val="005D69CE"/>
    <w:rsid w:val="005D6A8D"/>
    <w:rsid w:val="005D7373"/>
    <w:rsid w:val="005D763D"/>
    <w:rsid w:val="005D797C"/>
    <w:rsid w:val="005D7BCD"/>
    <w:rsid w:val="005D7C06"/>
    <w:rsid w:val="005E00FE"/>
    <w:rsid w:val="005E0305"/>
    <w:rsid w:val="005E05D2"/>
    <w:rsid w:val="005E0608"/>
    <w:rsid w:val="005E0BEA"/>
    <w:rsid w:val="005E0D64"/>
    <w:rsid w:val="005E0F57"/>
    <w:rsid w:val="005E0FE0"/>
    <w:rsid w:val="005E1323"/>
    <w:rsid w:val="005E132A"/>
    <w:rsid w:val="005E13D8"/>
    <w:rsid w:val="005E145B"/>
    <w:rsid w:val="005E1602"/>
    <w:rsid w:val="005E1DF2"/>
    <w:rsid w:val="005E2184"/>
    <w:rsid w:val="005E24CA"/>
    <w:rsid w:val="005E25E9"/>
    <w:rsid w:val="005E297F"/>
    <w:rsid w:val="005E29E5"/>
    <w:rsid w:val="005E2A85"/>
    <w:rsid w:val="005E38D9"/>
    <w:rsid w:val="005E3DA2"/>
    <w:rsid w:val="005E3DEC"/>
    <w:rsid w:val="005E4139"/>
    <w:rsid w:val="005E4C6F"/>
    <w:rsid w:val="005E5297"/>
    <w:rsid w:val="005E52E3"/>
    <w:rsid w:val="005E5360"/>
    <w:rsid w:val="005E5C9E"/>
    <w:rsid w:val="005E5D5D"/>
    <w:rsid w:val="005E5EC9"/>
    <w:rsid w:val="005E66AE"/>
    <w:rsid w:val="005E686B"/>
    <w:rsid w:val="005E68D6"/>
    <w:rsid w:val="005E698B"/>
    <w:rsid w:val="005E698C"/>
    <w:rsid w:val="005E6F97"/>
    <w:rsid w:val="005E6FEE"/>
    <w:rsid w:val="005E764F"/>
    <w:rsid w:val="005E7776"/>
    <w:rsid w:val="005E78F4"/>
    <w:rsid w:val="005E7D7D"/>
    <w:rsid w:val="005E7FDB"/>
    <w:rsid w:val="005F007C"/>
    <w:rsid w:val="005F020D"/>
    <w:rsid w:val="005F0621"/>
    <w:rsid w:val="005F0898"/>
    <w:rsid w:val="005F08C6"/>
    <w:rsid w:val="005F08D7"/>
    <w:rsid w:val="005F0AA8"/>
    <w:rsid w:val="005F0C8F"/>
    <w:rsid w:val="005F0E87"/>
    <w:rsid w:val="005F125A"/>
    <w:rsid w:val="005F125B"/>
    <w:rsid w:val="005F1343"/>
    <w:rsid w:val="005F19BF"/>
    <w:rsid w:val="005F2448"/>
    <w:rsid w:val="005F365D"/>
    <w:rsid w:val="005F3719"/>
    <w:rsid w:val="005F37BD"/>
    <w:rsid w:val="005F4055"/>
    <w:rsid w:val="005F48F1"/>
    <w:rsid w:val="005F4AD5"/>
    <w:rsid w:val="005F548A"/>
    <w:rsid w:val="005F557E"/>
    <w:rsid w:val="005F5879"/>
    <w:rsid w:val="005F5A4F"/>
    <w:rsid w:val="005F5B64"/>
    <w:rsid w:val="005F606F"/>
    <w:rsid w:val="005F6567"/>
    <w:rsid w:val="005F65FE"/>
    <w:rsid w:val="005F684C"/>
    <w:rsid w:val="005F6CF4"/>
    <w:rsid w:val="005F7130"/>
    <w:rsid w:val="005F716F"/>
    <w:rsid w:val="005F72FA"/>
    <w:rsid w:val="005F745F"/>
    <w:rsid w:val="005F76BB"/>
    <w:rsid w:val="005F77FD"/>
    <w:rsid w:val="005F7CCE"/>
    <w:rsid w:val="005F7F3B"/>
    <w:rsid w:val="00600BBB"/>
    <w:rsid w:val="00600FC5"/>
    <w:rsid w:val="006011AC"/>
    <w:rsid w:val="006011CB"/>
    <w:rsid w:val="006014B4"/>
    <w:rsid w:val="006017BB"/>
    <w:rsid w:val="00601B3C"/>
    <w:rsid w:val="006020A2"/>
    <w:rsid w:val="006022C9"/>
    <w:rsid w:val="00602C6D"/>
    <w:rsid w:val="00602CDA"/>
    <w:rsid w:val="00602E3C"/>
    <w:rsid w:val="006030FC"/>
    <w:rsid w:val="0060333E"/>
    <w:rsid w:val="006036D9"/>
    <w:rsid w:val="00603808"/>
    <w:rsid w:val="0060389D"/>
    <w:rsid w:val="00603A3F"/>
    <w:rsid w:val="00603B3C"/>
    <w:rsid w:val="00603B78"/>
    <w:rsid w:val="00604392"/>
    <w:rsid w:val="00604858"/>
    <w:rsid w:val="00604D82"/>
    <w:rsid w:val="00605001"/>
    <w:rsid w:val="00605033"/>
    <w:rsid w:val="00605356"/>
    <w:rsid w:val="006056D8"/>
    <w:rsid w:val="006058A8"/>
    <w:rsid w:val="00605987"/>
    <w:rsid w:val="00605B78"/>
    <w:rsid w:val="006061DE"/>
    <w:rsid w:val="006065FF"/>
    <w:rsid w:val="00606A7A"/>
    <w:rsid w:val="00606B54"/>
    <w:rsid w:val="00606D1C"/>
    <w:rsid w:val="00606F69"/>
    <w:rsid w:val="0060735B"/>
    <w:rsid w:val="006079C6"/>
    <w:rsid w:val="006104BE"/>
    <w:rsid w:val="006107DA"/>
    <w:rsid w:val="0061083C"/>
    <w:rsid w:val="00610E86"/>
    <w:rsid w:val="006110B4"/>
    <w:rsid w:val="00611533"/>
    <w:rsid w:val="006116B6"/>
    <w:rsid w:val="00611F1F"/>
    <w:rsid w:val="00612614"/>
    <w:rsid w:val="0061267D"/>
    <w:rsid w:val="006126AD"/>
    <w:rsid w:val="00612F6A"/>
    <w:rsid w:val="00612F92"/>
    <w:rsid w:val="00613674"/>
    <w:rsid w:val="00613698"/>
    <w:rsid w:val="006137B9"/>
    <w:rsid w:val="00613937"/>
    <w:rsid w:val="00613CC6"/>
    <w:rsid w:val="00613D87"/>
    <w:rsid w:val="006143A5"/>
    <w:rsid w:val="00614D92"/>
    <w:rsid w:val="00614F0C"/>
    <w:rsid w:val="006151C8"/>
    <w:rsid w:val="00615215"/>
    <w:rsid w:val="00615308"/>
    <w:rsid w:val="00615494"/>
    <w:rsid w:val="00615601"/>
    <w:rsid w:val="00615675"/>
    <w:rsid w:val="00615C8C"/>
    <w:rsid w:val="00615CF7"/>
    <w:rsid w:val="00615DD0"/>
    <w:rsid w:val="00615F5E"/>
    <w:rsid w:val="00616045"/>
    <w:rsid w:val="006160AE"/>
    <w:rsid w:val="00616685"/>
    <w:rsid w:val="00616778"/>
    <w:rsid w:val="00616B1D"/>
    <w:rsid w:val="006172B9"/>
    <w:rsid w:val="006175C1"/>
    <w:rsid w:val="00617CE5"/>
    <w:rsid w:val="006204FC"/>
    <w:rsid w:val="0062097C"/>
    <w:rsid w:val="00620A08"/>
    <w:rsid w:val="00620AEE"/>
    <w:rsid w:val="00620F9C"/>
    <w:rsid w:val="00621A4B"/>
    <w:rsid w:val="00621AA2"/>
    <w:rsid w:val="00621DB7"/>
    <w:rsid w:val="00621DED"/>
    <w:rsid w:val="00622488"/>
    <w:rsid w:val="0062252C"/>
    <w:rsid w:val="006225A0"/>
    <w:rsid w:val="006225E9"/>
    <w:rsid w:val="006228B2"/>
    <w:rsid w:val="00622A9C"/>
    <w:rsid w:val="00623393"/>
    <w:rsid w:val="0062354C"/>
    <w:rsid w:val="0062356A"/>
    <w:rsid w:val="006240C7"/>
    <w:rsid w:val="006247D0"/>
    <w:rsid w:val="0062493F"/>
    <w:rsid w:val="006249F3"/>
    <w:rsid w:val="00625032"/>
    <w:rsid w:val="0062534A"/>
    <w:rsid w:val="006253CE"/>
    <w:rsid w:val="00625471"/>
    <w:rsid w:val="00625A53"/>
    <w:rsid w:val="00625D12"/>
    <w:rsid w:val="00626CDA"/>
    <w:rsid w:val="00626EBB"/>
    <w:rsid w:val="00626F75"/>
    <w:rsid w:val="0062753A"/>
    <w:rsid w:val="00627843"/>
    <w:rsid w:val="00627892"/>
    <w:rsid w:val="00627AE7"/>
    <w:rsid w:val="00627BD5"/>
    <w:rsid w:val="00630285"/>
    <w:rsid w:val="006302B4"/>
    <w:rsid w:val="006303EA"/>
    <w:rsid w:val="00630424"/>
    <w:rsid w:val="0063068B"/>
    <w:rsid w:val="00630A7B"/>
    <w:rsid w:val="00630C1B"/>
    <w:rsid w:val="00630D7C"/>
    <w:rsid w:val="0063115A"/>
    <w:rsid w:val="00631A23"/>
    <w:rsid w:val="00631AED"/>
    <w:rsid w:val="00631B8E"/>
    <w:rsid w:val="00631E87"/>
    <w:rsid w:val="00631F87"/>
    <w:rsid w:val="00631FD6"/>
    <w:rsid w:val="00632371"/>
    <w:rsid w:val="006323A5"/>
    <w:rsid w:val="006323CE"/>
    <w:rsid w:val="00632887"/>
    <w:rsid w:val="00633A6C"/>
    <w:rsid w:val="00633BD6"/>
    <w:rsid w:val="00633EAC"/>
    <w:rsid w:val="006340CA"/>
    <w:rsid w:val="006343AB"/>
    <w:rsid w:val="0063443D"/>
    <w:rsid w:val="00634821"/>
    <w:rsid w:val="00634944"/>
    <w:rsid w:val="006350AD"/>
    <w:rsid w:val="006350F0"/>
    <w:rsid w:val="00635113"/>
    <w:rsid w:val="00635254"/>
    <w:rsid w:val="006355FF"/>
    <w:rsid w:val="00635924"/>
    <w:rsid w:val="00635AD3"/>
    <w:rsid w:val="00635BC2"/>
    <w:rsid w:val="006362C1"/>
    <w:rsid w:val="00636861"/>
    <w:rsid w:val="00636948"/>
    <w:rsid w:val="006369A1"/>
    <w:rsid w:val="0063717B"/>
    <w:rsid w:val="006371C0"/>
    <w:rsid w:val="006373AF"/>
    <w:rsid w:val="00637459"/>
    <w:rsid w:val="00637623"/>
    <w:rsid w:val="006376D5"/>
    <w:rsid w:val="00637B3A"/>
    <w:rsid w:val="00637E40"/>
    <w:rsid w:val="00640481"/>
    <w:rsid w:val="006404D2"/>
    <w:rsid w:val="00640809"/>
    <w:rsid w:val="00640AC2"/>
    <w:rsid w:val="00640BC1"/>
    <w:rsid w:val="00640BE5"/>
    <w:rsid w:val="00640D04"/>
    <w:rsid w:val="00641EDA"/>
    <w:rsid w:val="006422E4"/>
    <w:rsid w:val="00642774"/>
    <w:rsid w:val="006432E3"/>
    <w:rsid w:val="006432E6"/>
    <w:rsid w:val="006438C6"/>
    <w:rsid w:val="006439B1"/>
    <w:rsid w:val="00643AD5"/>
    <w:rsid w:val="00643D44"/>
    <w:rsid w:val="00643FA3"/>
    <w:rsid w:val="006441DC"/>
    <w:rsid w:val="00644220"/>
    <w:rsid w:val="00644B02"/>
    <w:rsid w:val="00644C2F"/>
    <w:rsid w:val="00644F5B"/>
    <w:rsid w:val="00644FFB"/>
    <w:rsid w:val="006450ED"/>
    <w:rsid w:val="00645276"/>
    <w:rsid w:val="0064543F"/>
    <w:rsid w:val="0064582D"/>
    <w:rsid w:val="00645E31"/>
    <w:rsid w:val="00645ED2"/>
    <w:rsid w:val="00645F4F"/>
    <w:rsid w:val="006461BD"/>
    <w:rsid w:val="00646AFF"/>
    <w:rsid w:val="00646C42"/>
    <w:rsid w:val="00646DCE"/>
    <w:rsid w:val="00647F9A"/>
    <w:rsid w:val="00650037"/>
    <w:rsid w:val="00650332"/>
    <w:rsid w:val="0065047E"/>
    <w:rsid w:val="006507E8"/>
    <w:rsid w:val="0065080E"/>
    <w:rsid w:val="00650AE4"/>
    <w:rsid w:val="00650F0C"/>
    <w:rsid w:val="00650F28"/>
    <w:rsid w:val="006510DF"/>
    <w:rsid w:val="006510F6"/>
    <w:rsid w:val="00651139"/>
    <w:rsid w:val="006516F3"/>
    <w:rsid w:val="006519FE"/>
    <w:rsid w:val="00652165"/>
    <w:rsid w:val="006529AC"/>
    <w:rsid w:val="00652B62"/>
    <w:rsid w:val="00652C07"/>
    <w:rsid w:val="00652F71"/>
    <w:rsid w:val="006534DD"/>
    <w:rsid w:val="006535D3"/>
    <w:rsid w:val="00653D2B"/>
    <w:rsid w:val="006540FC"/>
    <w:rsid w:val="00654341"/>
    <w:rsid w:val="00654E60"/>
    <w:rsid w:val="00654E9D"/>
    <w:rsid w:val="00655247"/>
    <w:rsid w:val="0065531F"/>
    <w:rsid w:val="006557D6"/>
    <w:rsid w:val="00655E8B"/>
    <w:rsid w:val="00655FFA"/>
    <w:rsid w:val="006567A3"/>
    <w:rsid w:val="006567E6"/>
    <w:rsid w:val="00656E11"/>
    <w:rsid w:val="006570D5"/>
    <w:rsid w:val="00657462"/>
    <w:rsid w:val="006577A4"/>
    <w:rsid w:val="00657CCD"/>
    <w:rsid w:val="006601C3"/>
    <w:rsid w:val="006607B8"/>
    <w:rsid w:val="006609CA"/>
    <w:rsid w:val="00660D14"/>
    <w:rsid w:val="006617AD"/>
    <w:rsid w:val="00661CC8"/>
    <w:rsid w:val="00661D3E"/>
    <w:rsid w:val="006620C1"/>
    <w:rsid w:val="00662246"/>
    <w:rsid w:val="0066288A"/>
    <w:rsid w:val="00662CEE"/>
    <w:rsid w:val="00663143"/>
    <w:rsid w:val="00663814"/>
    <w:rsid w:val="0066396E"/>
    <w:rsid w:val="00663B6C"/>
    <w:rsid w:val="00663C10"/>
    <w:rsid w:val="00664145"/>
    <w:rsid w:val="00664CC9"/>
    <w:rsid w:val="00664E97"/>
    <w:rsid w:val="0066504C"/>
    <w:rsid w:val="0066507E"/>
    <w:rsid w:val="00665D7C"/>
    <w:rsid w:val="00666662"/>
    <w:rsid w:val="00666A9C"/>
    <w:rsid w:val="00667C41"/>
    <w:rsid w:val="00667EB1"/>
    <w:rsid w:val="0067039A"/>
    <w:rsid w:val="006705B5"/>
    <w:rsid w:val="006707A1"/>
    <w:rsid w:val="006707F1"/>
    <w:rsid w:val="00670C67"/>
    <w:rsid w:val="00670D90"/>
    <w:rsid w:val="00670F43"/>
    <w:rsid w:val="006710A5"/>
    <w:rsid w:val="0067111A"/>
    <w:rsid w:val="0067166B"/>
    <w:rsid w:val="006717F6"/>
    <w:rsid w:val="00671897"/>
    <w:rsid w:val="00672182"/>
    <w:rsid w:val="006725F5"/>
    <w:rsid w:val="00672E09"/>
    <w:rsid w:val="006733C8"/>
    <w:rsid w:val="00673470"/>
    <w:rsid w:val="006736D8"/>
    <w:rsid w:val="0067373C"/>
    <w:rsid w:val="0067379D"/>
    <w:rsid w:val="00673A58"/>
    <w:rsid w:val="00673BD1"/>
    <w:rsid w:val="00674309"/>
    <w:rsid w:val="006747F4"/>
    <w:rsid w:val="00674D27"/>
    <w:rsid w:val="00676037"/>
    <w:rsid w:val="00676398"/>
    <w:rsid w:val="0067673E"/>
    <w:rsid w:val="0067675D"/>
    <w:rsid w:val="00676ED3"/>
    <w:rsid w:val="0067740C"/>
    <w:rsid w:val="00680101"/>
    <w:rsid w:val="00680A67"/>
    <w:rsid w:val="00680E1E"/>
    <w:rsid w:val="00680EC8"/>
    <w:rsid w:val="00680FAA"/>
    <w:rsid w:val="00681438"/>
    <w:rsid w:val="006818B5"/>
    <w:rsid w:val="006819A7"/>
    <w:rsid w:val="00681AE8"/>
    <w:rsid w:val="00682127"/>
    <w:rsid w:val="00682831"/>
    <w:rsid w:val="00682898"/>
    <w:rsid w:val="006828B1"/>
    <w:rsid w:val="00682A54"/>
    <w:rsid w:val="00682E0A"/>
    <w:rsid w:val="0068326B"/>
    <w:rsid w:val="00683627"/>
    <w:rsid w:val="00683D5C"/>
    <w:rsid w:val="006846E3"/>
    <w:rsid w:val="0068504E"/>
    <w:rsid w:val="006856FE"/>
    <w:rsid w:val="006858FC"/>
    <w:rsid w:val="00685CBE"/>
    <w:rsid w:val="00685F06"/>
    <w:rsid w:val="00685F32"/>
    <w:rsid w:val="006861A6"/>
    <w:rsid w:val="006861EB"/>
    <w:rsid w:val="006865FE"/>
    <w:rsid w:val="00686E2D"/>
    <w:rsid w:val="00686EA1"/>
    <w:rsid w:val="00687021"/>
    <w:rsid w:val="00687BFF"/>
    <w:rsid w:val="00687EE2"/>
    <w:rsid w:val="00687FB3"/>
    <w:rsid w:val="0069000A"/>
    <w:rsid w:val="006902B7"/>
    <w:rsid w:val="00690311"/>
    <w:rsid w:val="00690608"/>
    <w:rsid w:val="006907AC"/>
    <w:rsid w:val="006908C8"/>
    <w:rsid w:val="006909BC"/>
    <w:rsid w:val="00690B87"/>
    <w:rsid w:val="00691373"/>
    <w:rsid w:val="006919F7"/>
    <w:rsid w:val="00691F41"/>
    <w:rsid w:val="00692490"/>
    <w:rsid w:val="006924FB"/>
    <w:rsid w:val="00692529"/>
    <w:rsid w:val="00692774"/>
    <w:rsid w:val="0069297A"/>
    <w:rsid w:val="00692D63"/>
    <w:rsid w:val="00692DB5"/>
    <w:rsid w:val="00692E4F"/>
    <w:rsid w:val="006932F9"/>
    <w:rsid w:val="00693334"/>
    <w:rsid w:val="0069340E"/>
    <w:rsid w:val="006938D4"/>
    <w:rsid w:val="00693CA2"/>
    <w:rsid w:val="00694491"/>
    <w:rsid w:val="00694620"/>
    <w:rsid w:val="00694925"/>
    <w:rsid w:val="00695382"/>
    <w:rsid w:val="00695A94"/>
    <w:rsid w:val="00695AE4"/>
    <w:rsid w:val="00695F1D"/>
    <w:rsid w:val="006960F8"/>
    <w:rsid w:val="0069625E"/>
    <w:rsid w:val="00696363"/>
    <w:rsid w:val="00696948"/>
    <w:rsid w:val="00696B83"/>
    <w:rsid w:val="00696EA4"/>
    <w:rsid w:val="00697395"/>
    <w:rsid w:val="00697532"/>
    <w:rsid w:val="006975EC"/>
    <w:rsid w:val="00697E67"/>
    <w:rsid w:val="006A05F3"/>
    <w:rsid w:val="006A0854"/>
    <w:rsid w:val="006A0DA6"/>
    <w:rsid w:val="006A0DEB"/>
    <w:rsid w:val="006A1383"/>
    <w:rsid w:val="006A17FE"/>
    <w:rsid w:val="006A1C4C"/>
    <w:rsid w:val="006A1CB1"/>
    <w:rsid w:val="006A1D56"/>
    <w:rsid w:val="006A24D4"/>
    <w:rsid w:val="006A27F7"/>
    <w:rsid w:val="006A2878"/>
    <w:rsid w:val="006A2B09"/>
    <w:rsid w:val="006A2BCD"/>
    <w:rsid w:val="006A2F96"/>
    <w:rsid w:val="006A3102"/>
    <w:rsid w:val="006A310A"/>
    <w:rsid w:val="006A315B"/>
    <w:rsid w:val="006A32C5"/>
    <w:rsid w:val="006A3806"/>
    <w:rsid w:val="006A3B00"/>
    <w:rsid w:val="006A3D82"/>
    <w:rsid w:val="006A3DC3"/>
    <w:rsid w:val="006A3E95"/>
    <w:rsid w:val="006A4293"/>
    <w:rsid w:val="006A4580"/>
    <w:rsid w:val="006A480F"/>
    <w:rsid w:val="006A4F76"/>
    <w:rsid w:val="006A5068"/>
    <w:rsid w:val="006A5235"/>
    <w:rsid w:val="006A535C"/>
    <w:rsid w:val="006A53B9"/>
    <w:rsid w:val="006A5468"/>
    <w:rsid w:val="006A5F37"/>
    <w:rsid w:val="006A63B6"/>
    <w:rsid w:val="006A642A"/>
    <w:rsid w:val="006A67AF"/>
    <w:rsid w:val="006A6C1F"/>
    <w:rsid w:val="006A6CF8"/>
    <w:rsid w:val="006A6D2D"/>
    <w:rsid w:val="006A765E"/>
    <w:rsid w:val="006B0562"/>
    <w:rsid w:val="006B06DD"/>
    <w:rsid w:val="006B07D7"/>
    <w:rsid w:val="006B0B54"/>
    <w:rsid w:val="006B10F9"/>
    <w:rsid w:val="006B1125"/>
    <w:rsid w:val="006B14EF"/>
    <w:rsid w:val="006B17A3"/>
    <w:rsid w:val="006B1848"/>
    <w:rsid w:val="006B1BAA"/>
    <w:rsid w:val="006B1D96"/>
    <w:rsid w:val="006B211B"/>
    <w:rsid w:val="006B26A7"/>
    <w:rsid w:val="006B2CDF"/>
    <w:rsid w:val="006B2E3B"/>
    <w:rsid w:val="006B2FE2"/>
    <w:rsid w:val="006B3945"/>
    <w:rsid w:val="006B3AEE"/>
    <w:rsid w:val="006B3AF7"/>
    <w:rsid w:val="006B3FF5"/>
    <w:rsid w:val="006B432A"/>
    <w:rsid w:val="006B47D1"/>
    <w:rsid w:val="006B4BB8"/>
    <w:rsid w:val="006B5694"/>
    <w:rsid w:val="006B573A"/>
    <w:rsid w:val="006B57E0"/>
    <w:rsid w:val="006B58E8"/>
    <w:rsid w:val="006B59D7"/>
    <w:rsid w:val="006B5E4C"/>
    <w:rsid w:val="006B5FEB"/>
    <w:rsid w:val="006B602F"/>
    <w:rsid w:val="006B62D9"/>
    <w:rsid w:val="006B653D"/>
    <w:rsid w:val="006B6548"/>
    <w:rsid w:val="006B663A"/>
    <w:rsid w:val="006B6708"/>
    <w:rsid w:val="006B68F1"/>
    <w:rsid w:val="006B70F3"/>
    <w:rsid w:val="006B725D"/>
    <w:rsid w:val="006B7484"/>
    <w:rsid w:val="006B7818"/>
    <w:rsid w:val="006B78BC"/>
    <w:rsid w:val="006B7A8C"/>
    <w:rsid w:val="006C0457"/>
    <w:rsid w:val="006C04AC"/>
    <w:rsid w:val="006C0653"/>
    <w:rsid w:val="006C0A76"/>
    <w:rsid w:val="006C0AB8"/>
    <w:rsid w:val="006C0F41"/>
    <w:rsid w:val="006C14C7"/>
    <w:rsid w:val="006C15AB"/>
    <w:rsid w:val="006C1643"/>
    <w:rsid w:val="006C1F9A"/>
    <w:rsid w:val="006C2642"/>
    <w:rsid w:val="006C2886"/>
    <w:rsid w:val="006C2CF6"/>
    <w:rsid w:val="006C360B"/>
    <w:rsid w:val="006C39CC"/>
    <w:rsid w:val="006C4076"/>
    <w:rsid w:val="006C410C"/>
    <w:rsid w:val="006C421E"/>
    <w:rsid w:val="006C423D"/>
    <w:rsid w:val="006C446B"/>
    <w:rsid w:val="006C4596"/>
    <w:rsid w:val="006C4826"/>
    <w:rsid w:val="006C4E6D"/>
    <w:rsid w:val="006C5414"/>
    <w:rsid w:val="006C5888"/>
    <w:rsid w:val="006C5934"/>
    <w:rsid w:val="006C5D56"/>
    <w:rsid w:val="006C60F6"/>
    <w:rsid w:val="006C75E3"/>
    <w:rsid w:val="006C7E6E"/>
    <w:rsid w:val="006D034C"/>
    <w:rsid w:val="006D0538"/>
    <w:rsid w:val="006D0BF5"/>
    <w:rsid w:val="006D0D5F"/>
    <w:rsid w:val="006D105F"/>
    <w:rsid w:val="006D1125"/>
    <w:rsid w:val="006D140F"/>
    <w:rsid w:val="006D15FA"/>
    <w:rsid w:val="006D18B1"/>
    <w:rsid w:val="006D1F8B"/>
    <w:rsid w:val="006D2420"/>
    <w:rsid w:val="006D2870"/>
    <w:rsid w:val="006D2E87"/>
    <w:rsid w:val="006D319E"/>
    <w:rsid w:val="006D3C02"/>
    <w:rsid w:val="006D3D6F"/>
    <w:rsid w:val="006D4132"/>
    <w:rsid w:val="006D4D13"/>
    <w:rsid w:val="006D50E9"/>
    <w:rsid w:val="006D50ED"/>
    <w:rsid w:val="006D52E9"/>
    <w:rsid w:val="006D5328"/>
    <w:rsid w:val="006D59DD"/>
    <w:rsid w:val="006D5F01"/>
    <w:rsid w:val="006D5F69"/>
    <w:rsid w:val="006D6840"/>
    <w:rsid w:val="006D6DA5"/>
    <w:rsid w:val="006D6E70"/>
    <w:rsid w:val="006D6E7C"/>
    <w:rsid w:val="006D75A5"/>
    <w:rsid w:val="006D7F22"/>
    <w:rsid w:val="006E01E8"/>
    <w:rsid w:val="006E03C0"/>
    <w:rsid w:val="006E0D05"/>
    <w:rsid w:val="006E1165"/>
    <w:rsid w:val="006E151E"/>
    <w:rsid w:val="006E1557"/>
    <w:rsid w:val="006E2363"/>
    <w:rsid w:val="006E35AA"/>
    <w:rsid w:val="006E3C6A"/>
    <w:rsid w:val="006E3D43"/>
    <w:rsid w:val="006E477A"/>
    <w:rsid w:val="006E47DB"/>
    <w:rsid w:val="006E47FF"/>
    <w:rsid w:val="006E48DA"/>
    <w:rsid w:val="006E5051"/>
    <w:rsid w:val="006E50D6"/>
    <w:rsid w:val="006E5568"/>
    <w:rsid w:val="006E5790"/>
    <w:rsid w:val="006E5C25"/>
    <w:rsid w:val="006E5CE0"/>
    <w:rsid w:val="006E613E"/>
    <w:rsid w:val="006E653D"/>
    <w:rsid w:val="006E66C4"/>
    <w:rsid w:val="006E6744"/>
    <w:rsid w:val="006E6D07"/>
    <w:rsid w:val="006E7E00"/>
    <w:rsid w:val="006E7EFE"/>
    <w:rsid w:val="006F05E0"/>
    <w:rsid w:val="006F0B0A"/>
    <w:rsid w:val="006F12A4"/>
    <w:rsid w:val="006F157A"/>
    <w:rsid w:val="006F1851"/>
    <w:rsid w:val="006F1A39"/>
    <w:rsid w:val="006F2203"/>
    <w:rsid w:val="006F2D93"/>
    <w:rsid w:val="006F2E03"/>
    <w:rsid w:val="006F31CE"/>
    <w:rsid w:val="006F35F1"/>
    <w:rsid w:val="006F3A80"/>
    <w:rsid w:val="006F3EF4"/>
    <w:rsid w:val="006F3FD6"/>
    <w:rsid w:val="006F4488"/>
    <w:rsid w:val="006F4568"/>
    <w:rsid w:val="006F45F8"/>
    <w:rsid w:val="006F464B"/>
    <w:rsid w:val="006F4CEB"/>
    <w:rsid w:val="006F4E26"/>
    <w:rsid w:val="006F5059"/>
    <w:rsid w:val="006F529F"/>
    <w:rsid w:val="006F557E"/>
    <w:rsid w:val="006F58DA"/>
    <w:rsid w:val="006F5E2D"/>
    <w:rsid w:val="006F5F12"/>
    <w:rsid w:val="006F5F16"/>
    <w:rsid w:val="006F646B"/>
    <w:rsid w:val="006F6863"/>
    <w:rsid w:val="006F6A7F"/>
    <w:rsid w:val="006F6B37"/>
    <w:rsid w:val="006F6F0C"/>
    <w:rsid w:val="006F6F78"/>
    <w:rsid w:val="006F7965"/>
    <w:rsid w:val="006F7C60"/>
    <w:rsid w:val="0070017A"/>
    <w:rsid w:val="007003C6"/>
    <w:rsid w:val="007004CD"/>
    <w:rsid w:val="00700576"/>
    <w:rsid w:val="00700C7E"/>
    <w:rsid w:val="0070139B"/>
    <w:rsid w:val="0070146A"/>
    <w:rsid w:val="007014CD"/>
    <w:rsid w:val="00701573"/>
    <w:rsid w:val="007019A2"/>
    <w:rsid w:val="00701A0B"/>
    <w:rsid w:val="00701E7B"/>
    <w:rsid w:val="0070220E"/>
    <w:rsid w:val="00702611"/>
    <w:rsid w:val="00702997"/>
    <w:rsid w:val="00702BE2"/>
    <w:rsid w:val="00702E2B"/>
    <w:rsid w:val="00702F90"/>
    <w:rsid w:val="00703261"/>
    <w:rsid w:val="007034BF"/>
    <w:rsid w:val="0070378E"/>
    <w:rsid w:val="0070391E"/>
    <w:rsid w:val="00703D3B"/>
    <w:rsid w:val="007045D6"/>
    <w:rsid w:val="00704624"/>
    <w:rsid w:val="0070494F"/>
    <w:rsid w:val="00704CF1"/>
    <w:rsid w:val="00704DD2"/>
    <w:rsid w:val="00705141"/>
    <w:rsid w:val="00705597"/>
    <w:rsid w:val="00705700"/>
    <w:rsid w:val="00705E24"/>
    <w:rsid w:val="00705E4B"/>
    <w:rsid w:val="00705F80"/>
    <w:rsid w:val="007061B6"/>
    <w:rsid w:val="007062A1"/>
    <w:rsid w:val="0070643C"/>
    <w:rsid w:val="00706518"/>
    <w:rsid w:val="0070652A"/>
    <w:rsid w:val="007068E1"/>
    <w:rsid w:val="007069A5"/>
    <w:rsid w:val="00706AE6"/>
    <w:rsid w:val="00707481"/>
    <w:rsid w:val="0070783E"/>
    <w:rsid w:val="00707972"/>
    <w:rsid w:val="0071011B"/>
    <w:rsid w:val="0071070B"/>
    <w:rsid w:val="00710EFE"/>
    <w:rsid w:val="007112D2"/>
    <w:rsid w:val="007112D8"/>
    <w:rsid w:val="00711498"/>
    <w:rsid w:val="00711BBB"/>
    <w:rsid w:val="00711DAD"/>
    <w:rsid w:val="00712122"/>
    <w:rsid w:val="00712570"/>
    <w:rsid w:val="007125D6"/>
    <w:rsid w:val="0071269E"/>
    <w:rsid w:val="00712B17"/>
    <w:rsid w:val="00712F8C"/>
    <w:rsid w:val="00713076"/>
    <w:rsid w:val="007137F3"/>
    <w:rsid w:val="00713B14"/>
    <w:rsid w:val="00713E41"/>
    <w:rsid w:val="00713F81"/>
    <w:rsid w:val="007140AA"/>
    <w:rsid w:val="00714327"/>
    <w:rsid w:val="00714422"/>
    <w:rsid w:val="00714529"/>
    <w:rsid w:val="00714BC9"/>
    <w:rsid w:val="00714CB0"/>
    <w:rsid w:val="00714F34"/>
    <w:rsid w:val="0071519A"/>
    <w:rsid w:val="0071536A"/>
    <w:rsid w:val="007153FD"/>
    <w:rsid w:val="00715435"/>
    <w:rsid w:val="0071566E"/>
    <w:rsid w:val="00715790"/>
    <w:rsid w:val="0071582C"/>
    <w:rsid w:val="007161C6"/>
    <w:rsid w:val="00716355"/>
    <w:rsid w:val="007166E1"/>
    <w:rsid w:val="00716D44"/>
    <w:rsid w:val="00716E50"/>
    <w:rsid w:val="00716EA6"/>
    <w:rsid w:val="00716EFB"/>
    <w:rsid w:val="00717054"/>
    <w:rsid w:val="00717310"/>
    <w:rsid w:val="00717617"/>
    <w:rsid w:val="00717893"/>
    <w:rsid w:val="0071792E"/>
    <w:rsid w:val="0071795B"/>
    <w:rsid w:val="00717ACD"/>
    <w:rsid w:val="00717CC9"/>
    <w:rsid w:val="00717F87"/>
    <w:rsid w:val="0072023D"/>
    <w:rsid w:val="00720719"/>
    <w:rsid w:val="00721516"/>
    <w:rsid w:val="007218E6"/>
    <w:rsid w:val="00721A34"/>
    <w:rsid w:val="00721EA2"/>
    <w:rsid w:val="007222ED"/>
    <w:rsid w:val="007227FD"/>
    <w:rsid w:val="00722868"/>
    <w:rsid w:val="00722CCA"/>
    <w:rsid w:val="00722E3B"/>
    <w:rsid w:val="00723533"/>
    <w:rsid w:val="00723565"/>
    <w:rsid w:val="0072357E"/>
    <w:rsid w:val="007236AA"/>
    <w:rsid w:val="00723840"/>
    <w:rsid w:val="0072476D"/>
    <w:rsid w:val="00724C2E"/>
    <w:rsid w:val="00724C77"/>
    <w:rsid w:val="00724CD6"/>
    <w:rsid w:val="00724EE3"/>
    <w:rsid w:val="0072527F"/>
    <w:rsid w:val="00725674"/>
    <w:rsid w:val="0072583E"/>
    <w:rsid w:val="00725D7A"/>
    <w:rsid w:val="00725F4D"/>
    <w:rsid w:val="00726B56"/>
    <w:rsid w:val="0072742F"/>
    <w:rsid w:val="0072753C"/>
    <w:rsid w:val="00727574"/>
    <w:rsid w:val="00727901"/>
    <w:rsid w:val="00727AB5"/>
    <w:rsid w:val="00727BA0"/>
    <w:rsid w:val="00727D14"/>
    <w:rsid w:val="00727E74"/>
    <w:rsid w:val="00727FC3"/>
    <w:rsid w:val="00727FE8"/>
    <w:rsid w:val="00730094"/>
    <w:rsid w:val="007300BB"/>
    <w:rsid w:val="0073033A"/>
    <w:rsid w:val="00730687"/>
    <w:rsid w:val="0073083C"/>
    <w:rsid w:val="007308FE"/>
    <w:rsid w:val="00730A2B"/>
    <w:rsid w:val="007310D2"/>
    <w:rsid w:val="007314C2"/>
    <w:rsid w:val="0073196A"/>
    <w:rsid w:val="00731F6C"/>
    <w:rsid w:val="00732310"/>
    <w:rsid w:val="007327F3"/>
    <w:rsid w:val="00733290"/>
    <w:rsid w:val="007332D8"/>
    <w:rsid w:val="00733867"/>
    <w:rsid w:val="0073465B"/>
    <w:rsid w:val="00735213"/>
    <w:rsid w:val="00735593"/>
    <w:rsid w:val="007357FD"/>
    <w:rsid w:val="00735A11"/>
    <w:rsid w:val="00735ACA"/>
    <w:rsid w:val="00735AE0"/>
    <w:rsid w:val="00735C5D"/>
    <w:rsid w:val="00735D90"/>
    <w:rsid w:val="007362DF"/>
    <w:rsid w:val="007367AD"/>
    <w:rsid w:val="007369B0"/>
    <w:rsid w:val="00736CDC"/>
    <w:rsid w:val="00736E44"/>
    <w:rsid w:val="007372D7"/>
    <w:rsid w:val="00737596"/>
    <w:rsid w:val="00737743"/>
    <w:rsid w:val="007379AE"/>
    <w:rsid w:val="00737B21"/>
    <w:rsid w:val="00737C35"/>
    <w:rsid w:val="00737C6C"/>
    <w:rsid w:val="00737E6C"/>
    <w:rsid w:val="00740443"/>
    <w:rsid w:val="00740733"/>
    <w:rsid w:val="00740CFC"/>
    <w:rsid w:val="007417CB"/>
    <w:rsid w:val="00741EB7"/>
    <w:rsid w:val="007424EA"/>
    <w:rsid w:val="007428B9"/>
    <w:rsid w:val="00743080"/>
    <w:rsid w:val="0074312F"/>
    <w:rsid w:val="0074367D"/>
    <w:rsid w:val="00743800"/>
    <w:rsid w:val="00743842"/>
    <w:rsid w:val="00743CAE"/>
    <w:rsid w:val="00743F21"/>
    <w:rsid w:val="00743F43"/>
    <w:rsid w:val="00743F98"/>
    <w:rsid w:val="00744312"/>
    <w:rsid w:val="00744321"/>
    <w:rsid w:val="00744519"/>
    <w:rsid w:val="0074488F"/>
    <w:rsid w:val="00744B4B"/>
    <w:rsid w:val="00744FB6"/>
    <w:rsid w:val="0074515E"/>
    <w:rsid w:val="0074517E"/>
    <w:rsid w:val="0074528A"/>
    <w:rsid w:val="00745582"/>
    <w:rsid w:val="007457A5"/>
    <w:rsid w:val="007458B6"/>
    <w:rsid w:val="007468B4"/>
    <w:rsid w:val="00746961"/>
    <w:rsid w:val="00746BA9"/>
    <w:rsid w:val="007478E1"/>
    <w:rsid w:val="00747AF1"/>
    <w:rsid w:val="00747B21"/>
    <w:rsid w:val="00747D04"/>
    <w:rsid w:val="00747D60"/>
    <w:rsid w:val="00750146"/>
    <w:rsid w:val="00750184"/>
    <w:rsid w:val="0075037C"/>
    <w:rsid w:val="00750947"/>
    <w:rsid w:val="00750D52"/>
    <w:rsid w:val="00751157"/>
    <w:rsid w:val="0075123F"/>
    <w:rsid w:val="007513BE"/>
    <w:rsid w:val="007513DF"/>
    <w:rsid w:val="00751DC2"/>
    <w:rsid w:val="00751EB8"/>
    <w:rsid w:val="0075203F"/>
    <w:rsid w:val="0075208C"/>
    <w:rsid w:val="00752824"/>
    <w:rsid w:val="00752A2E"/>
    <w:rsid w:val="00752B49"/>
    <w:rsid w:val="00752B9B"/>
    <w:rsid w:val="00752CC3"/>
    <w:rsid w:val="00752DAE"/>
    <w:rsid w:val="00752EFB"/>
    <w:rsid w:val="007537B4"/>
    <w:rsid w:val="007539A8"/>
    <w:rsid w:val="00753A93"/>
    <w:rsid w:val="00753C8C"/>
    <w:rsid w:val="00754211"/>
    <w:rsid w:val="00754C3C"/>
    <w:rsid w:val="00754EA6"/>
    <w:rsid w:val="00754F1F"/>
    <w:rsid w:val="00754F5B"/>
    <w:rsid w:val="007555DA"/>
    <w:rsid w:val="007557C6"/>
    <w:rsid w:val="00755AC2"/>
    <w:rsid w:val="00755FA0"/>
    <w:rsid w:val="00755FC4"/>
    <w:rsid w:val="007562E0"/>
    <w:rsid w:val="00756646"/>
    <w:rsid w:val="00756E2F"/>
    <w:rsid w:val="00756F03"/>
    <w:rsid w:val="00757083"/>
    <w:rsid w:val="007571C2"/>
    <w:rsid w:val="00757B6C"/>
    <w:rsid w:val="00757E70"/>
    <w:rsid w:val="00757F18"/>
    <w:rsid w:val="00760494"/>
    <w:rsid w:val="0076056F"/>
    <w:rsid w:val="00760B19"/>
    <w:rsid w:val="00760B2D"/>
    <w:rsid w:val="00760C20"/>
    <w:rsid w:val="00760C47"/>
    <w:rsid w:val="00760E24"/>
    <w:rsid w:val="007615EC"/>
    <w:rsid w:val="00761B30"/>
    <w:rsid w:val="007624AC"/>
    <w:rsid w:val="0076295F"/>
    <w:rsid w:val="00762EDB"/>
    <w:rsid w:val="007633EC"/>
    <w:rsid w:val="007634B5"/>
    <w:rsid w:val="00763541"/>
    <w:rsid w:val="00763779"/>
    <w:rsid w:val="00763AA5"/>
    <w:rsid w:val="00763D3C"/>
    <w:rsid w:val="00763FBA"/>
    <w:rsid w:val="0076400F"/>
    <w:rsid w:val="00764102"/>
    <w:rsid w:val="00764268"/>
    <w:rsid w:val="007646B5"/>
    <w:rsid w:val="007648CF"/>
    <w:rsid w:val="0076495D"/>
    <w:rsid w:val="00764A7E"/>
    <w:rsid w:val="00764BD1"/>
    <w:rsid w:val="00764FA3"/>
    <w:rsid w:val="00765274"/>
    <w:rsid w:val="007652CC"/>
    <w:rsid w:val="00765825"/>
    <w:rsid w:val="0076588F"/>
    <w:rsid w:val="00765B58"/>
    <w:rsid w:val="00765D00"/>
    <w:rsid w:val="007661C3"/>
    <w:rsid w:val="00766683"/>
    <w:rsid w:val="007667EF"/>
    <w:rsid w:val="00766970"/>
    <w:rsid w:val="007669A9"/>
    <w:rsid w:val="00767211"/>
    <w:rsid w:val="007675E0"/>
    <w:rsid w:val="00767E88"/>
    <w:rsid w:val="0077026A"/>
    <w:rsid w:val="00770294"/>
    <w:rsid w:val="00770AE0"/>
    <w:rsid w:val="00771044"/>
    <w:rsid w:val="00771B54"/>
    <w:rsid w:val="00771F6F"/>
    <w:rsid w:val="0077252F"/>
    <w:rsid w:val="00772824"/>
    <w:rsid w:val="00772892"/>
    <w:rsid w:val="00772A8F"/>
    <w:rsid w:val="00772EBE"/>
    <w:rsid w:val="0077308E"/>
    <w:rsid w:val="0077381D"/>
    <w:rsid w:val="00773B09"/>
    <w:rsid w:val="00773B8F"/>
    <w:rsid w:val="007744D2"/>
    <w:rsid w:val="00774C47"/>
    <w:rsid w:val="00775066"/>
    <w:rsid w:val="00775260"/>
    <w:rsid w:val="00775368"/>
    <w:rsid w:val="00775713"/>
    <w:rsid w:val="0077571A"/>
    <w:rsid w:val="00775B21"/>
    <w:rsid w:val="00775B30"/>
    <w:rsid w:val="0077610A"/>
    <w:rsid w:val="00776242"/>
    <w:rsid w:val="0077625C"/>
    <w:rsid w:val="00776BBF"/>
    <w:rsid w:val="00776DD5"/>
    <w:rsid w:val="007772C7"/>
    <w:rsid w:val="00780044"/>
    <w:rsid w:val="00780211"/>
    <w:rsid w:val="0078081F"/>
    <w:rsid w:val="00780A1F"/>
    <w:rsid w:val="00780B77"/>
    <w:rsid w:val="00780FC9"/>
    <w:rsid w:val="00781097"/>
    <w:rsid w:val="0078149B"/>
    <w:rsid w:val="00781732"/>
    <w:rsid w:val="00781919"/>
    <w:rsid w:val="0078219F"/>
    <w:rsid w:val="007824EC"/>
    <w:rsid w:val="007826C0"/>
    <w:rsid w:val="00782A21"/>
    <w:rsid w:val="00782E28"/>
    <w:rsid w:val="00782F71"/>
    <w:rsid w:val="007831C5"/>
    <w:rsid w:val="007835AF"/>
    <w:rsid w:val="007835D4"/>
    <w:rsid w:val="007837DF"/>
    <w:rsid w:val="00783809"/>
    <w:rsid w:val="00783888"/>
    <w:rsid w:val="00783A5B"/>
    <w:rsid w:val="00783AAF"/>
    <w:rsid w:val="007840F7"/>
    <w:rsid w:val="007843E1"/>
    <w:rsid w:val="00784808"/>
    <w:rsid w:val="007848E1"/>
    <w:rsid w:val="007849F2"/>
    <w:rsid w:val="00784C49"/>
    <w:rsid w:val="00784C89"/>
    <w:rsid w:val="00784D98"/>
    <w:rsid w:val="0078570D"/>
    <w:rsid w:val="00785EB2"/>
    <w:rsid w:val="00785F87"/>
    <w:rsid w:val="0078602E"/>
    <w:rsid w:val="00786591"/>
    <w:rsid w:val="00786603"/>
    <w:rsid w:val="00786870"/>
    <w:rsid w:val="00786CC0"/>
    <w:rsid w:val="00786ED4"/>
    <w:rsid w:val="007871B9"/>
    <w:rsid w:val="00787C95"/>
    <w:rsid w:val="0079036B"/>
    <w:rsid w:val="00790516"/>
    <w:rsid w:val="007906FF"/>
    <w:rsid w:val="00791481"/>
    <w:rsid w:val="007914B5"/>
    <w:rsid w:val="007918DC"/>
    <w:rsid w:val="00791923"/>
    <w:rsid w:val="00791942"/>
    <w:rsid w:val="00791DC9"/>
    <w:rsid w:val="00791ECF"/>
    <w:rsid w:val="00792036"/>
    <w:rsid w:val="007922A5"/>
    <w:rsid w:val="007923A2"/>
    <w:rsid w:val="00792842"/>
    <w:rsid w:val="007929AC"/>
    <w:rsid w:val="00792BD2"/>
    <w:rsid w:val="00792EFC"/>
    <w:rsid w:val="00792F68"/>
    <w:rsid w:val="00793042"/>
    <w:rsid w:val="007931C9"/>
    <w:rsid w:val="0079356F"/>
    <w:rsid w:val="00793A31"/>
    <w:rsid w:val="00793AAE"/>
    <w:rsid w:val="00793E59"/>
    <w:rsid w:val="007944D8"/>
    <w:rsid w:val="00794B47"/>
    <w:rsid w:val="00794F19"/>
    <w:rsid w:val="0079509B"/>
    <w:rsid w:val="00795CAA"/>
    <w:rsid w:val="00795CBE"/>
    <w:rsid w:val="00795CEE"/>
    <w:rsid w:val="0079628A"/>
    <w:rsid w:val="0079677C"/>
    <w:rsid w:val="007967B9"/>
    <w:rsid w:val="00796954"/>
    <w:rsid w:val="00796AC8"/>
    <w:rsid w:val="00796F9F"/>
    <w:rsid w:val="007970AA"/>
    <w:rsid w:val="00797355"/>
    <w:rsid w:val="00797386"/>
    <w:rsid w:val="00797719"/>
    <w:rsid w:val="007978AE"/>
    <w:rsid w:val="00797B83"/>
    <w:rsid w:val="007A03D1"/>
    <w:rsid w:val="007A0A6A"/>
    <w:rsid w:val="007A0AFC"/>
    <w:rsid w:val="007A0D0D"/>
    <w:rsid w:val="007A107B"/>
    <w:rsid w:val="007A1307"/>
    <w:rsid w:val="007A1426"/>
    <w:rsid w:val="007A1B31"/>
    <w:rsid w:val="007A1C0B"/>
    <w:rsid w:val="007A2136"/>
    <w:rsid w:val="007A23DA"/>
    <w:rsid w:val="007A2936"/>
    <w:rsid w:val="007A2EAF"/>
    <w:rsid w:val="007A2F04"/>
    <w:rsid w:val="007A362C"/>
    <w:rsid w:val="007A394C"/>
    <w:rsid w:val="007A406B"/>
    <w:rsid w:val="007A4343"/>
    <w:rsid w:val="007A4953"/>
    <w:rsid w:val="007A4B8A"/>
    <w:rsid w:val="007A513E"/>
    <w:rsid w:val="007A57DE"/>
    <w:rsid w:val="007A5A3C"/>
    <w:rsid w:val="007A5CB0"/>
    <w:rsid w:val="007A5CBC"/>
    <w:rsid w:val="007A6221"/>
    <w:rsid w:val="007A66E8"/>
    <w:rsid w:val="007A6836"/>
    <w:rsid w:val="007A68BD"/>
    <w:rsid w:val="007A68E8"/>
    <w:rsid w:val="007A6B41"/>
    <w:rsid w:val="007A6E73"/>
    <w:rsid w:val="007A7403"/>
    <w:rsid w:val="007A74A9"/>
    <w:rsid w:val="007A7B7D"/>
    <w:rsid w:val="007A7B96"/>
    <w:rsid w:val="007B0480"/>
    <w:rsid w:val="007B0567"/>
    <w:rsid w:val="007B0595"/>
    <w:rsid w:val="007B092E"/>
    <w:rsid w:val="007B12F3"/>
    <w:rsid w:val="007B159A"/>
    <w:rsid w:val="007B1702"/>
    <w:rsid w:val="007B25B4"/>
    <w:rsid w:val="007B2791"/>
    <w:rsid w:val="007B2B2C"/>
    <w:rsid w:val="007B2DC7"/>
    <w:rsid w:val="007B376E"/>
    <w:rsid w:val="007B3D90"/>
    <w:rsid w:val="007B3F70"/>
    <w:rsid w:val="007B3FDC"/>
    <w:rsid w:val="007B42CA"/>
    <w:rsid w:val="007B4597"/>
    <w:rsid w:val="007B46F7"/>
    <w:rsid w:val="007B49A7"/>
    <w:rsid w:val="007B4A9A"/>
    <w:rsid w:val="007B4B16"/>
    <w:rsid w:val="007B4E2E"/>
    <w:rsid w:val="007B5209"/>
    <w:rsid w:val="007B52BE"/>
    <w:rsid w:val="007B618C"/>
    <w:rsid w:val="007B6649"/>
    <w:rsid w:val="007B68B7"/>
    <w:rsid w:val="007B6C58"/>
    <w:rsid w:val="007B6F73"/>
    <w:rsid w:val="007B7637"/>
    <w:rsid w:val="007B7712"/>
    <w:rsid w:val="007B771D"/>
    <w:rsid w:val="007B780B"/>
    <w:rsid w:val="007B7D09"/>
    <w:rsid w:val="007B7DED"/>
    <w:rsid w:val="007C05A5"/>
    <w:rsid w:val="007C0EE4"/>
    <w:rsid w:val="007C0F96"/>
    <w:rsid w:val="007C1499"/>
    <w:rsid w:val="007C1905"/>
    <w:rsid w:val="007C192C"/>
    <w:rsid w:val="007C1C7D"/>
    <w:rsid w:val="007C1D3E"/>
    <w:rsid w:val="007C1E5D"/>
    <w:rsid w:val="007C1E7A"/>
    <w:rsid w:val="007C2227"/>
    <w:rsid w:val="007C23BD"/>
    <w:rsid w:val="007C258B"/>
    <w:rsid w:val="007C259F"/>
    <w:rsid w:val="007C2E38"/>
    <w:rsid w:val="007C392C"/>
    <w:rsid w:val="007C3E10"/>
    <w:rsid w:val="007C40C3"/>
    <w:rsid w:val="007C486D"/>
    <w:rsid w:val="007C4942"/>
    <w:rsid w:val="007C4D16"/>
    <w:rsid w:val="007C500F"/>
    <w:rsid w:val="007C50A0"/>
    <w:rsid w:val="007C53BE"/>
    <w:rsid w:val="007C549C"/>
    <w:rsid w:val="007C5559"/>
    <w:rsid w:val="007C62A0"/>
    <w:rsid w:val="007C63EE"/>
    <w:rsid w:val="007C6769"/>
    <w:rsid w:val="007C69A2"/>
    <w:rsid w:val="007C6C25"/>
    <w:rsid w:val="007C6C73"/>
    <w:rsid w:val="007C77E4"/>
    <w:rsid w:val="007C7841"/>
    <w:rsid w:val="007C791B"/>
    <w:rsid w:val="007C7D66"/>
    <w:rsid w:val="007C7D8E"/>
    <w:rsid w:val="007D0172"/>
    <w:rsid w:val="007D0A7F"/>
    <w:rsid w:val="007D0CB5"/>
    <w:rsid w:val="007D0D92"/>
    <w:rsid w:val="007D0E5A"/>
    <w:rsid w:val="007D1071"/>
    <w:rsid w:val="007D172A"/>
    <w:rsid w:val="007D1972"/>
    <w:rsid w:val="007D21D5"/>
    <w:rsid w:val="007D2AA0"/>
    <w:rsid w:val="007D2DFE"/>
    <w:rsid w:val="007D2F58"/>
    <w:rsid w:val="007D317C"/>
    <w:rsid w:val="007D3363"/>
    <w:rsid w:val="007D3725"/>
    <w:rsid w:val="007D3740"/>
    <w:rsid w:val="007D3CC1"/>
    <w:rsid w:val="007D3DD7"/>
    <w:rsid w:val="007D3FA3"/>
    <w:rsid w:val="007D40D9"/>
    <w:rsid w:val="007D4C16"/>
    <w:rsid w:val="007D552C"/>
    <w:rsid w:val="007D5703"/>
    <w:rsid w:val="007D5821"/>
    <w:rsid w:val="007D59AE"/>
    <w:rsid w:val="007D5BF8"/>
    <w:rsid w:val="007D5DB1"/>
    <w:rsid w:val="007D5E2A"/>
    <w:rsid w:val="007D5E7C"/>
    <w:rsid w:val="007D635A"/>
    <w:rsid w:val="007D64E1"/>
    <w:rsid w:val="007D7021"/>
    <w:rsid w:val="007D7758"/>
    <w:rsid w:val="007D7928"/>
    <w:rsid w:val="007D79B4"/>
    <w:rsid w:val="007D7DF3"/>
    <w:rsid w:val="007E004B"/>
    <w:rsid w:val="007E0282"/>
    <w:rsid w:val="007E040B"/>
    <w:rsid w:val="007E05F5"/>
    <w:rsid w:val="007E08D9"/>
    <w:rsid w:val="007E09AE"/>
    <w:rsid w:val="007E0D54"/>
    <w:rsid w:val="007E1375"/>
    <w:rsid w:val="007E16D6"/>
    <w:rsid w:val="007E1879"/>
    <w:rsid w:val="007E1D1C"/>
    <w:rsid w:val="007E1E1D"/>
    <w:rsid w:val="007E28F0"/>
    <w:rsid w:val="007E2B7B"/>
    <w:rsid w:val="007E2BC8"/>
    <w:rsid w:val="007E3067"/>
    <w:rsid w:val="007E31C7"/>
    <w:rsid w:val="007E324E"/>
    <w:rsid w:val="007E3270"/>
    <w:rsid w:val="007E46DB"/>
    <w:rsid w:val="007E4764"/>
    <w:rsid w:val="007E4E2B"/>
    <w:rsid w:val="007E4ED3"/>
    <w:rsid w:val="007E5233"/>
    <w:rsid w:val="007E52DF"/>
    <w:rsid w:val="007E581D"/>
    <w:rsid w:val="007E5BFC"/>
    <w:rsid w:val="007E5C7D"/>
    <w:rsid w:val="007E63A0"/>
    <w:rsid w:val="007E6461"/>
    <w:rsid w:val="007E6A88"/>
    <w:rsid w:val="007E705D"/>
    <w:rsid w:val="007E70E9"/>
    <w:rsid w:val="007E72D9"/>
    <w:rsid w:val="007E740C"/>
    <w:rsid w:val="007E75D4"/>
    <w:rsid w:val="007E761C"/>
    <w:rsid w:val="007E79DB"/>
    <w:rsid w:val="007F0366"/>
    <w:rsid w:val="007F0492"/>
    <w:rsid w:val="007F098A"/>
    <w:rsid w:val="007F0B04"/>
    <w:rsid w:val="007F0E96"/>
    <w:rsid w:val="007F1316"/>
    <w:rsid w:val="007F1353"/>
    <w:rsid w:val="007F1951"/>
    <w:rsid w:val="007F1AAF"/>
    <w:rsid w:val="007F1FCF"/>
    <w:rsid w:val="007F208A"/>
    <w:rsid w:val="007F25EF"/>
    <w:rsid w:val="007F28C0"/>
    <w:rsid w:val="007F2A8F"/>
    <w:rsid w:val="007F2B06"/>
    <w:rsid w:val="007F2EB5"/>
    <w:rsid w:val="007F2F29"/>
    <w:rsid w:val="007F2FA6"/>
    <w:rsid w:val="007F32DE"/>
    <w:rsid w:val="007F3345"/>
    <w:rsid w:val="007F3CC2"/>
    <w:rsid w:val="007F441A"/>
    <w:rsid w:val="007F4711"/>
    <w:rsid w:val="007F4CAB"/>
    <w:rsid w:val="007F51F0"/>
    <w:rsid w:val="007F5456"/>
    <w:rsid w:val="007F58A9"/>
    <w:rsid w:val="007F6EFC"/>
    <w:rsid w:val="007F7015"/>
    <w:rsid w:val="007F7E07"/>
    <w:rsid w:val="007F7F18"/>
    <w:rsid w:val="00800088"/>
    <w:rsid w:val="00800443"/>
    <w:rsid w:val="00800940"/>
    <w:rsid w:val="00800DA0"/>
    <w:rsid w:val="00800F05"/>
    <w:rsid w:val="00800F33"/>
    <w:rsid w:val="0080135B"/>
    <w:rsid w:val="00801624"/>
    <w:rsid w:val="00801B3B"/>
    <w:rsid w:val="00801BEB"/>
    <w:rsid w:val="00801C7B"/>
    <w:rsid w:val="00801D96"/>
    <w:rsid w:val="00801E03"/>
    <w:rsid w:val="00802214"/>
    <w:rsid w:val="00802C04"/>
    <w:rsid w:val="00802C4A"/>
    <w:rsid w:val="00802D80"/>
    <w:rsid w:val="00803237"/>
    <w:rsid w:val="00803252"/>
    <w:rsid w:val="0080374D"/>
    <w:rsid w:val="00803BAA"/>
    <w:rsid w:val="00804553"/>
    <w:rsid w:val="00804B8B"/>
    <w:rsid w:val="00804BAE"/>
    <w:rsid w:val="008054E8"/>
    <w:rsid w:val="00805654"/>
    <w:rsid w:val="008056B5"/>
    <w:rsid w:val="0080597D"/>
    <w:rsid w:val="00805A2A"/>
    <w:rsid w:val="00805C70"/>
    <w:rsid w:val="00805C7A"/>
    <w:rsid w:val="00805CC4"/>
    <w:rsid w:val="00806064"/>
    <w:rsid w:val="00806273"/>
    <w:rsid w:val="008067A8"/>
    <w:rsid w:val="00806D2C"/>
    <w:rsid w:val="00806DA3"/>
    <w:rsid w:val="008070BF"/>
    <w:rsid w:val="008073BE"/>
    <w:rsid w:val="008078C9"/>
    <w:rsid w:val="00807AA8"/>
    <w:rsid w:val="00807AA9"/>
    <w:rsid w:val="00807B99"/>
    <w:rsid w:val="00807E3B"/>
    <w:rsid w:val="0081002C"/>
    <w:rsid w:val="00810078"/>
    <w:rsid w:val="008100A1"/>
    <w:rsid w:val="008101AC"/>
    <w:rsid w:val="008104BC"/>
    <w:rsid w:val="00810578"/>
    <w:rsid w:val="008105B9"/>
    <w:rsid w:val="008108F0"/>
    <w:rsid w:val="00810A93"/>
    <w:rsid w:val="00810E6B"/>
    <w:rsid w:val="00810FBD"/>
    <w:rsid w:val="008115E0"/>
    <w:rsid w:val="0081163E"/>
    <w:rsid w:val="008117DB"/>
    <w:rsid w:val="00811844"/>
    <w:rsid w:val="00811907"/>
    <w:rsid w:val="00811BEA"/>
    <w:rsid w:val="00811FC1"/>
    <w:rsid w:val="00812CFC"/>
    <w:rsid w:val="00812DEC"/>
    <w:rsid w:val="00813101"/>
    <w:rsid w:val="008133DF"/>
    <w:rsid w:val="00813759"/>
    <w:rsid w:val="00813F13"/>
    <w:rsid w:val="0081417B"/>
    <w:rsid w:val="00814522"/>
    <w:rsid w:val="00814596"/>
    <w:rsid w:val="00814674"/>
    <w:rsid w:val="00814ACE"/>
    <w:rsid w:val="00814D65"/>
    <w:rsid w:val="00814D9E"/>
    <w:rsid w:val="00814EC1"/>
    <w:rsid w:val="00814F78"/>
    <w:rsid w:val="008151D3"/>
    <w:rsid w:val="00815630"/>
    <w:rsid w:val="00815673"/>
    <w:rsid w:val="008159C5"/>
    <w:rsid w:val="00815A58"/>
    <w:rsid w:val="00815BBD"/>
    <w:rsid w:val="00815F85"/>
    <w:rsid w:val="0081648D"/>
    <w:rsid w:val="0081658A"/>
    <w:rsid w:val="008165B3"/>
    <w:rsid w:val="008165EA"/>
    <w:rsid w:val="00817B55"/>
    <w:rsid w:val="00817CD6"/>
    <w:rsid w:val="00817EF5"/>
    <w:rsid w:val="00820429"/>
    <w:rsid w:val="0082063C"/>
    <w:rsid w:val="00820647"/>
    <w:rsid w:val="00820899"/>
    <w:rsid w:val="00820D74"/>
    <w:rsid w:val="00820DE6"/>
    <w:rsid w:val="00820DFD"/>
    <w:rsid w:val="00820F4D"/>
    <w:rsid w:val="00820FBF"/>
    <w:rsid w:val="00821187"/>
    <w:rsid w:val="00821329"/>
    <w:rsid w:val="00821421"/>
    <w:rsid w:val="00821469"/>
    <w:rsid w:val="00821837"/>
    <w:rsid w:val="00821A22"/>
    <w:rsid w:val="00821AB5"/>
    <w:rsid w:val="008226B5"/>
    <w:rsid w:val="008232B4"/>
    <w:rsid w:val="008235B7"/>
    <w:rsid w:val="00823658"/>
    <w:rsid w:val="008238F7"/>
    <w:rsid w:val="00823B1B"/>
    <w:rsid w:val="00823CB5"/>
    <w:rsid w:val="00823CC7"/>
    <w:rsid w:val="00824166"/>
    <w:rsid w:val="0082454A"/>
    <w:rsid w:val="008246A3"/>
    <w:rsid w:val="00824949"/>
    <w:rsid w:val="00824FC2"/>
    <w:rsid w:val="0082508B"/>
    <w:rsid w:val="00825169"/>
    <w:rsid w:val="008251DC"/>
    <w:rsid w:val="00825C68"/>
    <w:rsid w:val="008261A8"/>
    <w:rsid w:val="00826554"/>
    <w:rsid w:val="00826AA2"/>
    <w:rsid w:val="00826B6B"/>
    <w:rsid w:val="00826DC1"/>
    <w:rsid w:val="00826E64"/>
    <w:rsid w:val="0082758F"/>
    <w:rsid w:val="00827600"/>
    <w:rsid w:val="00827861"/>
    <w:rsid w:val="00827E5C"/>
    <w:rsid w:val="0083000B"/>
    <w:rsid w:val="00830850"/>
    <w:rsid w:val="00830A49"/>
    <w:rsid w:val="00830CDF"/>
    <w:rsid w:val="00830D12"/>
    <w:rsid w:val="00831037"/>
    <w:rsid w:val="008313B5"/>
    <w:rsid w:val="00831EAD"/>
    <w:rsid w:val="00832432"/>
    <w:rsid w:val="00832521"/>
    <w:rsid w:val="0083265E"/>
    <w:rsid w:val="0083290E"/>
    <w:rsid w:val="00832A52"/>
    <w:rsid w:val="00833275"/>
    <w:rsid w:val="008334D2"/>
    <w:rsid w:val="008335FD"/>
    <w:rsid w:val="008338B3"/>
    <w:rsid w:val="008338DB"/>
    <w:rsid w:val="00833DD5"/>
    <w:rsid w:val="0083407B"/>
    <w:rsid w:val="008341E6"/>
    <w:rsid w:val="00834253"/>
    <w:rsid w:val="00834DFC"/>
    <w:rsid w:val="0083553E"/>
    <w:rsid w:val="0083554D"/>
    <w:rsid w:val="00835CC3"/>
    <w:rsid w:val="0083611F"/>
    <w:rsid w:val="008361E8"/>
    <w:rsid w:val="008369B1"/>
    <w:rsid w:val="00836A00"/>
    <w:rsid w:val="008378F4"/>
    <w:rsid w:val="008379D8"/>
    <w:rsid w:val="00837CB5"/>
    <w:rsid w:val="00837D51"/>
    <w:rsid w:val="00837EC7"/>
    <w:rsid w:val="00837F69"/>
    <w:rsid w:val="00840241"/>
    <w:rsid w:val="0084034F"/>
    <w:rsid w:val="00840809"/>
    <w:rsid w:val="008411AE"/>
    <w:rsid w:val="008411D6"/>
    <w:rsid w:val="0084131B"/>
    <w:rsid w:val="00841587"/>
    <w:rsid w:val="00841AD0"/>
    <w:rsid w:val="00841BE4"/>
    <w:rsid w:val="00842397"/>
    <w:rsid w:val="00842721"/>
    <w:rsid w:val="00842CB8"/>
    <w:rsid w:val="0084333A"/>
    <w:rsid w:val="008439E3"/>
    <w:rsid w:val="00844989"/>
    <w:rsid w:val="00845269"/>
    <w:rsid w:val="008452D4"/>
    <w:rsid w:val="008452DC"/>
    <w:rsid w:val="00845540"/>
    <w:rsid w:val="008459E7"/>
    <w:rsid w:val="00845BA0"/>
    <w:rsid w:val="00845DAC"/>
    <w:rsid w:val="008462E8"/>
    <w:rsid w:val="0084669B"/>
    <w:rsid w:val="00846D54"/>
    <w:rsid w:val="00846F8A"/>
    <w:rsid w:val="008471CD"/>
    <w:rsid w:val="00847623"/>
    <w:rsid w:val="008479D9"/>
    <w:rsid w:val="00847C00"/>
    <w:rsid w:val="00850698"/>
    <w:rsid w:val="0085075E"/>
    <w:rsid w:val="00850B44"/>
    <w:rsid w:val="00850F67"/>
    <w:rsid w:val="008511B2"/>
    <w:rsid w:val="00851398"/>
    <w:rsid w:val="008514AF"/>
    <w:rsid w:val="008515BA"/>
    <w:rsid w:val="008517E6"/>
    <w:rsid w:val="008519CE"/>
    <w:rsid w:val="00851A6D"/>
    <w:rsid w:val="00851AC3"/>
    <w:rsid w:val="00852907"/>
    <w:rsid w:val="008538DA"/>
    <w:rsid w:val="0085394D"/>
    <w:rsid w:val="00853C58"/>
    <w:rsid w:val="00853F69"/>
    <w:rsid w:val="00854395"/>
    <w:rsid w:val="0085454D"/>
    <w:rsid w:val="00854A0B"/>
    <w:rsid w:val="00854B25"/>
    <w:rsid w:val="00854C9D"/>
    <w:rsid w:val="008550E4"/>
    <w:rsid w:val="008551E4"/>
    <w:rsid w:val="00855719"/>
    <w:rsid w:val="00855A01"/>
    <w:rsid w:val="00856087"/>
    <w:rsid w:val="008567BA"/>
    <w:rsid w:val="0085689E"/>
    <w:rsid w:val="00856A63"/>
    <w:rsid w:val="00856C7C"/>
    <w:rsid w:val="00857169"/>
    <w:rsid w:val="008573E6"/>
    <w:rsid w:val="008579E1"/>
    <w:rsid w:val="0086027D"/>
    <w:rsid w:val="008603FA"/>
    <w:rsid w:val="008605A3"/>
    <w:rsid w:val="0086070D"/>
    <w:rsid w:val="00860948"/>
    <w:rsid w:val="00860F9C"/>
    <w:rsid w:val="008616B7"/>
    <w:rsid w:val="00861902"/>
    <w:rsid w:val="00861F2F"/>
    <w:rsid w:val="008622A4"/>
    <w:rsid w:val="008622F8"/>
    <w:rsid w:val="0086249B"/>
    <w:rsid w:val="00862531"/>
    <w:rsid w:val="00862E73"/>
    <w:rsid w:val="0086322D"/>
    <w:rsid w:val="008633E8"/>
    <w:rsid w:val="00863694"/>
    <w:rsid w:val="00863813"/>
    <w:rsid w:val="0086385D"/>
    <w:rsid w:val="00863FB0"/>
    <w:rsid w:val="008645A8"/>
    <w:rsid w:val="00864B74"/>
    <w:rsid w:val="00864BE3"/>
    <w:rsid w:val="00864CF7"/>
    <w:rsid w:val="0086529F"/>
    <w:rsid w:val="00865413"/>
    <w:rsid w:val="00865AE1"/>
    <w:rsid w:val="00865C8D"/>
    <w:rsid w:val="00865D2C"/>
    <w:rsid w:val="00865DA7"/>
    <w:rsid w:val="00865DBB"/>
    <w:rsid w:val="00866367"/>
    <w:rsid w:val="008665F4"/>
    <w:rsid w:val="00866660"/>
    <w:rsid w:val="00866A39"/>
    <w:rsid w:val="00866F61"/>
    <w:rsid w:val="00867066"/>
    <w:rsid w:val="008671A1"/>
    <w:rsid w:val="008672FC"/>
    <w:rsid w:val="00867786"/>
    <w:rsid w:val="00867A3D"/>
    <w:rsid w:val="00867A91"/>
    <w:rsid w:val="00867C78"/>
    <w:rsid w:val="00867DA9"/>
    <w:rsid w:val="00867DD6"/>
    <w:rsid w:val="008705F4"/>
    <w:rsid w:val="008709E3"/>
    <w:rsid w:val="00870D61"/>
    <w:rsid w:val="00870E5F"/>
    <w:rsid w:val="00870E7F"/>
    <w:rsid w:val="008710DD"/>
    <w:rsid w:val="008710F8"/>
    <w:rsid w:val="00871518"/>
    <w:rsid w:val="00871A1B"/>
    <w:rsid w:val="00871B47"/>
    <w:rsid w:val="00871CA7"/>
    <w:rsid w:val="00871D12"/>
    <w:rsid w:val="00871E76"/>
    <w:rsid w:val="008720C1"/>
    <w:rsid w:val="0087213E"/>
    <w:rsid w:val="008722A0"/>
    <w:rsid w:val="008728BF"/>
    <w:rsid w:val="00872A7C"/>
    <w:rsid w:val="00873087"/>
    <w:rsid w:val="008732E4"/>
    <w:rsid w:val="0087330C"/>
    <w:rsid w:val="008734BA"/>
    <w:rsid w:val="008736AE"/>
    <w:rsid w:val="0087385D"/>
    <w:rsid w:val="008738C6"/>
    <w:rsid w:val="0087397B"/>
    <w:rsid w:val="00873AAB"/>
    <w:rsid w:val="00873CC8"/>
    <w:rsid w:val="00873EB8"/>
    <w:rsid w:val="00873F2D"/>
    <w:rsid w:val="00874379"/>
    <w:rsid w:val="0087547F"/>
    <w:rsid w:val="0087552C"/>
    <w:rsid w:val="0087593F"/>
    <w:rsid w:val="00875D5F"/>
    <w:rsid w:val="00875DBB"/>
    <w:rsid w:val="008762D9"/>
    <w:rsid w:val="00876851"/>
    <w:rsid w:val="00876D6A"/>
    <w:rsid w:val="008773D2"/>
    <w:rsid w:val="00880951"/>
    <w:rsid w:val="00880B27"/>
    <w:rsid w:val="00880C41"/>
    <w:rsid w:val="00881121"/>
    <w:rsid w:val="008814EF"/>
    <w:rsid w:val="008818BD"/>
    <w:rsid w:val="008818FD"/>
    <w:rsid w:val="00881AC7"/>
    <w:rsid w:val="00881F03"/>
    <w:rsid w:val="00881F0C"/>
    <w:rsid w:val="00881FF0"/>
    <w:rsid w:val="00882233"/>
    <w:rsid w:val="00882289"/>
    <w:rsid w:val="0088228E"/>
    <w:rsid w:val="008824A7"/>
    <w:rsid w:val="00882844"/>
    <w:rsid w:val="008835DB"/>
    <w:rsid w:val="0088385B"/>
    <w:rsid w:val="00883E79"/>
    <w:rsid w:val="00883EC8"/>
    <w:rsid w:val="00883F04"/>
    <w:rsid w:val="008842BC"/>
    <w:rsid w:val="00884323"/>
    <w:rsid w:val="00884399"/>
    <w:rsid w:val="008844FD"/>
    <w:rsid w:val="00884ACB"/>
    <w:rsid w:val="00884E22"/>
    <w:rsid w:val="00884F47"/>
    <w:rsid w:val="00885116"/>
    <w:rsid w:val="008851E2"/>
    <w:rsid w:val="008853B6"/>
    <w:rsid w:val="008854FA"/>
    <w:rsid w:val="00886058"/>
    <w:rsid w:val="00886395"/>
    <w:rsid w:val="00886583"/>
    <w:rsid w:val="008868F1"/>
    <w:rsid w:val="00886B56"/>
    <w:rsid w:val="008871F2"/>
    <w:rsid w:val="00887452"/>
    <w:rsid w:val="0088777F"/>
    <w:rsid w:val="00887AB3"/>
    <w:rsid w:val="00887BA2"/>
    <w:rsid w:val="00887F22"/>
    <w:rsid w:val="00887F88"/>
    <w:rsid w:val="00890191"/>
    <w:rsid w:val="00890D0E"/>
    <w:rsid w:val="00890E03"/>
    <w:rsid w:val="00890EDB"/>
    <w:rsid w:val="00891697"/>
    <w:rsid w:val="008918AD"/>
    <w:rsid w:val="00891DCE"/>
    <w:rsid w:val="00891E4E"/>
    <w:rsid w:val="00891FD2"/>
    <w:rsid w:val="0089252E"/>
    <w:rsid w:val="008926F5"/>
    <w:rsid w:val="00892B21"/>
    <w:rsid w:val="008936BC"/>
    <w:rsid w:val="00893C05"/>
    <w:rsid w:val="00893E0B"/>
    <w:rsid w:val="00894346"/>
    <w:rsid w:val="0089511F"/>
    <w:rsid w:val="00895ABC"/>
    <w:rsid w:val="00896A84"/>
    <w:rsid w:val="00896CC2"/>
    <w:rsid w:val="00897531"/>
    <w:rsid w:val="0089779E"/>
    <w:rsid w:val="008977A5"/>
    <w:rsid w:val="00897802"/>
    <w:rsid w:val="00897913"/>
    <w:rsid w:val="00897F0E"/>
    <w:rsid w:val="008A02D5"/>
    <w:rsid w:val="008A03A4"/>
    <w:rsid w:val="008A045A"/>
    <w:rsid w:val="008A070D"/>
    <w:rsid w:val="008A14E2"/>
    <w:rsid w:val="008A1A31"/>
    <w:rsid w:val="008A1C29"/>
    <w:rsid w:val="008A1EFA"/>
    <w:rsid w:val="008A202F"/>
    <w:rsid w:val="008A22DC"/>
    <w:rsid w:val="008A284C"/>
    <w:rsid w:val="008A2910"/>
    <w:rsid w:val="008A2CD3"/>
    <w:rsid w:val="008A2E01"/>
    <w:rsid w:val="008A30B7"/>
    <w:rsid w:val="008A32A5"/>
    <w:rsid w:val="008A3BBD"/>
    <w:rsid w:val="008A3C12"/>
    <w:rsid w:val="008A3D89"/>
    <w:rsid w:val="008A415B"/>
    <w:rsid w:val="008A41DB"/>
    <w:rsid w:val="008A42F6"/>
    <w:rsid w:val="008A4D14"/>
    <w:rsid w:val="008A5903"/>
    <w:rsid w:val="008A5EF2"/>
    <w:rsid w:val="008A6C26"/>
    <w:rsid w:val="008A6D1B"/>
    <w:rsid w:val="008A6D7C"/>
    <w:rsid w:val="008A7141"/>
    <w:rsid w:val="008A7372"/>
    <w:rsid w:val="008A73A8"/>
    <w:rsid w:val="008A75E6"/>
    <w:rsid w:val="008A7A4B"/>
    <w:rsid w:val="008A7A50"/>
    <w:rsid w:val="008A7CCB"/>
    <w:rsid w:val="008B02DE"/>
    <w:rsid w:val="008B036E"/>
    <w:rsid w:val="008B069B"/>
    <w:rsid w:val="008B07E9"/>
    <w:rsid w:val="008B09A5"/>
    <w:rsid w:val="008B0A6B"/>
    <w:rsid w:val="008B1139"/>
    <w:rsid w:val="008B152F"/>
    <w:rsid w:val="008B1998"/>
    <w:rsid w:val="008B1DC6"/>
    <w:rsid w:val="008B25B5"/>
    <w:rsid w:val="008B352B"/>
    <w:rsid w:val="008B3659"/>
    <w:rsid w:val="008B3781"/>
    <w:rsid w:val="008B3B3A"/>
    <w:rsid w:val="008B4304"/>
    <w:rsid w:val="008B4999"/>
    <w:rsid w:val="008B4C78"/>
    <w:rsid w:val="008B4D4D"/>
    <w:rsid w:val="008B51C7"/>
    <w:rsid w:val="008B54F1"/>
    <w:rsid w:val="008B550C"/>
    <w:rsid w:val="008B5695"/>
    <w:rsid w:val="008B5BDB"/>
    <w:rsid w:val="008B5DC2"/>
    <w:rsid w:val="008B5E8C"/>
    <w:rsid w:val="008B65C0"/>
    <w:rsid w:val="008B6718"/>
    <w:rsid w:val="008B6AF4"/>
    <w:rsid w:val="008B6D21"/>
    <w:rsid w:val="008B6E13"/>
    <w:rsid w:val="008B6E8B"/>
    <w:rsid w:val="008B7699"/>
    <w:rsid w:val="008B7771"/>
    <w:rsid w:val="008C0BA8"/>
    <w:rsid w:val="008C1037"/>
    <w:rsid w:val="008C14F6"/>
    <w:rsid w:val="008C1628"/>
    <w:rsid w:val="008C1943"/>
    <w:rsid w:val="008C1BA6"/>
    <w:rsid w:val="008C1C63"/>
    <w:rsid w:val="008C1C7B"/>
    <w:rsid w:val="008C1CC7"/>
    <w:rsid w:val="008C1EBB"/>
    <w:rsid w:val="008C1FC0"/>
    <w:rsid w:val="008C1FC8"/>
    <w:rsid w:val="008C2331"/>
    <w:rsid w:val="008C25A5"/>
    <w:rsid w:val="008C278F"/>
    <w:rsid w:val="008C2DD1"/>
    <w:rsid w:val="008C2F07"/>
    <w:rsid w:val="008C309F"/>
    <w:rsid w:val="008C3199"/>
    <w:rsid w:val="008C3979"/>
    <w:rsid w:val="008C3AB9"/>
    <w:rsid w:val="008C3BB2"/>
    <w:rsid w:val="008C4192"/>
    <w:rsid w:val="008C428A"/>
    <w:rsid w:val="008C45DC"/>
    <w:rsid w:val="008C4B7A"/>
    <w:rsid w:val="008C4C20"/>
    <w:rsid w:val="008C532E"/>
    <w:rsid w:val="008C57CE"/>
    <w:rsid w:val="008C5842"/>
    <w:rsid w:val="008C5907"/>
    <w:rsid w:val="008C6980"/>
    <w:rsid w:val="008C6A8A"/>
    <w:rsid w:val="008C6B57"/>
    <w:rsid w:val="008C6B8C"/>
    <w:rsid w:val="008C6D66"/>
    <w:rsid w:val="008C70D4"/>
    <w:rsid w:val="008C7562"/>
    <w:rsid w:val="008C7865"/>
    <w:rsid w:val="008C7B0B"/>
    <w:rsid w:val="008D0333"/>
    <w:rsid w:val="008D0556"/>
    <w:rsid w:val="008D06C6"/>
    <w:rsid w:val="008D0D62"/>
    <w:rsid w:val="008D12AF"/>
    <w:rsid w:val="008D12F1"/>
    <w:rsid w:val="008D15C6"/>
    <w:rsid w:val="008D165F"/>
    <w:rsid w:val="008D1D97"/>
    <w:rsid w:val="008D2120"/>
    <w:rsid w:val="008D21B3"/>
    <w:rsid w:val="008D276B"/>
    <w:rsid w:val="008D318B"/>
    <w:rsid w:val="008D36EA"/>
    <w:rsid w:val="008D3743"/>
    <w:rsid w:val="008D3779"/>
    <w:rsid w:val="008D3D44"/>
    <w:rsid w:val="008D4056"/>
    <w:rsid w:val="008D4065"/>
    <w:rsid w:val="008D414B"/>
    <w:rsid w:val="008D4681"/>
    <w:rsid w:val="008D4945"/>
    <w:rsid w:val="008D4C00"/>
    <w:rsid w:val="008D4E0A"/>
    <w:rsid w:val="008D5171"/>
    <w:rsid w:val="008D58AC"/>
    <w:rsid w:val="008D5AA8"/>
    <w:rsid w:val="008D5DD4"/>
    <w:rsid w:val="008D5EA2"/>
    <w:rsid w:val="008D5EDA"/>
    <w:rsid w:val="008D6480"/>
    <w:rsid w:val="008D68EA"/>
    <w:rsid w:val="008D6A43"/>
    <w:rsid w:val="008D6B58"/>
    <w:rsid w:val="008D6B6F"/>
    <w:rsid w:val="008D6DE2"/>
    <w:rsid w:val="008D7785"/>
    <w:rsid w:val="008D7792"/>
    <w:rsid w:val="008D7BA3"/>
    <w:rsid w:val="008E0463"/>
    <w:rsid w:val="008E092C"/>
    <w:rsid w:val="008E0F7F"/>
    <w:rsid w:val="008E1000"/>
    <w:rsid w:val="008E1047"/>
    <w:rsid w:val="008E1097"/>
    <w:rsid w:val="008E11F1"/>
    <w:rsid w:val="008E146F"/>
    <w:rsid w:val="008E1CF5"/>
    <w:rsid w:val="008E2209"/>
    <w:rsid w:val="008E2334"/>
    <w:rsid w:val="008E2379"/>
    <w:rsid w:val="008E261F"/>
    <w:rsid w:val="008E26F3"/>
    <w:rsid w:val="008E27AD"/>
    <w:rsid w:val="008E27C0"/>
    <w:rsid w:val="008E2AB2"/>
    <w:rsid w:val="008E2D4D"/>
    <w:rsid w:val="008E2DFB"/>
    <w:rsid w:val="008E2EA3"/>
    <w:rsid w:val="008E2F85"/>
    <w:rsid w:val="008E31D9"/>
    <w:rsid w:val="008E32E7"/>
    <w:rsid w:val="008E339C"/>
    <w:rsid w:val="008E3B58"/>
    <w:rsid w:val="008E45CB"/>
    <w:rsid w:val="008E495A"/>
    <w:rsid w:val="008E4D56"/>
    <w:rsid w:val="008E529C"/>
    <w:rsid w:val="008E5425"/>
    <w:rsid w:val="008E5D3F"/>
    <w:rsid w:val="008E6473"/>
    <w:rsid w:val="008E6479"/>
    <w:rsid w:val="008E6692"/>
    <w:rsid w:val="008E69C6"/>
    <w:rsid w:val="008E7CE0"/>
    <w:rsid w:val="008E7D31"/>
    <w:rsid w:val="008F0291"/>
    <w:rsid w:val="008F0507"/>
    <w:rsid w:val="008F0767"/>
    <w:rsid w:val="008F0A3B"/>
    <w:rsid w:val="008F183E"/>
    <w:rsid w:val="008F1912"/>
    <w:rsid w:val="008F1990"/>
    <w:rsid w:val="008F1B60"/>
    <w:rsid w:val="008F1C28"/>
    <w:rsid w:val="008F1D16"/>
    <w:rsid w:val="008F1D2A"/>
    <w:rsid w:val="008F24DA"/>
    <w:rsid w:val="008F2BBF"/>
    <w:rsid w:val="008F2DDF"/>
    <w:rsid w:val="008F3037"/>
    <w:rsid w:val="008F3058"/>
    <w:rsid w:val="008F3210"/>
    <w:rsid w:val="008F3298"/>
    <w:rsid w:val="008F38C8"/>
    <w:rsid w:val="008F3989"/>
    <w:rsid w:val="008F3A1D"/>
    <w:rsid w:val="008F3B97"/>
    <w:rsid w:val="008F494B"/>
    <w:rsid w:val="008F4EA5"/>
    <w:rsid w:val="008F4F74"/>
    <w:rsid w:val="008F4FC2"/>
    <w:rsid w:val="008F5461"/>
    <w:rsid w:val="008F573B"/>
    <w:rsid w:val="008F5A3F"/>
    <w:rsid w:val="008F5B42"/>
    <w:rsid w:val="008F6218"/>
    <w:rsid w:val="008F694F"/>
    <w:rsid w:val="008F69DB"/>
    <w:rsid w:val="008F6E8F"/>
    <w:rsid w:val="008F7312"/>
    <w:rsid w:val="008F735B"/>
    <w:rsid w:val="00900157"/>
    <w:rsid w:val="009004E8"/>
    <w:rsid w:val="009008AA"/>
    <w:rsid w:val="009014BF"/>
    <w:rsid w:val="009015DB"/>
    <w:rsid w:val="009015F9"/>
    <w:rsid w:val="00901749"/>
    <w:rsid w:val="009017FA"/>
    <w:rsid w:val="00901806"/>
    <w:rsid w:val="00901AAC"/>
    <w:rsid w:val="00901CE7"/>
    <w:rsid w:val="00901CEA"/>
    <w:rsid w:val="00901D85"/>
    <w:rsid w:val="0090204E"/>
    <w:rsid w:val="009021B3"/>
    <w:rsid w:val="009028BD"/>
    <w:rsid w:val="009028C0"/>
    <w:rsid w:val="00902DC2"/>
    <w:rsid w:val="00902DDF"/>
    <w:rsid w:val="00902E33"/>
    <w:rsid w:val="00902ECC"/>
    <w:rsid w:val="00903092"/>
    <w:rsid w:val="00903F46"/>
    <w:rsid w:val="0090462A"/>
    <w:rsid w:val="009049FC"/>
    <w:rsid w:val="00904AF2"/>
    <w:rsid w:val="00904E0B"/>
    <w:rsid w:val="00904E66"/>
    <w:rsid w:val="00904FE1"/>
    <w:rsid w:val="00905A60"/>
    <w:rsid w:val="00905E43"/>
    <w:rsid w:val="00905EDB"/>
    <w:rsid w:val="009061F3"/>
    <w:rsid w:val="00906326"/>
    <w:rsid w:val="00906928"/>
    <w:rsid w:val="00906F9F"/>
    <w:rsid w:val="00906FB1"/>
    <w:rsid w:val="0090729B"/>
    <w:rsid w:val="00907DCB"/>
    <w:rsid w:val="009101B9"/>
    <w:rsid w:val="0091053F"/>
    <w:rsid w:val="0091057E"/>
    <w:rsid w:val="0091059F"/>
    <w:rsid w:val="009105AD"/>
    <w:rsid w:val="00910681"/>
    <w:rsid w:val="00910850"/>
    <w:rsid w:val="00910953"/>
    <w:rsid w:val="00910B37"/>
    <w:rsid w:val="00910C6E"/>
    <w:rsid w:val="0091101B"/>
    <w:rsid w:val="009114BF"/>
    <w:rsid w:val="009125E2"/>
    <w:rsid w:val="0091289D"/>
    <w:rsid w:val="009129C7"/>
    <w:rsid w:val="00912F2D"/>
    <w:rsid w:val="0091325C"/>
    <w:rsid w:val="00913ABE"/>
    <w:rsid w:val="00913FE9"/>
    <w:rsid w:val="00914263"/>
    <w:rsid w:val="00914323"/>
    <w:rsid w:val="0091455B"/>
    <w:rsid w:val="00914632"/>
    <w:rsid w:val="00914954"/>
    <w:rsid w:val="00914960"/>
    <w:rsid w:val="00914BB1"/>
    <w:rsid w:val="00914FB2"/>
    <w:rsid w:val="00915863"/>
    <w:rsid w:val="00915BBD"/>
    <w:rsid w:val="00915C58"/>
    <w:rsid w:val="00915DD0"/>
    <w:rsid w:val="00916030"/>
    <w:rsid w:val="0091612E"/>
    <w:rsid w:val="00916A54"/>
    <w:rsid w:val="009171B7"/>
    <w:rsid w:val="009176EA"/>
    <w:rsid w:val="009177D0"/>
    <w:rsid w:val="009177EE"/>
    <w:rsid w:val="00917A85"/>
    <w:rsid w:val="00917B42"/>
    <w:rsid w:val="00917EE8"/>
    <w:rsid w:val="00920643"/>
    <w:rsid w:val="009208DE"/>
    <w:rsid w:val="00920D9F"/>
    <w:rsid w:val="00921038"/>
    <w:rsid w:val="009210AC"/>
    <w:rsid w:val="00921AA7"/>
    <w:rsid w:val="009220BB"/>
    <w:rsid w:val="009222AA"/>
    <w:rsid w:val="009225A7"/>
    <w:rsid w:val="00922BB4"/>
    <w:rsid w:val="00922C94"/>
    <w:rsid w:val="009237B3"/>
    <w:rsid w:val="00923AA6"/>
    <w:rsid w:val="00923B62"/>
    <w:rsid w:val="0092404E"/>
    <w:rsid w:val="00924269"/>
    <w:rsid w:val="0092456A"/>
    <w:rsid w:val="00924626"/>
    <w:rsid w:val="00924A7F"/>
    <w:rsid w:val="00924C7E"/>
    <w:rsid w:val="00924D2C"/>
    <w:rsid w:val="00924EA0"/>
    <w:rsid w:val="00925D0B"/>
    <w:rsid w:val="00925F20"/>
    <w:rsid w:val="009260D8"/>
    <w:rsid w:val="009262A7"/>
    <w:rsid w:val="009263D7"/>
    <w:rsid w:val="00926590"/>
    <w:rsid w:val="00926962"/>
    <w:rsid w:val="00926C7A"/>
    <w:rsid w:val="009272B0"/>
    <w:rsid w:val="0092764F"/>
    <w:rsid w:val="009277D9"/>
    <w:rsid w:val="00927884"/>
    <w:rsid w:val="00927936"/>
    <w:rsid w:val="00927A73"/>
    <w:rsid w:val="00927BF4"/>
    <w:rsid w:val="009300E1"/>
    <w:rsid w:val="00930171"/>
    <w:rsid w:val="009305CA"/>
    <w:rsid w:val="0093075F"/>
    <w:rsid w:val="0093089D"/>
    <w:rsid w:val="009309C2"/>
    <w:rsid w:val="00930A32"/>
    <w:rsid w:val="00930A39"/>
    <w:rsid w:val="00930BF3"/>
    <w:rsid w:val="00930DC8"/>
    <w:rsid w:val="00930F35"/>
    <w:rsid w:val="00930FAB"/>
    <w:rsid w:val="009313AF"/>
    <w:rsid w:val="00931929"/>
    <w:rsid w:val="00931AA1"/>
    <w:rsid w:val="00931E4A"/>
    <w:rsid w:val="00932161"/>
    <w:rsid w:val="0093234E"/>
    <w:rsid w:val="00932A43"/>
    <w:rsid w:val="00933209"/>
    <w:rsid w:val="0093340F"/>
    <w:rsid w:val="00934213"/>
    <w:rsid w:val="0093446D"/>
    <w:rsid w:val="0093455F"/>
    <w:rsid w:val="009352CB"/>
    <w:rsid w:val="00935B07"/>
    <w:rsid w:val="0093626D"/>
    <w:rsid w:val="00936346"/>
    <w:rsid w:val="009368BA"/>
    <w:rsid w:val="00937151"/>
    <w:rsid w:val="00937663"/>
    <w:rsid w:val="00937C46"/>
    <w:rsid w:val="0093FD32"/>
    <w:rsid w:val="009406FA"/>
    <w:rsid w:val="009409F6"/>
    <w:rsid w:val="00940ADB"/>
    <w:rsid w:val="00940DFC"/>
    <w:rsid w:val="009410BC"/>
    <w:rsid w:val="009411F2"/>
    <w:rsid w:val="009415E2"/>
    <w:rsid w:val="00941928"/>
    <w:rsid w:val="009419D4"/>
    <w:rsid w:val="00941CFE"/>
    <w:rsid w:val="00941D42"/>
    <w:rsid w:val="009420B4"/>
    <w:rsid w:val="00942144"/>
    <w:rsid w:val="00942453"/>
    <w:rsid w:val="00942C38"/>
    <w:rsid w:val="00944501"/>
    <w:rsid w:val="00944F52"/>
    <w:rsid w:val="00944FFF"/>
    <w:rsid w:val="009456C9"/>
    <w:rsid w:val="0094587D"/>
    <w:rsid w:val="00945DBC"/>
    <w:rsid w:val="00945FE7"/>
    <w:rsid w:val="0094646A"/>
    <w:rsid w:val="0094663B"/>
    <w:rsid w:val="00946BC8"/>
    <w:rsid w:val="00946CA6"/>
    <w:rsid w:val="00946D84"/>
    <w:rsid w:val="00947A28"/>
    <w:rsid w:val="00947FEB"/>
    <w:rsid w:val="009500A3"/>
    <w:rsid w:val="009501E7"/>
    <w:rsid w:val="00950351"/>
    <w:rsid w:val="009505AB"/>
    <w:rsid w:val="00950766"/>
    <w:rsid w:val="009509BD"/>
    <w:rsid w:val="00950CE1"/>
    <w:rsid w:val="00951567"/>
    <w:rsid w:val="0095159A"/>
    <w:rsid w:val="009518B1"/>
    <w:rsid w:val="0095190C"/>
    <w:rsid w:val="00951F9C"/>
    <w:rsid w:val="00952715"/>
    <w:rsid w:val="009527C9"/>
    <w:rsid w:val="009529DD"/>
    <w:rsid w:val="00953601"/>
    <w:rsid w:val="00953838"/>
    <w:rsid w:val="00953C00"/>
    <w:rsid w:val="00953D6D"/>
    <w:rsid w:val="00953D9A"/>
    <w:rsid w:val="00953DE9"/>
    <w:rsid w:val="00954120"/>
    <w:rsid w:val="00954357"/>
    <w:rsid w:val="00954524"/>
    <w:rsid w:val="00954727"/>
    <w:rsid w:val="00954762"/>
    <w:rsid w:val="00954F5A"/>
    <w:rsid w:val="00955BF8"/>
    <w:rsid w:val="00956174"/>
    <w:rsid w:val="009564BA"/>
    <w:rsid w:val="00956919"/>
    <w:rsid w:val="0095691B"/>
    <w:rsid w:val="00956A56"/>
    <w:rsid w:val="00956CEF"/>
    <w:rsid w:val="0095767A"/>
    <w:rsid w:val="00957A2C"/>
    <w:rsid w:val="00957B03"/>
    <w:rsid w:val="00957B30"/>
    <w:rsid w:val="009601B3"/>
    <w:rsid w:val="009602C3"/>
    <w:rsid w:val="009604D0"/>
    <w:rsid w:val="00960629"/>
    <w:rsid w:val="0096070A"/>
    <w:rsid w:val="00960CE9"/>
    <w:rsid w:val="00960EB3"/>
    <w:rsid w:val="009610FC"/>
    <w:rsid w:val="0096119D"/>
    <w:rsid w:val="00961708"/>
    <w:rsid w:val="00961781"/>
    <w:rsid w:val="009618B7"/>
    <w:rsid w:val="00961FED"/>
    <w:rsid w:val="00962145"/>
    <w:rsid w:val="009623D9"/>
    <w:rsid w:val="00963389"/>
    <w:rsid w:val="0096339D"/>
    <w:rsid w:val="0096366D"/>
    <w:rsid w:val="00963B19"/>
    <w:rsid w:val="00963DBB"/>
    <w:rsid w:val="00963EA2"/>
    <w:rsid w:val="009640D5"/>
    <w:rsid w:val="009640F6"/>
    <w:rsid w:val="0096446B"/>
    <w:rsid w:val="00964993"/>
    <w:rsid w:val="00964AAE"/>
    <w:rsid w:val="00964BAA"/>
    <w:rsid w:val="00964BF2"/>
    <w:rsid w:val="00964EA1"/>
    <w:rsid w:val="00965194"/>
    <w:rsid w:val="00965473"/>
    <w:rsid w:val="00965A93"/>
    <w:rsid w:val="00965C45"/>
    <w:rsid w:val="00965C94"/>
    <w:rsid w:val="0096672E"/>
    <w:rsid w:val="009667B9"/>
    <w:rsid w:val="009674B5"/>
    <w:rsid w:val="00967730"/>
    <w:rsid w:val="00967E12"/>
    <w:rsid w:val="009702F9"/>
    <w:rsid w:val="009706F5"/>
    <w:rsid w:val="00970C2C"/>
    <w:rsid w:val="00971180"/>
    <w:rsid w:val="0097148A"/>
    <w:rsid w:val="00971BD7"/>
    <w:rsid w:val="00972375"/>
    <w:rsid w:val="00972838"/>
    <w:rsid w:val="00972B24"/>
    <w:rsid w:val="00972C0E"/>
    <w:rsid w:val="00972D70"/>
    <w:rsid w:val="009737F5"/>
    <w:rsid w:val="0097382A"/>
    <w:rsid w:val="00973888"/>
    <w:rsid w:val="00973F67"/>
    <w:rsid w:val="009741E6"/>
    <w:rsid w:val="00974250"/>
    <w:rsid w:val="0097436D"/>
    <w:rsid w:val="00974A7F"/>
    <w:rsid w:val="00974C46"/>
    <w:rsid w:val="00975058"/>
    <w:rsid w:val="0097533B"/>
    <w:rsid w:val="00975522"/>
    <w:rsid w:val="0097552B"/>
    <w:rsid w:val="009756A4"/>
    <w:rsid w:val="00975BD3"/>
    <w:rsid w:val="00975C25"/>
    <w:rsid w:val="00975FC4"/>
    <w:rsid w:val="00975FD3"/>
    <w:rsid w:val="009760A6"/>
    <w:rsid w:val="009762E1"/>
    <w:rsid w:val="00976316"/>
    <w:rsid w:val="009763C8"/>
    <w:rsid w:val="00976CBE"/>
    <w:rsid w:val="0097706E"/>
    <w:rsid w:val="00977B6B"/>
    <w:rsid w:val="00977E95"/>
    <w:rsid w:val="00977FD7"/>
    <w:rsid w:val="009800F2"/>
    <w:rsid w:val="009803A5"/>
    <w:rsid w:val="009804E4"/>
    <w:rsid w:val="009807E8"/>
    <w:rsid w:val="00980AA8"/>
    <w:rsid w:val="00980BDA"/>
    <w:rsid w:val="00980C4F"/>
    <w:rsid w:val="00980F75"/>
    <w:rsid w:val="0098161F"/>
    <w:rsid w:val="0098172F"/>
    <w:rsid w:val="009817D9"/>
    <w:rsid w:val="00981A29"/>
    <w:rsid w:val="00981F3B"/>
    <w:rsid w:val="00982238"/>
    <w:rsid w:val="0098277B"/>
    <w:rsid w:val="00982890"/>
    <w:rsid w:val="00982B72"/>
    <w:rsid w:val="00982BA7"/>
    <w:rsid w:val="0098313A"/>
    <w:rsid w:val="00983359"/>
    <w:rsid w:val="00983B03"/>
    <w:rsid w:val="00983BFB"/>
    <w:rsid w:val="00984E86"/>
    <w:rsid w:val="009856DD"/>
    <w:rsid w:val="009864DA"/>
    <w:rsid w:val="009866A3"/>
    <w:rsid w:val="009866AA"/>
    <w:rsid w:val="00986868"/>
    <w:rsid w:val="009868B8"/>
    <w:rsid w:val="00986AD4"/>
    <w:rsid w:val="00986EA0"/>
    <w:rsid w:val="00986F51"/>
    <w:rsid w:val="00986F86"/>
    <w:rsid w:val="00987498"/>
    <w:rsid w:val="009877FB"/>
    <w:rsid w:val="00987819"/>
    <w:rsid w:val="00987BAB"/>
    <w:rsid w:val="00987C22"/>
    <w:rsid w:val="00987C47"/>
    <w:rsid w:val="0099037E"/>
    <w:rsid w:val="00990C0B"/>
    <w:rsid w:val="009914C6"/>
    <w:rsid w:val="0099175C"/>
    <w:rsid w:val="00991B11"/>
    <w:rsid w:val="00991CDB"/>
    <w:rsid w:val="00991EBB"/>
    <w:rsid w:val="00991FA0"/>
    <w:rsid w:val="0099221E"/>
    <w:rsid w:val="0099225A"/>
    <w:rsid w:val="00992327"/>
    <w:rsid w:val="00992427"/>
    <w:rsid w:val="0099255A"/>
    <w:rsid w:val="009925A8"/>
    <w:rsid w:val="00992809"/>
    <w:rsid w:val="00992A8C"/>
    <w:rsid w:val="00992ACB"/>
    <w:rsid w:val="00992E1A"/>
    <w:rsid w:val="00992E65"/>
    <w:rsid w:val="009939DE"/>
    <w:rsid w:val="009942F7"/>
    <w:rsid w:val="009943FE"/>
    <w:rsid w:val="0099453D"/>
    <w:rsid w:val="00994655"/>
    <w:rsid w:val="00994A09"/>
    <w:rsid w:val="00994D4E"/>
    <w:rsid w:val="00995190"/>
    <w:rsid w:val="00995647"/>
    <w:rsid w:val="00995A07"/>
    <w:rsid w:val="00995CD2"/>
    <w:rsid w:val="00995DD5"/>
    <w:rsid w:val="00996496"/>
    <w:rsid w:val="00996617"/>
    <w:rsid w:val="0099691E"/>
    <w:rsid w:val="00996924"/>
    <w:rsid w:val="009969F8"/>
    <w:rsid w:val="00997759"/>
    <w:rsid w:val="0099785A"/>
    <w:rsid w:val="00997A97"/>
    <w:rsid w:val="00997E84"/>
    <w:rsid w:val="009A06DB"/>
    <w:rsid w:val="009A07ED"/>
    <w:rsid w:val="009A097D"/>
    <w:rsid w:val="009A0F8A"/>
    <w:rsid w:val="009A1DDF"/>
    <w:rsid w:val="009A2006"/>
    <w:rsid w:val="009A2983"/>
    <w:rsid w:val="009A2A60"/>
    <w:rsid w:val="009A2ABC"/>
    <w:rsid w:val="009A2BD1"/>
    <w:rsid w:val="009A2E40"/>
    <w:rsid w:val="009A36A9"/>
    <w:rsid w:val="009A372D"/>
    <w:rsid w:val="009A3C11"/>
    <w:rsid w:val="009A3DEB"/>
    <w:rsid w:val="009A4081"/>
    <w:rsid w:val="009A4437"/>
    <w:rsid w:val="009A4590"/>
    <w:rsid w:val="009A4F0B"/>
    <w:rsid w:val="009A5387"/>
    <w:rsid w:val="009A5BF2"/>
    <w:rsid w:val="009A5DA3"/>
    <w:rsid w:val="009A62E6"/>
    <w:rsid w:val="009A6417"/>
    <w:rsid w:val="009A686E"/>
    <w:rsid w:val="009A6E1A"/>
    <w:rsid w:val="009A754B"/>
    <w:rsid w:val="009B04DC"/>
    <w:rsid w:val="009B0722"/>
    <w:rsid w:val="009B0834"/>
    <w:rsid w:val="009B0C40"/>
    <w:rsid w:val="009B0CE8"/>
    <w:rsid w:val="009B11B1"/>
    <w:rsid w:val="009B18A7"/>
    <w:rsid w:val="009B1BDC"/>
    <w:rsid w:val="009B1C07"/>
    <w:rsid w:val="009B1E5F"/>
    <w:rsid w:val="009B22FD"/>
    <w:rsid w:val="009B240E"/>
    <w:rsid w:val="009B28CE"/>
    <w:rsid w:val="009B2B68"/>
    <w:rsid w:val="009B2FAB"/>
    <w:rsid w:val="009B31A7"/>
    <w:rsid w:val="009B3510"/>
    <w:rsid w:val="009B3945"/>
    <w:rsid w:val="009B3C6B"/>
    <w:rsid w:val="009B3F89"/>
    <w:rsid w:val="009B4051"/>
    <w:rsid w:val="009B4084"/>
    <w:rsid w:val="009B4127"/>
    <w:rsid w:val="009B414D"/>
    <w:rsid w:val="009B4660"/>
    <w:rsid w:val="009B471F"/>
    <w:rsid w:val="009B48C5"/>
    <w:rsid w:val="009B521A"/>
    <w:rsid w:val="009B524E"/>
    <w:rsid w:val="009B550D"/>
    <w:rsid w:val="009B5B18"/>
    <w:rsid w:val="009B5B7D"/>
    <w:rsid w:val="009B6247"/>
    <w:rsid w:val="009B63A3"/>
    <w:rsid w:val="009B653B"/>
    <w:rsid w:val="009B6A8C"/>
    <w:rsid w:val="009B6C27"/>
    <w:rsid w:val="009B6EDC"/>
    <w:rsid w:val="009B77F1"/>
    <w:rsid w:val="009B7D29"/>
    <w:rsid w:val="009C040F"/>
    <w:rsid w:val="009C0537"/>
    <w:rsid w:val="009C0765"/>
    <w:rsid w:val="009C0A5D"/>
    <w:rsid w:val="009C0A94"/>
    <w:rsid w:val="009C10AD"/>
    <w:rsid w:val="009C1807"/>
    <w:rsid w:val="009C2342"/>
    <w:rsid w:val="009C2636"/>
    <w:rsid w:val="009C2817"/>
    <w:rsid w:val="009C29F3"/>
    <w:rsid w:val="009C2C65"/>
    <w:rsid w:val="009C2F17"/>
    <w:rsid w:val="009C3093"/>
    <w:rsid w:val="009C3460"/>
    <w:rsid w:val="009C34C3"/>
    <w:rsid w:val="009C3C80"/>
    <w:rsid w:val="009C4277"/>
    <w:rsid w:val="009C45DF"/>
    <w:rsid w:val="009C4AC5"/>
    <w:rsid w:val="009C520A"/>
    <w:rsid w:val="009C538A"/>
    <w:rsid w:val="009C6CEB"/>
    <w:rsid w:val="009C6E53"/>
    <w:rsid w:val="009C72A6"/>
    <w:rsid w:val="009C72B3"/>
    <w:rsid w:val="009C72D0"/>
    <w:rsid w:val="009C758F"/>
    <w:rsid w:val="009C76AB"/>
    <w:rsid w:val="009C7A12"/>
    <w:rsid w:val="009C7EDE"/>
    <w:rsid w:val="009D00A0"/>
    <w:rsid w:val="009D0477"/>
    <w:rsid w:val="009D0817"/>
    <w:rsid w:val="009D094C"/>
    <w:rsid w:val="009D0AF8"/>
    <w:rsid w:val="009D0BCC"/>
    <w:rsid w:val="009D1079"/>
    <w:rsid w:val="009D1106"/>
    <w:rsid w:val="009D1C55"/>
    <w:rsid w:val="009D27CA"/>
    <w:rsid w:val="009D29AE"/>
    <w:rsid w:val="009D2F87"/>
    <w:rsid w:val="009D3190"/>
    <w:rsid w:val="009D37F5"/>
    <w:rsid w:val="009D3D16"/>
    <w:rsid w:val="009D4238"/>
    <w:rsid w:val="009D46E6"/>
    <w:rsid w:val="009D4F3A"/>
    <w:rsid w:val="009D4F60"/>
    <w:rsid w:val="009D4F73"/>
    <w:rsid w:val="009D5BCA"/>
    <w:rsid w:val="009D6489"/>
    <w:rsid w:val="009D64BC"/>
    <w:rsid w:val="009D6696"/>
    <w:rsid w:val="009D66F6"/>
    <w:rsid w:val="009D7AAE"/>
    <w:rsid w:val="009D7EAB"/>
    <w:rsid w:val="009E01A8"/>
    <w:rsid w:val="009E0463"/>
    <w:rsid w:val="009E09B1"/>
    <w:rsid w:val="009E0AA6"/>
    <w:rsid w:val="009E102E"/>
    <w:rsid w:val="009E20E6"/>
    <w:rsid w:val="009E2141"/>
    <w:rsid w:val="009E256E"/>
    <w:rsid w:val="009E2B42"/>
    <w:rsid w:val="009E2F21"/>
    <w:rsid w:val="009E2F7F"/>
    <w:rsid w:val="009E310D"/>
    <w:rsid w:val="009E3168"/>
    <w:rsid w:val="009E3178"/>
    <w:rsid w:val="009E3195"/>
    <w:rsid w:val="009E3656"/>
    <w:rsid w:val="009E41CC"/>
    <w:rsid w:val="009E4245"/>
    <w:rsid w:val="009E4665"/>
    <w:rsid w:val="009E466D"/>
    <w:rsid w:val="009E48D7"/>
    <w:rsid w:val="009E4A22"/>
    <w:rsid w:val="009E4A59"/>
    <w:rsid w:val="009E4AA8"/>
    <w:rsid w:val="009E4C56"/>
    <w:rsid w:val="009E4C9C"/>
    <w:rsid w:val="009E511D"/>
    <w:rsid w:val="009E51D8"/>
    <w:rsid w:val="009E56A6"/>
    <w:rsid w:val="009E5CB0"/>
    <w:rsid w:val="009E6484"/>
    <w:rsid w:val="009E649F"/>
    <w:rsid w:val="009E6646"/>
    <w:rsid w:val="009E68E3"/>
    <w:rsid w:val="009E6AE8"/>
    <w:rsid w:val="009E726A"/>
    <w:rsid w:val="009E7537"/>
    <w:rsid w:val="009E7D5F"/>
    <w:rsid w:val="009F0341"/>
    <w:rsid w:val="009F0504"/>
    <w:rsid w:val="009F0826"/>
    <w:rsid w:val="009F0918"/>
    <w:rsid w:val="009F0EE5"/>
    <w:rsid w:val="009F11DF"/>
    <w:rsid w:val="009F173F"/>
    <w:rsid w:val="009F201C"/>
    <w:rsid w:val="009F2479"/>
    <w:rsid w:val="009F2BEC"/>
    <w:rsid w:val="009F2DA5"/>
    <w:rsid w:val="009F321C"/>
    <w:rsid w:val="009F338D"/>
    <w:rsid w:val="009F3439"/>
    <w:rsid w:val="009F3636"/>
    <w:rsid w:val="009F38EA"/>
    <w:rsid w:val="009F3970"/>
    <w:rsid w:val="009F3BA7"/>
    <w:rsid w:val="009F3EA8"/>
    <w:rsid w:val="009F3FFD"/>
    <w:rsid w:val="009F455A"/>
    <w:rsid w:val="009F47CF"/>
    <w:rsid w:val="009F4D3E"/>
    <w:rsid w:val="009F4DF3"/>
    <w:rsid w:val="009F4F56"/>
    <w:rsid w:val="009F55C0"/>
    <w:rsid w:val="009F5EDF"/>
    <w:rsid w:val="009F5FA3"/>
    <w:rsid w:val="009F62C5"/>
    <w:rsid w:val="009F6565"/>
    <w:rsid w:val="009F6991"/>
    <w:rsid w:val="009F6A3B"/>
    <w:rsid w:val="009F6A79"/>
    <w:rsid w:val="009F6AA1"/>
    <w:rsid w:val="009F708A"/>
    <w:rsid w:val="009F7353"/>
    <w:rsid w:val="009F7798"/>
    <w:rsid w:val="009F7AF9"/>
    <w:rsid w:val="009F7EAA"/>
    <w:rsid w:val="009F7EAB"/>
    <w:rsid w:val="00A0028C"/>
    <w:rsid w:val="00A00679"/>
    <w:rsid w:val="00A00C28"/>
    <w:rsid w:val="00A00D8D"/>
    <w:rsid w:val="00A01092"/>
    <w:rsid w:val="00A010B8"/>
    <w:rsid w:val="00A01933"/>
    <w:rsid w:val="00A01935"/>
    <w:rsid w:val="00A01968"/>
    <w:rsid w:val="00A01B00"/>
    <w:rsid w:val="00A020D7"/>
    <w:rsid w:val="00A0288B"/>
    <w:rsid w:val="00A02B3D"/>
    <w:rsid w:val="00A03198"/>
    <w:rsid w:val="00A033F2"/>
    <w:rsid w:val="00A03436"/>
    <w:rsid w:val="00A03DB6"/>
    <w:rsid w:val="00A046C3"/>
    <w:rsid w:val="00A048E5"/>
    <w:rsid w:val="00A049AB"/>
    <w:rsid w:val="00A04EE8"/>
    <w:rsid w:val="00A04F58"/>
    <w:rsid w:val="00A04FCD"/>
    <w:rsid w:val="00A055DA"/>
    <w:rsid w:val="00A056D3"/>
    <w:rsid w:val="00A0583E"/>
    <w:rsid w:val="00A060C5"/>
    <w:rsid w:val="00A065EC"/>
    <w:rsid w:val="00A06BD8"/>
    <w:rsid w:val="00A07123"/>
    <w:rsid w:val="00A07267"/>
    <w:rsid w:val="00A0726A"/>
    <w:rsid w:val="00A074C2"/>
    <w:rsid w:val="00A07903"/>
    <w:rsid w:val="00A1020B"/>
    <w:rsid w:val="00A10715"/>
    <w:rsid w:val="00A10841"/>
    <w:rsid w:val="00A10A78"/>
    <w:rsid w:val="00A10BAA"/>
    <w:rsid w:val="00A10EA7"/>
    <w:rsid w:val="00A10F36"/>
    <w:rsid w:val="00A1125A"/>
    <w:rsid w:val="00A1182E"/>
    <w:rsid w:val="00A126FD"/>
    <w:rsid w:val="00A12875"/>
    <w:rsid w:val="00A12BEC"/>
    <w:rsid w:val="00A13091"/>
    <w:rsid w:val="00A13630"/>
    <w:rsid w:val="00A137CB"/>
    <w:rsid w:val="00A13A13"/>
    <w:rsid w:val="00A13E51"/>
    <w:rsid w:val="00A13FB4"/>
    <w:rsid w:val="00A14238"/>
    <w:rsid w:val="00A143B6"/>
    <w:rsid w:val="00A1463E"/>
    <w:rsid w:val="00A146BF"/>
    <w:rsid w:val="00A14B56"/>
    <w:rsid w:val="00A15612"/>
    <w:rsid w:val="00A156CB"/>
    <w:rsid w:val="00A1576B"/>
    <w:rsid w:val="00A1609F"/>
    <w:rsid w:val="00A162D5"/>
    <w:rsid w:val="00A16770"/>
    <w:rsid w:val="00A16F76"/>
    <w:rsid w:val="00A17281"/>
    <w:rsid w:val="00A172BE"/>
    <w:rsid w:val="00A176A9"/>
    <w:rsid w:val="00A202A2"/>
    <w:rsid w:val="00A2081F"/>
    <w:rsid w:val="00A20A83"/>
    <w:rsid w:val="00A20BBA"/>
    <w:rsid w:val="00A20E75"/>
    <w:rsid w:val="00A20E88"/>
    <w:rsid w:val="00A20F52"/>
    <w:rsid w:val="00A219DC"/>
    <w:rsid w:val="00A21A80"/>
    <w:rsid w:val="00A224AB"/>
    <w:rsid w:val="00A22600"/>
    <w:rsid w:val="00A2262A"/>
    <w:rsid w:val="00A229F4"/>
    <w:rsid w:val="00A22AD2"/>
    <w:rsid w:val="00A22C16"/>
    <w:rsid w:val="00A22DA0"/>
    <w:rsid w:val="00A23059"/>
    <w:rsid w:val="00A23A33"/>
    <w:rsid w:val="00A23CE7"/>
    <w:rsid w:val="00A23F93"/>
    <w:rsid w:val="00A24348"/>
    <w:rsid w:val="00A24409"/>
    <w:rsid w:val="00A2440B"/>
    <w:rsid w:val="00A24730"/>
    <w:rsid w:val="00A24CAB"/>
    <w:rsid w:val="00A2561F"/>
    <w:rsid w:val="00A25821"/>
    <w:rsid w:val="00A25E3F"/>
    <w:rsid w:val="00A25E8D"/>
    <w:rsid w:val="00A26109"/>
    <w:rsid w:val="00A2677E"/>
    <w:rsid w:val="00A267DB"/>
    <w:rsid w:val="00A27034"/>
    <w:rsid w:val="00A2716F"/>
    <w:rsid w:val="00A272BC"/>
    <w:rsid w:val="00A2735E"/>
    <w:rsid w:val="00A27440"/>
    <w:rsid w:val="00A27615"/>
    <w:rsid w:val="00A2782F"/>
    <w:rsid w:val="00A27A5F"/>
    <w:rsid w:val="00A30585"/>
    <w:rsid w:val="00A305BC"/>
    <w:rsid w:val="00A30B0E"/>
    <w:rsid w:val="00A31EFE"/>
    <w:rsid w:val="00A31F17"/>
    <w:rsid w:val="00A3211A"/>
    <w:rsid w:val="00A32246"/>
    <w:rsid w:val="00A327DD"/>
    <w:rsid w:val="00A329CF"/>
    <w:rsid w:val="00A32C7A"/>
    <w:rsid w:val="00A32D21"/>
    <w:rsid w:val="00A331FA"/>
    <w:rsid w:val="00A33241"/>
    <w:rsid w:val="00A33835"/>
    <w:rsid w:val="00A34553"/>
    <w:rsid w:val="00A34661"/>
    <w:rsid w:val="00A34714"/>
    <w:rsid w:val="00A3477B"/>
    <w:rsid w:val="00A34A4D"/>
    <w:rsid w:val="00A35453"/>
    <w:rsid w:val="00A35634"/>
    <w:rsid w:val="00A35685"/>
    <w:rsid w:val="00A356BB"/>
    <w:rsid w:val="00A357F8"/>
    <w:rsid w:val="00A3597F"/>
    <w:rsid w:val="00A35ABC"/>
    <w:rsid w:val="00A35E5F"/>
    <w:rsid w:val="00A362A4"/>
    <w:rsid w:val="00A36639"/>
    <w:rsid w:val="00A36916"/>
    <w:rsid w:val="00A376A8"/>
    <w:rsid w:val="00A37BC0"/>
    <w:rsid w:val="00A37F18"/>
    <w:rsid w:val="00A40279"/>
    <w:rsid w:val="00A4060D"/>
    <w:rsid w:val="00A41404"/>
    <w:rsid w:val="00A415F5"/>
    <w:rsid w:val="00A41708"/>
    <w:rsid w:val="00A41A48"/>
    <w:rsid w:val="00A41C29"/>
    <w:rsid w:val="00A42035"/>
    <w:rsid w:val="00A42315"/>
    <w:rsid w:val="00A423EF"/>
    <w:rsid w:val="00A42612"/>
    <w:rsid w:val="00A427D0"/>
    <w:rsid w:val="00A430C4"/>
    <w:rsid w:val="00A43387"/>
    <w:rsid w:val="00A434F3"/>
    <w:rsid w:val="00A43552"/>
    <w:rsid w:val="00A43FF6"/>
    <w:rsid w:val="00A44680"/>
    <w:rsid w:val="00A446E0"/>
    <w:rsid w:val="00A44778"/>
    <w:rsid w:val="00A448C3"/>
    <w:rsid w:val="00A454BE"/>
    <w:rsid w:val="00A45568"/>
    <w:rsid w:val="00A45653"/>
    <w:rsid w:val="00A45B0F"/>
    <w:rsid w:val="00A45E37"/>
    <w:rsid w:val="00A462CD"/>
    <w:rsid w:val="00A46789"/>
    <w:rsid w:val="00A46834"/>
    <w:rsid w:val="00A46BF6"/>
    <w:rsid w:val="00A47A03"/>
    <w:rsid w:val="00A47A29"/>
    <w:rsid w:val="00A47F37"/>
    <w:rsid w:val="00A500EE"/>
    <w:rsid w:val="00A50373"/>
    <w:rsid w:val="00A50414"/>
    <w:rsid w:val="00A50499"/>
    <w:rsid w:val="00A5094F"/>
    <w:rsid w:val="00A50D65"/>
    <w:rsid w:val="00A50EF5"/>
    <w:rsid w:val="00A51092"/>
    <w:rsid w:val="00A51121"/>
    <w:rsid w:val="00A51240"/>
    <w:rsid w:val="00A51AC9"/>
    <w:rsid w:val="00A52023"/>
    <w:rsid w:val="00A52047"/>
    <w:rsid w:val="00A5207A"/>
    <w:rsid w:val="00A52249"/>
    <w:rsid w:val="00A5257A"/>
    <w:rsid w:val="00A52626"/>
    <w:rsid w:val="00A52874"/>
    <w:rsid w:val="00A52F22"/>
    <w:rsid w:val="00A5384F"/>
    <w:rsid w:val="00A538D8"/>
    <w:rsid w:val="00A53A89"/>
    <w:rsid w:val="00A53AB1"/>
    <w:rsid w:val="00A53ADE"/>
    <w:rsid w:val="00A53F45"/>
    <w:rsid w:val="00A54353"/>
    <w:rsid w:val="00A544F4"/>
    <w:rsid w:val="00A547C9"/>
    <w:rsid w:val="00A54BF5"/>
    <w:rsid w:val="00A557DC"/>
    <w:rsid w:val="00A55C09"/>
    <w:rsid w:val="00A55ED1"/>
    <w:rsid w:val="00A565CB"/>
    <w:rsid w:val="00A56D10"/>
    <w:rsid w:val="00A57057"/>
    <w:rsid w:val="00A57980"/>
    <w:rsid w:val="00A579D2"/>
    <w:rsid w:val="00A579E3"/>
    <w:rsid w:val="00A57BFD"/>
    <w:rsid w:val="00A57C3F"/>
    <w:rsid w:val="00A57E98"/>
    <w:rsid w:val="00A60376"/>
    <w:rsid w:val="00A6085C"/>
    <w:rsid w:val="00A60D17"/>
    <w:rsid w:val="00A60FA1"/>
    <w:rsid w:val="00A610FC"/>
    <w:rsid w:val="00A61114"/>
    <w:rsid w:val="00A61B5C"/>
    <w:rsid w:val="00A6225E"/>
    <w:rsid w:val="00A622CC"/>
    <w:rsid w:val="00A624AF"/>
    <w:rsid w:val="00A625C1"/>
    <w:rsid w:val="00A6262F"/>
    <w:rsid w:val="00A629B9"/>
    <w:rsid w:val="00A62D44"/>
    <w:rsid w:val="00A6327A"/>
    <w:rsid w:val="00A634FF"/>
    <w:rsid w:val="00A638C5"/>
    <w:rsid w:val="00A63991"/>
    <w:rsid w:val="00A63A82"/>
    <w:rsid w:val="00A63FFD"/>
    <w:rsid w:val="00A640A4"/>
    <w:rsid w:val="00A6432C"/>
    <w:rsid w:val="00A646EB"/>
    <w:rsid w:val="00A64BD8"/>
    <w:rsid w:val="00A64E8C"/>
    <w:rsid w:val="00A651C8"/>
    <w:rsid w:val="00A65417"/>
    <w:rsid w:val="00A65DEC"/>
    <w:rsid w:val="00A65DEF"/>
    <w:rsid w:val="00A6610D"/>
    <w:rsid w:val="00A66121"/>
    <w:rsid w:val="00A663A2"/>
    <w:rsid w:val="00A66483"/>
    <w:rsid w:val="00A66509"/>
    <w:rsid w:val="00A667F6"/>
    <w:rsid w:val="00A66884"/>
    <w:rsid w:val="00A66F03"/>
    <w:rsid w:val="00A67314"/>
    <w:rsid w:val="00A674BD"/>
    <w:rsid w:val="00A6762A"/>
    <w:rsid w:val="00A67752"/>
    <w:rsid w:val="00A67AC0"/>
    <w:rsid w:val="00A67B44"/>
    <w:rsid w:val="00A67BA3"/>
    <w:rsid w:val="00A67ED6"/>
    <w:rsid w:val="00A67FA2"/>
    <w:rsid w:val="00A70907"/>
    <w:rsid w:val="00A70A39"/>
    <w:rsid w:val="00A70B62"/>
    <w:rsid w:val="00A70C01"/>
    <w:rsid w:val="00A70C20"/>
    <w:rsid w:val="00A70E79"/>
    <w:rsid w:val="00A710D4"/>
    <w:rsid w:val="00A71298"/>
    <w:rsid w:val="00A713E8"/>
    <w:rsid w:val="00A71C3D"/>
    <w:rsid w:val="00A7325A"/>
    <w:rsid w:val="00A733EE"/>
    <w:rsid w:val="00A73460"/>
    <w:rsid w:val="00A73E91"/>
    <w:rsid w:val="00A7420F"/>
    <w:rsid w:val="00A74456"/>
    <w:rsid w:val="00A744A6"/>
    <w:rsid w:val="00A74630"/>
    <w:rsid w:val="00A747CE"/>
    <w:rsid w:val="00A74D6F"/>
    <w:rsid w:val="00A7534D"/>
    <w:rsid w:val="00A75768"/>
    <w:rsid w:val="00A757CF"/>
    <w:rsid w:val="00A758DF"/>
    <w:rsid w:val="00A76080"/>
    <w:rsid w:val="00A76209"/>
    <w:rsid w:val="00A76F9B"/>
    <w:rsid w:val="00A776AE"/>
    <w:rsid w:val="00A777CF"/>
    <w:rsid w:val="00A77B35"/>
    <w:rsid w:val="00A77B87"/>
    <w:rsid w:val="00A77BE1"/>
    <w:rsid w:val="00A77C87"/>
    <w:rsid w:val="00A800F4"/>
    <w:rsid w:val="00A8018E"/>
    <w:rsid w:val="00A804AF"/>
    <w:rsid w:val="00A808F0"/>
    <w:rsid w:val="00A81159"/>
    <w:rsid w:val="00A81971"/>
    <w:rsid w:val="00A819ED"/>
    <w:rsid w:val="00A81CD4"/>
    <w:rsid w:val="00A81E6F"/>
    <w:rsid w:val="00A81F14"/>
    <w:rsid w:val="00A821F9"/>
    <w:rsid w:val="00A82770"/>
    <w:rsid w:val="00A8291F"/>
    <w:rsid w:val="00A8308B"/>
    <w:rsid w:val="00A830F8"/>
    <w:rsid w:val="00A83132"/>
    <w:rsid w:val="00A833D3"/>
    <w:rsid w:val="00A835F4"/>
    <w:rsid w:val="00A8362E"/>
    <w:rsid w:val="00A83B8D"/>
    <w:rsid w:val="00A83D8E"/>
    <w:rsid w:val="00A83F98"/>
    <w:rsid w:val="00A83FCB"/>
    <w:rsid w:val="00A84123"/>
    <w:rsid w:val="00A84585"/>
    <w:rsid w:val="00A845AE"/>
    <w:rsid w:val="00A8473A"/>
    <w:rsid w:val="00A84830"/>
    <w:rsid w:val="00A84AC7"/>
    <w:rsid w:val="00A84B73"/>
    <w:rsid w:val="00A84C2C"/>
    <w:rsid w:val="00A8516F"/>
    <w:rsid w:val="00A8518D"/>
    <w:rsid w:val="00A85419"/>
    <w:rsid w:val="00A855BA"/>
    <w:rsid w:val="00A8590F"/>
    <w:rsid w:val="00A85E7F"/>
    <w:rsid w:val="00A86062"/>
    <w:rsid w:val="00A86458"/>
    <w:rsid w:val="00A864C4"/>
    <w:rsid w:val="00A86C1A"/>
    <w:rsid w:val="00A86DC2"/>
    <w:rsid w:val="00A8713E"/>
    <w:rsid w:val="00A87365"/>
    <w:rsid w:val="00A87864"/>
    <w:rsid w:val="00A87D09"/>
    <w:rsid w:val="00A87F44"/>
    <w:rsid w:val="00A9005A"/>
    <w:rsid w:val="00A90151"/>
    <w:rsid w:val="00A904FB"/>
    <w:rsid w:val="00A90C53"/>
    <w:rsid w:val="00A91697"/>
    <w:rsid w:val="00A9173D"/>
    <w:rsid w:val="00A919C2"/>
    <w:rsid w:val="00A91CFE"/>
    <w:rsid w:val="00A91F56"/>
    <w:rsid w:val="00A9200B"/>
    <w:rsid w:val="00A922DF"/>
    <w:rsid w:val="00A922E1"/>
    <w:rsid w:val="00A92351"/>
    <w:rsid w:val="00A92501"/>
    <w:rsid w:val="00A92553"/>
    <w:rsid w:val="00A92AE5"/>
    <w:rsid w:val="00A92B62"/>
    <w:rsid w:val="00A930E5"/>
    <w:rsid w:val="00A933C8"/>
    <w:rsid w:val="00A942AD"/>
    <w:rsid w:val="00A94D79"/>
    <w:rsid w:val="00A94F6A"/>
    <w:rsid w:val="00A95003"/>
    <w:rsid w:val="00A952B4"/>
    <w:rsid w:val="00A954F3"/>
    <w:rsid w:val="00A95AB5"/>
    <w:rsid w:val="00A96296"/>
    <w:rsid w:val="00A962E2"/>
    <w:rsid w:val="00A96437"/>
    <w:rsid w:val="00A96610"/>
    <w:rsid w:val="00A967E5"/>
    <w:rsid w:val="00A96BA7"/>
    <w:rsid w:val="00A96C76"/>
    <w:rsid w:val="00A96DDB"/>
    <w:rsid w:val="00A96ECA"/>
    <w:rsid w:val="00A97379"/>
    <w:rsid w:val="00A975CF"/>
    <w:rsid w:val="00AA0340"/>
    <w:rsid w:val="00AA0436"/>
    <w:rsid w:val="00AA05AC"/>
    <w:rsid w:val="00AA0A8A"/>
    <w:rsid w:val="00AA0D2F"/>
    <w:rsid w:val="00AA13A1"/>
    <w:rsid w:val="00AA17CA"/>
    <w:rsid w:val="00AA1A6A"/>
    <w:rsid w:val="00AA1D67"/>
    <w:rsid w:val="00AA1FCC"/>
    <w:rsid w:val="00AA20CC"/>
    <w:rsid w:val="00AA2344"/>
    <w:rsid w:val="00AA24F7"/>
    <w:rsid w:val="00AA270F"/>
    <w:rsid w:val="00AA2B11"/>
    <w:rsid w:val="00AA30C2"/>
    <w:rsid w:val="00AA3110"/>
    <w:rsid w:val="00AA3824"/>
    <w:rsid w:val="00AA38B4"/>
    <w:rsid w:val="00AA3CFD"/>
    <w:rsid w:val="00AA3DF7"/>
    <w:rsid w:val="00AA467C"/>
    <w:rsid w:val="00AA4E04"/>
    <w:rsid w:val="00AA4E7F"/>
    <w:rsid w:val="00AA50C0"/>
    <w:rsid w:val="00AA5175"/>
    <w:rsid w:val="00AA5235"/>
    <w:rsid w:val="00AA53C3"/>
    <w:rsid w:val="00AA56CB"/>
    <w:rsid w:val="00AA6080"/>
    <w:rsid w:val="00AA65A5"/>
    <w:rsid w:val="00AA6EB1"/>
    <w:rsid w:val="00AA7423"/>
    <w:rsid w:val="00AA75B5"/>
    <w:rsid w:val="00AA7CA0"/>
    <w:rsid w:val="00AA7DD1"/>
    <w:rsid w:val="00AB00AD"/>
    <w:rsid w:val="00AB0B77"/>
    <w:rsid w:val="00AB0DAB"/>
    <w:rsid w:val="00AB111C"/>
    <w:rsid w:val="00AB142C"/>
    <w:rsid w:val="00AB17F6"/>
    <w:rsid w:val="00AB1991"/>
    <w:rsid w:val="00AB1A0B"/>
    <w:rsid w:val="00AB1FB4"/>
    <w:rsid w:val="00AB2233"/>
    <w:rsid w:val="00AB32E3"/>
    <w:rsid w:val="00AB359F"/>
    <w:rsid w:val="00AB36C6"/>
    <w:rsid w:val="00AB3716"/>
    <w:rsid w:val="00AB38E8"/>
    <w:rsid w:val="00AB38FF"/>
    <w:rsid w:val="00AB3E02"/>
    <w:rsid w:val="00AB3E06"/>
    <w:rsid w:val="00AB45FD"/>
    <w:rsid w:val="00AB4695"/>
    <w:rsid w:val="00AB49F8"/>
    <w:rsid w:val="00AB4D65"/>
    <w:rsid w:val="00AB50CC"/>
    <w:rsid w:val="00AB593C"/>
    <w:rsid w:val="00AB5DB3"/>
    <w:rsid w:val="00AB61DB"/>
    <w:rsid w:val="00AB61E2"/>
    <w:rsid w:val="00AB6239"/>
    <w:rsid w:val="00AB62EF"/>
    <w:rsid w:val="00AB635F"/>
    <w:rsid w:val="00AB69DD"/>
    <w:rsid w:val="00AB6A7A"/>
    <w:rsid w:val="00AB6A93"/>
    <w:rsid w:val="00AB6FE6"/>
    <w:rsid w:val="00AB708E"/>
    <w:rsid w:val="00AB7271"/>
    <w:rsid w:val="00AB778D"/>
    <w:rsid w:val="00AB7E49"/>
    <w:rsid w:val="00AC0193"/>
    <w:rsid w:val="00AC03D9"/>
    <w:rsid w:val="00AC0AE3"/>
    <w:rsid w:val="00AC0CA6"/>
    <w:rsid w:val="00AC0D4B"/>
    <w:rsid w:val="00AC0F59"/>
    <w:rsid w:val="00AC0FCE"/>
    <w:rsid w:val="00AC15C4"/>
    <w:rsid w:val="00AC1A44"/>
    <w:rsid w:val="00AC1FEA"/>
    <w:rsid w:val="00AC22D1"/>
    <w:rsid w:val="00AC274A"/>
    <w:rsid w:val="00AC2B57"/>
    <w:rsid w:val="00AC39B5"/>
    <w:rsid w:val="00AC3C23"/>
    <w:rsid w:val="00AC3C4D"/>
    <w:rsid w:val="00AC442B"/>
    <w:rsid w:val="00AC4713"/>
    <w:rsid w:val="00AC4788"/>
    <w:rsid w:val="00AC4AC8"/>
    <w:rsid w:val="00AC4F7F"/>
    <w:rsid w:val="00AC5239"/>
    <w:rsid w:val="00AC5261"/>
    <w:rsid w:val="00AC52FA"/>
    <w:rsid w:val="00AC53B4"/>
    <w:rsid w:val="00AC5460"/>
    <w:rsid w:val="00AC5933"/>
    <w:rsid w:val="00AC6126"/>
    <w:rsid w:val="00AC6129"/>
    <w:rsid w:val="00AC645A"/>
    <w:rsid w:val="00AC6EDC"/>
    <w:rsid w:val="00AC74A1"/>
    <w:rsid w:val="00AC7768"/>
    <w:rsid w:val="00AC7842"/>
    <w:rsid w:val="00AC7CA9"/>
    <w:rsid w:val="00AC7F3E"/>
    <w:rsid w:val="00AC7F43"/>
    <w:rsid w:val="00AC7F84"/>
    <w:rsid w:val="00AD00B8"/>
    <w:rsid w:val="00AD0310"/>
    <w:rsid w:val="00AD07A2"/>
    <w:rsid w:val="00AD0822"/>
    <w:rsid w:val="00AD09EE"/>
    <w:rsid w:val="00AD0AA5"/>
    <w:rsid w:val="00AD0AED"/>
    <w:rsid w:val="00AD0C0D"/>
    <w:rsid w:val="00AD0F8D"/>
    <w:rsid w:val="00AD1550"/>
    <w:rsid w:val="00AD17D6"/>
    <w:rsid w:val="00AD18EB"/>
    <w:rsid w:val="00AD1AD1"/>
    <w:rsid w:val="00AD1E20"/>
    <w:rsid w:val="00AD1E84"/>
    <w:rsid w:val="00AD2176"/>
    <w:rsid w:val="00AD2E2A"/>
    <w:rsid w:val="00AD34BF"/>
    <w:rsid w:val="00AD36E5"/>
    <w:rsid w:val="00AD3A64"/>
    <w:rsid w:val="00AD3F08"/>
    <w:rsid w:val="00AD3F0D"/>
    <w:rsid w:val="00AD4393"/>
    <w:rsid w:val="00AD43AA"/>
    <w:rsid w:val="00AD4FB5"/>
    <w:rsid w:val="00AD4FC6"/>
    <w:rsid w:val="00AD5323"/>
    <w:rsid w:val="00AD57C1"/>
    <w:rsid w:val="00AD59D8"/>
    <w:rsid w:val="00AD5A82"/>
    <w:rsid w:val="00AD5D23"/>
    <w:rsid w:val="00AD5FBA"/>
    <w:rsid w:val="00AD655E"/>
    <w:rsid w:val="00AD68C3"/>
    <w:rsid w:val="00AD6C3F"/>
    <w:rsid w:val="00AD7241"/>
    <w:rsid w:val="00AD74E7"/>
    <w:rsid w:val="00AD7963"/>
    <w:rsid w:val="00AD7C43"/>
    <w:rsid w:val="00AD7D36"/>
    <w:rsid w:val="00AD7EB8"/>
    <w:rsid w:val="00AD7FAC"/>
    <w:rsid w:val="00AE000B"/>
    <w:rsid w:val="00AE00E7"/>
    <w:rsid w:val="00AE032F"/>
    <w:rsid w:val="00AE0B55"/>
    <w:rsid w:val="00AE0C93"/>
    <w:rsid w:val="00AE0D3C"/>
    <w:rsid w:val="00AE0DA8"/>
    <w:rsid w:val="00AE1041"/>
    <w:rsid w:val="00AE154A"/>
    <w:rsid w:val="00AE1B43"/>
    <w:rsid w:val="00AE1CFE"/>
    <w:rsid w:val="00AE1D6F"/>
    <w:rsid w:val="00AE1FC4"/>
    <w:rsid w:val="00AE23C1"/>
    <w:rsid w:val="00AE24C7"/>
    <w:rsid w:val="00AE269B"/>
    <w:rsid w:val="00AE2EFB"/>
    <w:rsid w:val="00AE30B9"/>
    <w:rsid w:val="00AE32F3"/>
    <w:rsid w:val="00AE3565"/>
    <w:rsid w:val="00AE37C4"/>
    <w:rsid w:val="00AE3B22"/>
    <w:rsid w:val="00AE553A"/>
    <w:rsid w:val="00AE596F"/>
    <w:rsid w:val="00AE6055"/>
    <w:rsid w:val="00AE63C3"/>
    <w:rsid w:val="00AE6530"/>
    <w:rsid w:val="00AE67DF"/>
    <w:rsid w:val="00AE6F58"/>
    <w:rsid w:val="00AE6FA1"/>
    <w:rsid w:val="00AE75E6"/>
    <w:rsid w:val="00AE7A4A"/>
    <w:rsid w:val="00AF01DA"/>
    <w:rsid w:val="00AF0201"/>
    <w:rsid w:val="00AF038A"/>
    <w:rsid w:val="00AF0EE9"/>
    <w:rsid w:val="00AF1024"/>
    <w:rsid w:val="00AF2FAC"/>
    <w:rsid w:val="00AF30BC"/>
    <w:rsid w:val="00AF373A"/>
    <w:rsid w:val="00AF3768"/>
    <w:rsid w:val="00AF41B1"/>
    <w:rsid w:val="00AF4516"/>
    <w:rsid w:val="00AF47BB"/>
    <w:rsid w:val="00AF4AB8"/>
    <w:rsid w:val="00AF4D52"/>
    <w:rsid w:val="00AF4DCE"/>
    <w:rsid w:val="00AF5060"/>
    <w:rsid w:val="00AF53F8"/>
    <w:rsid w:val="00AF541C"/>
    <w:rsid w:val="00AF5728"/>
    <w:rsid w:val="00AF6003"/>
    <w:rsid w:val="00AF61E4"/>
    <w:rsid w:val="00AF690B"/>
    <w:rsid w:val="00AF69D8"/>
    <w:rsid w:val="00AF6D24"/>
    <w:rsid w:val="00AF6F90"/>
    <w:rsid w:val="00AF70E5"/>
    <w:rsid w:val="00AF729B"/>
    <w:rsid w:val="00AF7581"/>
    <w:rsid w:val="00AF7BA5"/>
    <w:rsid w:val="00AF7BF8"/>
    <w:rsid w:val="00B00373"/>
    <w:rsid w:val="00B00552"/>
    <w:rsid w:val="00B0063B"/>
    <w:rsid w:val="00B00BDA"/>
    <w:rsid w:val="00B00D91"/>
    <w:rsid w:val="00B00E6F"/>
    <w:rsid w:val="00B010E3"/>
    <w:rsid w:val="00B0157D"/>
    <w:rsid w:val="00B01840"/>
    <w:rsid w:val="00B0190B"/>
    <w:rsid w:val="00B019BF"/>
    <w:rsid w:val="00B01CBA"/>
    <w:rsid w:val="00B0254B"/>
    <w:rsid w:val="00B026C9"/>
    <w:rsid w:val="00B027AB"/>
    <w:rsid w:val="00B02B31"/>
    <w:rsid w:val="00B02D45"/>
    <w:rsid w:val="00B02F7C"/>
    <w:rsid w:val="00B030A0"/>
    <w:rsid w:val="00B032A5"/>
    <w:rsid w:val="00B03540"/>
    <w:rsid w:val="00B037C9"/>
    <w:rsid w:val="00B03849"/>
    <w:rsid w:val="00B0411B"/>
    <w:rsid w:val="00B04427"/>
    <w:rsid w:val="00B0446C"/>
    <w:rsid w:val="00B044B0"/>
    <w:rsid w:val="00B045AE"/>
    <w:rsid w:val="00B0491C"/>
    <w:rsid w:val="00B049B5"/>
    <w:rsid w:val="00B04D2B"/>
    <w:rsid w:val="00B04F6E"/>
    <w:rsid w:val="00B05481"/>
    <w:rsid w:val="00B05A2E"/>
    <w:rsid w:val="00B05D4F"/>
    <w:rsid w:val="00B05F13"/>
    <w:rsid w:val="00B0648F"/>
    <w:rsid w:val="00B06504"/>
    <w:rsid w:val="00B06A46"/>
    <w:rsid w:val="00B06C25"/>
    <w:rsid w:val="00B07DCB"/>
    <w:rsid w:val="00B07FF1"/>
    <w:rsid w:val="00B104F6"/>
    <w:rsid w:val="00B11229"/>
    <w:rsid w:val="00B115BF"/>
    <w:rsid w:val="00B1160B"/>
    <w:rsid w:val="00B119EB"/>
    <w:rsid w:val="00B11BD4"/>
    <w:rsid w:val="00B11CD5"/>
    <w:rsid w:val="00B11E22"/>
    <w:rsid w:val="00B1245F"/>
    <w:rsid w:val="00B12523"/>
    <w:rsid w:val="00B12833"/>
    <w:rsid w:val="00B129A7"/>
    <w:rsid w:val="00B12F11"/>
    <w:rsid w:val="00B130EE"/>
    <w:rsid w:val="00B137CA"/>
    <w:rsid w:val="00B1387D"/>
    <w:rsid w:val="00B13A7C"/>
    <w:rsid w:val="00B14096"/>
    <w:rsid w:val="00B1443C"/>
    <w:rsid w:val="00B144A7"/>
    <w:rsid w:val="00B145A3"/>
    <w:rsid w:val="00B147B4"/>
    <w:rsid w:val="00B147F3"/>
    <w:rsid w:val="00B14B63"/>
    <w:rsid w:val="00B14C17"/>
    <w:rsid w:val="00B14C34"/>
    <w:rsid w:val="00B15CA5"/>
    <w:rsid w:val="00B15F2D"/>
    <w:rsid w:val="00B15FCC"/>
    <w:rsid w:val="00B16171"/>
    <w:rsid w:val="00B162B9"/>
    <w:rsid w:val="00B162D8"/>
    <w:rsid w:val="00B162FD"/>
    <w:rsid w:val="00B163E7"/>
    <w:rsid w:val="00B16BA2"/>
    <w:rsid w:val="00B16C66"/>
    <w:rsid w:val="00B17029"/>
    <w:rsid w:val="00B17225"/>
    <w:rsid w:val="00B173B9"/>
    <w:rsid w:val="00B17714"/>
    <w:rsid w:val="00B17E66"/>
    <w:rsid w:val="00B20031"/>
    <w:rsid w:val="00B209A5"/>
    <w:rsid w:val="00B2101E"/>
    <w:rsid w:val="00B214AF"/>
    <w:rsid w:val="00B21AAA"/>
    <w:rsid w:val="00B21B29"/>
    <w:rsid w:val="00B21C07"/>
    <w:rsid w:val="00B22AFA"/>
    <w:rsid w:val="00B231C5"/>
    <w:rsid w:val="00B2324E"/>
    <w:rsid w:val="00B23281"/>
    <w:rsid w:val="00B2358F"/>
    <w:rsid w:val="00B2369F"/>
    <w:rsid w:val="00B239CC"/>
    <w:rsid w:val="00B23A8E"/>
    <w:rsid w:val="00B23D8B"/>
    <w:rsid w:val="00B23FBB"/>
    <w:rsid w:val="00B24561"/>
    <w:rsid w:val="00B245F8"/>
    <w:rsid w:val="00B24A5F"/>
    <w:rsid w:val="00B24F6B"/>
    <w:rsid w:val="00B25077"/>
    <w:rsid w:val="00B2508D"/>
    <w:rsid w:val="00B25CD4"/>
    <w:rsid w:val="00B26334"/>
    <w:rsid w:val="00B270F1"/>
    <w:rsid w:val="00B27164"/>
    <w:rsid w:val="00B2716C"/>
    <w:rsid w:val="00B274BB"/>
    <w:rsid w:val="00B277F6"/>
    <w:rsid w:val="00B27874"/>
    <w:rsid w:val="00B27AEE"/>
    <w:rsid w:val="00B27AF1"/>
    <w:rsid w:val="00B27EC3"/>
    <w:rsid w:val="00B30E92"/>
    <w:rsid w:val="00B313D0"/>
    <w:rsid w:val="00B31433"/>
    <w:rsid w:val="00B31B2A"/>
    <w:rsid w:val="00B31B2D"/>
    <w:rsid w:val="00B31BDF"/>
    <w:rsid w:val="00B323F4"/>
    <w:rsid w:val="00B324A3"/>
    <w:rsid w:val="00B32547"/>
    <w:rsid w:val="00B325DD"/>
    <w:rsid w:val="00B3337E"/>
    <w:rsid w:val="00B3354B"/>
    <w:rsid w:val="00B33699"/>
    <w:rsid w:val="00B337A3"/>
    <w:rsid w:val="00B339D7"/>
    <w:rsid w:val="00B33A4D"/>
    <w:rsid w:val="00B33A5E"/>
    <w:rsid w:val="00B33BF4"/>
    <w:rsid w:val="00B33F40"/>
    <w:rsid w:val="00B34040"/>
    <w:rsid w:val="00B3421E"/>
    <w:rsid w:val="00B3458B"/>
    <w:rsid w:val="00B346D7"/>
    <w:rsid w:val="00B348BC"/>
    <w:rsid w:val="00B34ADD"/>
    <w:rsid w:val="00B34D27"/>
    <w:rsid w:val="00B354E2"/>
    <w:rsid w:val="00B35607"/>
    <w:rsid w:val="00B360C9"/>
    <w:rsid w:val="00B36267"/>
    <w:rsid w:val="00B36AA8"/>
    <w:rsid w:val="00B36C20"/>
    <w:rsid w:val="00B36D85"/>
    <w:rsid w:val="00B36E11"/>
    <w:rsid w:val="00B36ED5"/>
    <w:rsid w:val="00B3746C"/>
    <w:rsid w:val="00B376A6"/>
    <w:rsid w:val="00B37B35"/>
    <w:rsid w:val="00B37B8E"/>
    <w:rsid w:val="00B40663"/>
    <w:rsid w:val="00B41422"/>
    <w:rsid w:val="00B41618"/>
    <w:rsid w:val="00B4190A"/>
    <w:rsid w:val="00B42608"/>
    <w:rsid w:val="00B432A4"/>
    <w:rsid w:val="00B43401"/>
    <w:rsid w:val="00B43C2F"/>
    <w:rsid w:val="00B43D59"/>
    <w:rsid w:val="00B441C2"/>
    <w:rsid w:val="00B44FD9"/>
    <w:rsid w:val="00B450EA"/>
    <w:rsid w:val="00B4522C"/>
    <w:rsid w:val="00B458D6"/>
    <w:rsid w:val="00B4593A"/>
    <w:rsid w:val="00B45BEA"/>
    <w:rsid w:val="00B45C9D"/>
    <w:rsid w:val="00B45D21"/>
    <w:rsid w:val="00B4620B"/>
    <w:rsid w:val="00B4625C"/>
    <w:rsid w:val="00B469A1"/>
    <w:rsid w:val="00B46AE8"/>
    <w:rsid w:val="00B46F74"/>
    <w:rsid w:val="00B471E5"/>
    <w:rsid w:val="00B47BA1"/>
    <w:rsid w:val="00B47CCC"/>
    <w:rsid w:val="00B47D94"/>
    <w:rsid w:val="00B5062B"/>
    <w:rsid w:val="00B5070A"/>
    <w:rsid w:val="00B50D2E"/>
    <w:rsid w:val="00B50FEE"/>
    <w:rsid w:val="00B5103A"/>
    <w:rsid w:val="00B5113D"/>
    <w:rsid w:val="00B514C1"/>
    <w:rsid w:val="00B51B9D"/>
    <w:rsid w:val="00B51BD3"/>
    <w:rsid w:val="00B51C49"/>
    <w:rsid w:val="00B52075"/>
    <w:rsid w:val="00B520BC"/>
    <w:rsid w:val="00B52445"/>
    <w:rsid w:val="00B52559"/>
    <w:rsid w:val="00B52903"/>
    <w:rsid w:val="00B52BF5"/>
    <w:rsid w:val="00B52F4D"/>
    <w:rsid w:val="00B537A6"/>
    <w:rsid w:val="00B53833"/>
    <w:rsid w:val="00B53D0E"/>
    <w:rsid w:val="00B53F3F"/>
    <w:rsid w:val="00B541F7"/>
    <w:rsid w:val="00B54864"/>
    <w:rsid w:val="00B54B74"/>
    <w:rsid w:val="00B54E83"/>
    <w:rsid w:val="00B54F21"/>
    <w:rsid w:val="00B55109"/>
    <w:rsid w:val="00B55470"/>
    <w:rsid w:val="00B5553A"/>
    <w:rsid w:val="00B555EA"/>
    <w:rsid w:val="00B5603B"/>
    <w:rsid w:val="00B560B1"/>
    <w:rsid w:val="00B562E8"/>
    <w:rsid w:val="00B56D9B"/>
    <w:rsid w:val="00B56F05"/>
    <w:rsid w:val="00B56F98"/>
    <w:rsid w:val="00B56FDE"/>
    <w:rsid w:val="00B56FDF"/>
    <w:rsid w:val="00B57141"/>
    <w:rsid w:val="00B57470"/>
    <w:rsid w:val="00B574A9"/>
    <w:rsid w:val="00B5765C"/>
    <w:rsid w:val="00B576CC"/>
    <w:rsid w:val="00B57B16"/>
    <w:rsid w:val="00B57D30"/>
    <w:rsid w:val="00B57D59"/>
    <w:rsid w:val="00B6009D"/>
    <w:rsid w:val="00B60310"/>
    <w:rsid w:val="00B60471"/>
    <w:rsid w:val="00B60896"/>
    <w:rsid w:val="00B608F5"/>
    <w:rsid w:val="00B60CDA"/>
    <w:rsid w:val="00B60E78"/>
    <w:rsid w:val="00B610B8"/>
    <w:rsid w:val="00B61423"/>
    <w:rsid w:val="00B6179A"/>
    <w:rsid w:val="00B61EF0"/>
    <w:rsid w:val="00B62337"/>
    <w:rsid w:val="00B63672"/>
    <w:rsid w:val="00B63707"/>
    <w:rsid w:val="00B6372C"/>
    <w:rsid w:val="00B63C4B"/>
    <w:rsid w:val="00B63E6C"/>
    <w:rsid w:val="00B64449"/>
    <w:rsid w:val="00B64963"/>
    <w:rsid w:val="00B64C25"/>
    <w:rsid w:val="00B65161"/>
    <w:rsid w:val="00B65162"/>
    <w:rsid w:val="00B655FC"/>
    <w:rsid w:val="00B65788"/>
    <w:rsid w:val="00B65D0B"/>
    <w:rsid w:val="00B65F91"/>
    <w:rsid w:val="00B6629F"/>
    <w:rsid w:val="00B6631C"/>
    <w:rsid w:val="00B66405"/>
    <w:rsid w:val="00B6683D"/>
    <w:rsid w:val="00B66A81"/>
    <w:rsid w:val="00B67033"/>
    <w:rsid w:val="00B674A3"/>
    <w:rsid w:val="00B677BE"/>
    <w:rsid w:val="00B67A15"/>
    <w:rsid w:val="00B67E83"/>
    <w:rsid w:val="00B703FD"/>
    <w:rsid w:val="00B7056C"/>
    <w:rsid w:val="00B70721"/>
    <w:rsid w:val="00B70728"/>
    <w:rsid w:val="00B70AE9"/>
    <w:rsid w:val="00B70D97"/>
    <w:rsid w:val="00B70E26"/>
    <w:rsid w:val="00B7147E"/>
    <w:rsid w:val="00B715D8"/>
    <w:rsid w:val="00B72413"/>
    <w:rsid w:val="00B735F5"/>
    <w:rsid w:val="00B737E0"/>
    <w:rsid w:val="00B74835"/>
    <w:rsid w:val="00B749FE"/>
    <w:rsid w:val="00B74E82"/>
    <w:rsid w:val="00B75C22"/>
    <w:rsid w:val="00B75CAB"/>
    <w:rsid w:val="00B760DC"/>
    <w:rsid w:val="00B762C5"/>
    <w:rsid w:val="00B762EC"/>
    <w:rsid w:val="00B76527"/>
    <w:rsid w:val="00B76DA9"/>
    <w:rsid w:val="00B7704F"/>
    <w:rsid w:val="00B7709A"/>
    <w:rsid w:val="00B77D14"/>
    <w:rsid w:val="00B77FAC"/>
    <w:rsid w:val="00B8009C"/>
    <w:rsid w:val="00B801E6"/>
    <w:rsid w:val="00B80332"/>
    <w:rsid w:val="00B809C0"/>
    <w:rsid w:val="00B80B34"/>
    <w:rsid w:val="00B8101E"/>
    <w:rsid w:val="00B81522"/>
    <w:rsid w:val="00B816F9"/>
    <w:rsid w:val="00B8174D"/>
    <w:rsid w:val="00B822F8"/>
    <w:rsid w:val="00B826E7"/>
    <w:rsid w:val="00B82857"/>
    <w:rsid w:val="00B82F4F"/>
    <w:rsid w:val="00B8300A"/>
    <w:rsid w:val="00B83763"/>
    <w:rsid w:val="00B8427B"/>
    <w:rsid w:val="00B844EA"/>
    <w:rsid w:val="00B8451D"/>
    <w:rsid w:val="00B848BD"/>
    <w:rsid w:val="00B84AED"/>
    <w:rsid w:val="00B84D16"/>
    <w:rsid w:val="00B85496"/>
    <w:rsid w:val="00B854EA"/>
    <w:rsid w:val="00B85985"/>
    <w:rsid w:val="00B85B62"/>
    <w:rsid w:val="00B85CE2"/>
    <w:rsid w:val="00B85E27"/>
    <w:rsid w:val="00B85E77"/>
    <w:rsid w:val="00B8604E"/>
    <w:rsid w:val="00B8615E"/>
    <w:rsid w:val="00B862E3"/>
    <w:rsid w:val="00B86347"/>
    <w:rsid w:val="00B86570"/>
    <w:rsid w:val="00B868B0"/>
    <w:rsid w:val="00B86BFB"/>
    <w:rsid w:val="00B87306"/>
    <w:rsid w:val="00B87D7A"/>
    <w:rsid w:val="00B87DC3"/>
    <w:rsid w:val="00B902F4"/>
    <w:rsid w:val="00B905F0"/>
    <w:rsid w:val="00B90818"/>
    <w:rsid w:val="00B90979"/>
    <w:rsid w:val="00B90E6C"/>
    <w:rsid w:val="00B915DA"/>
    <w:rsid w:val="00B91D2B"/>
    <w:rsid w:val="00B92055"/>
    <w:rsid w:val="00B9231A"/>
    <w:rsid w:val="00B928AA"/>
    <w:rsid w:val="00B92FDE"/>
    <w:rsid w:val="00B93072"/>
    <w:rsid w:val="00B935C8"/>
    <w:rsid w:val="00B93B91"/>
    <w:rsid w:val="00B93F60"/>
    <w:rsid w:val="00B944B2"/>
    <w:rsid w:val="00B94638"/>
    <w:rsid w:val="00B94A6E"/>
    <w:rsid w:val="00B94B77"/>
    <w:rsid w:val="00B95012"/>
    <w:rsid w:val="00B952E3"/>
    <w:rsid w:val="00B95383"/>
    <w:rsid w:val="00B953B0"/>
    <w:rsid w:val="00B953F5"/>
    <w:rsid w:val="00B954E4"/>
    <w:rsid w:val="00B9578E"/>
    <w:rsid w:val="00B95990"/>
    <w:rsid w:val="00B95B15"/>
    <w:rsid w:val="00B95C87"/>
    <w:rsid w:val="00B95D5D"/>
    <w:rsid w:val="00B962BE"/>
    <w:rsid w:val="00B970E0"/>
    <w:rsid w:val="00B978F5"/>
    <w:rsid w:val="00BA08E7"/>
    <w:rsid w:val="00BA0D28"/>
    <w:rsid w:val="00BA0DA0"/>
    <w:rsid w:val="00BA1231"/>
    <w:rsid w:val="00BA13B5"/>
    <w:rsid w:val="00BA1B3E"/>
    <w:rsid w:val="00BA1E82"/>
    <w:rsid w:val="00BA1F2B"/>
    <w:rsid w:val="00BA1FAB"/>
    <w:rsid w:val="00BA227E"/>
    <w:rsid w:val="00BA259D"/>
    <w:rsid w:val="00BA26CF"/>
    <w:rsid w:val="00BA3624"/>
    <w:rsid w:val="00BA3C04"/>
    <w:rsid w:val="00BA3C95"/>
    <w:rsid w:val="00BA4221"/>
    <w:rsid w:val="00BA43BF"/>
    <w:rsid w:val="00BA47FF"/>
    <w:rsid w:val="00BA499C"/>
    <w:rsid w:val="00BA4E63"/>
    <w:rsid w:val="00BA5663"/>
    <w:rsid w:val="00BA5894"/>
    <w:rsid w:val="00BA5BE2"/>
    <w:rsid w:val="00BA5D53"/>
    <w:rsid w:val="00BA5E00"/>
    <w:rsid w:val="00BA6280"/>
    <w:rsid w:val="00BA6397"/>
    <w:rsid w:val="00BA644B"/>
    <w:rsid w:val="00BA6A25"/>
    <w:rsid w:val="00BA6D1D"/>
    <w:rsid w:val="00BA7586"/>
    <w:rsid w:val="00BA7CB4"/>
    <w:rsid w:val="00BA7E77"/>
    <w:rsid w:val="00BA7EC1"/>
    <w:rsid w:val="00BB0189"/>
    <w:rsid w:val="00BB0250"/>
    <w:rsid w:val="00BB0AF6"/>
    <w:rsid w:val="00BB1094"/>
    <w:rsid w:val="00BB1407"/>
    <w:rsid w:val="00BB19F2"/>
    <w:rsid w:val="00BB2486"/>
    <w:rsid w:val="00BB25C1"/>
    <w:rsid w:val="00BB2B22"/>
    <w:rsid w:val="00BB2FAC"/>
    <w:rsid w:val="00BB3D6E"/>
    <w:rsid w:val="00BB3DCD"/>
    <w:rsid w:val="00BB445F"/>
    <w:rsid w:val="00BB4880"/>
    <w:rsid w:val="00BB49D4"/>
    <w:rsid w:val="00BB4AEC"/>
    <w:rsid w:val="00BB4F92"/>
    <w:rsid w:val="00BB5022"/>
    <w:rsid w:val="00BB5200"/>
    <w:rsid w:val="00BB544E"/>
    <w:rsid w:val="00BB5561"/>
    <w:rsid w:val="00BB580F"/>
    <w:rsid w:val="00BB5BED"/>
    <w:rsid w:val="00BB5D83"/>
    <w:rsid w:val="00BB6279"/>
    <w:rsid w:val="00BB6346"/>
    <w:rsid w:val="00BB652E"/>
    <w:rsid w:val="00BB6922"/>
    <w:rsid w:val="00BB715E"/>
    <w:rsid w:val="00BB76E9"/>
    <w:rsid w:val="00BB7786"/>
    <w:rsid w:val="00BB7A64"/>
    <w:rsid w:val="00BB7EB0"/>
    <w:rsid w:val="00BC00B7"/>
    <w:rsid w:val="00BC00D8"/>
    <w:rsid w:val="00BC048F"/>
    <w:rsid w:val="00BC0509"/>
    <w:rsid w:val="00BC065C"/>
    <w:rsid w:val="00BC11B2"/>
    <w:rsid w:val="00BC123C"/>
    <w:rsid w:val="00BC1B77"/>
    <w:rsid w:val="00BC1DD1"/>
    <w:rsid w:val="00BC1F06"/>
    <w:rsid w:val="00BC2281"/>
    <w:rsid w:val="00BC2424"/>
    <w:rsid w:val="00BC29E6"/>
    <w:rsid w:val="00BC2C39"/>
    <w:rsid w:val="00BC2FBE"/>
    <w:rsid w:val="00BC33E4"/>
    <w:rsid w:val="00BC34CA"/>
    <w:rsid w:val="00BC3FEA"/>
    <w:rsid w:val="00BC4032"/>
    <w:rsid w:val="00BC43A6"/>
    <w:rsid w:val="00BC47E8"/>
    <w:rsid w:val="00BC4FAB"/>
    <w:rsid w:val="00BC52B9"/>
    <w:rsid w:val="00BC56BD"/>
    <w:rsid w:val="00BC57B1"/>
    <w:rsid w:val="00BC5882"/>
    <w:rsid w:val="00BC5ED5"/>
    <w:rsid w:val="00BC5F60"/>
    <w:rsid w:val="00BC63AD"/>
    <w:rsid w:val="00BC66FE"/>
    <w:rsid w:val="00BC7313"/>
    <w:rsid w:val="00BC7429"/>
    <w:rsid w:val="00BC7440"/>
    <w:rsid w:val="00BD0100"/>
    <w:rsid w:val="00BD0465"/>
    <w:rsid w:val="00BD0538"/>
    <w:rsid w:val="00BD0802"/>
    <w:rsid w:val="00BD09C4"/>
    <w:rsid w:val="00BD09DB"/>
    <w:rsid w:val="00BD1855"/>
    <w:rsid w:val="00BD1A7C"/>
    <w:rsid w:val="00BD1A91"/>
    <w:rsid w:val="00BD1FCB"/>
    <w:rsid w:val="00BD2155"/>
    <w:rsid w:val="00BD323D"/>
    <w:rsid w:val="00BD357D"/>
    <w:rsid w:val="00BD3A9F"/>
    <w:rsid w:val="00BD3AB4"/>
    <w:rsid w:val="00BD3E84"/>
    <w:rsid w:val="00BD4408"/>
    <w:rsid w:val="00BD4894"/>
    <w:rsid w:val="00BD4F10"/>
    <w:rsid w:val="00BD61C0"/>
    <w:rsid w:val="00BD646B"/>
    <w:rsid w:val="00BD6837"/>
    <w:rsid w:val="00BD6C10"/>
    <w:rsid w:val="00BD6CEC"/>
    <w:rsid w:val="00BD6E33"/>
    <w:rsid w:val="00BD6F52"/>
    <w:rsid w:val="00BD72D0"/>
    <w:rsid w:val="00BD7B76"/>
    <w:rsid w:val="00BD7BE1"/>
    <w:rsid w:val="00BD7D04"/>
    <w:rsid w:val="00BD7EAF"/>
    <w:rsid w:val="00BE0655"/>
    <w:rsid w:val="00BE0728"/>
    <w:rsid w:val="00BE160B"/>
    <w:rsid w:val="00BE1A0A"/>
    <w:rsid w:val="00BE1B72"/>
    <w:rsid w:val="00BE1CD5"/>
    <w:rsid w:val="00BE1D84"/>
    <w:rsid w:val="00BE1DCC"/>
    <w:rsid w:val="00BE1F3A"/>
    <w:rsid w:val="00BE22C4"/>
    <w:rsid w:val="00BE2520"/>
    <w:rsid w:val="00BE33EE"/>
    <w:rsid w:val="00BE35B0"/>
    <w:rsid w:val="00BE37BA"/>
    <w:rsid w:val="00BE38A0"/>
    <w:rsid w:val="00BE397F"/>
    <w:rsid w:val="00BE39A5"/>
    <w:rsid w:val="00BE3EF6"/>
    <w:rsid w:val="00BE48FF"/>
    <w:rsid w:val="00BE515F"/>
    <w:rsid w:val="00BE5216"/>
    <w:rsid w:val="00BE5468"/>
    <w:rsid w:val="00BE5582"/>
    <w:rsid w:val="00BE5615"/>
    <w:rsid w:val="00BE5B37"/>
    <w:rsid w:val="00BE5D83"/>
    <w:rsid w:val="00BE6AF9"/>
    <w:rsid w:val="00BE6CA9"/>
    <w:rsid w:val="00BE6F9E"/>
    <w:rsid w:val="00BE707A"/>
    <w:rsid w:val="00BE7383"/>
    <w:rsid w:val="00BE7453"/>
    <w:rsid w:val="00BE75B0"/>
    <w:rsid w:val="00BE7C4D"/>
    <w:rsid w:val="00BE7C9A"/>
    <w:rsid w:val="00BF0126"/>
    <w:rsid w:val="00BF0400"/>
    <w:rsid w:val="00BF0820"/>
    <w:rsid w:val="00BF0924"/>
    <w:rsid w:val="00BF0DF8"/>
    <w:rsid w:val="00BF19EC"/>
    <w:rsid w:val="00BF1FB1"/>
    <w:rsid w:val="00BF206E"/>
    <w:rsid w:val="00BF2837"/>
    <w:rsid w:val="00BF2B65"/>
    <w:rsid w:val="00BF2DCB"/>
    <w:rsid w:val="00BF31A1"/>
    <w:rsid w:val="00BF31C8"/>
    <w:rsid w:val="00BF3223"/>
    <w:rsid w:val="00BF3766"/>
    <w:rsid w:val="00BF45A7"/>
    <w:rsid w:val="00BF4974"/>
    <w:rsid w:val="00BF514D"/>
    <w:rsid w:val="00BF564E"/>
    <w:rsid w:val="00BF584C"/>
    <w:rsid w:val="00BF587C"/>
    <w:rsid w:val="00BF6040"/>
    <w:rsid w:val="00BF615A"/>
    <w:rsid w:val="00BF632D"/>
    <w:rsid w:val="00BF6C5B"/>
    <w:rsid w:val="00BF6C8D"/>
    <w:rsid w:val="00BF70AA"/>
    <w:rsid w:val="00BF75B5"/>
    <w:rsid w:val="00BF7FB9"/>
    <w:rsid w:val="00C00051"/>
    <w:rsid w:val="00C0062A"/>
    <w:rsid w:val="00C0089A"/>
    <w:rsid w:val="00C00ADE"/>
    <w:rsid w:val="00C00E1B"/>
    <w:rsid w:val="00C00E2B"/>
    <w:rsid w:val="00C01115"/>
    <w:rsid w:val="00C021BE"/>
    <w:rsid w:val="00C024BF"/>
    <w:rsid w:val="00C025CB"/>
    <w:rsid w:val="00C026A8"/>
    <w:rsid w:val="00C026B2"/>
    <w:rsid w:val="00C029DB"/>
    <w:rsid w:val="00C029FF"/>
    <w:rsid w:val="00C02E35"/>
    <w:rsid w:val="00C03018"/>
    <w:rsid w:val="00C03046"/>
    <w:rsid w:val="00C031A8"/>
    <w:rsid w:val="00C033D5"/>
    <w:rsid w:val="00C03426"/>
    <w:rsid w:val="00C0399F"/>
    <w:rsid w:val="00C03BC7"/>
    <w:rsid w:val="00C03BEA"/>
    <w:rsid w:val="00C03FC6"/>
    <w:rsid w:val="00C042F7"/>
    <w:rsid w:val="00C04751"/>
    <w:rsid w:val="00C04AB6"/>
    <w:rsid w:val="00C04D49"/>
    <w:rsid w:val="00C050CE"/>
    <w:rsid w:val="00C053D5"/>
    <w:rsid w:val="00C05690"/>
    <w:rsid w:val="00C06351"/>
    <w:rsid w:val="00C06897"/>
    <w:rsid w:val="00C06B65"/>
    <w:rsid w:val="00C07601"/>
    <w:rsid w:val="00C07D0C"/>
    <w:rsid w:val="00C1027A"/>
    <w:rsid w:val="00C10590"/>
    <w:rsid w:val="00C10725"/>
    <w:rsid w:val="00C10B72"/>
    <w:rsid w:val="00C10D0F"/>
    <w:rsid w:val="00C11063"/>
    <w:rsid w:val="00C111EE"/>
    <w:rsid w:val="00C11563"/>
    <w:rsid w:val="00C116F9"/>
    <w:rsid w:val="00C11EE6"/>
    <w:rsid w:val="00C123AA"/>
    <w:rsid w:val="00C125BC"/>
    <w:rsid w:val="00C12863"/>
    <w:rsid w:val="00C13654"/>
    <w:rsid w:val="00C13C47"/>
    <w:rsid w:val="00C13D17"/>
    <w:rsid w:val="00C13DF0"/>
    <w:rsid w:val="00C1424F"/>
    <w:rsid w:val="00C142A1"/>
    <w:rsid w:val="00C143DC"/>
    <w:rsid w:val="00C14457"/>
    <w:rsid w:val="00C147E9"/>
    <w:rsid w:val="00C14879"/>
    <w:rsid w:val="00C148D6"/>
    <w:rsid w:val="00C14ED2"/>
    <w:rsid w:val="00C15C06"/>
    <w:rsid w:val="00C163E1"/>
    <w:rsid w:val="00C169C6"/>
    <w:rsid w:val="00C16FC0"/>
    <w:rsid w:val="00C17303"/>
    <w:rsid w:val="00C2021C"/>
    <w:rsid w:val="00C202A0"/>
    <w:rsid w:val="00C2036A"/>
    <w:rsid w:val="00C2071B"/>
    <w:rsid w:val="00C20796"/>
    <w:rsid w:val="00C20884"/>
    <w:rsid w:val="00C20B6A"/>
    <w:rsid w:val="00C218C3"/>
    <w:rsid w:val="00C21AF5"/>
    <w:rsid w:val="00C21B1A"/>
    <w:rsid w:val="00C21E9D"/>
    <w:rsid w:val="00C21EC2"/>
    <w:rsid w:val="00C2277F"/>
    <w:rsid w:val="00C22A15"/>
    <w:rsid w:val="00C23063"/>
    <w:rsid w:val="00C231A5"/>
    <w:rsid w:val="00C234D1"/>
    <w:rsid w:val="00C23B68"/>
    <w:rsid w:val="00C23CEC"/>
    <w:rsid w:val="00C23EBF"/>
    <w:rsid w:val="00C23EC4"/>
    <w:rsid w:val="00C24106"/>
    <w:rsid w:val="00C243AB"/>
    <w:rsid w:val="00C244AE"/>
    <w:rsid w:val="00C251D9"/>
    <w:rsid w:val="00C252F9"/>
    <w:rsid w:val="00C253AA"/>
    <w:rsid w:val="00C2590F"/>
    <w:rsid w:val="00C25FCC"/>
    <w:rsid w:val="00C263C2"/>
    <w:rsid w:val="00C264C2"/>
    <w:rsid w:val="00C2665E"/>
    <w:rsid w:val="00C26696"/>
    <w:rsid w:val="00C2675D"/>
    <w:rsid w:val="00C267C8"/>
    <w:rsid w:val="00C267E2"/>
    <w:rsid w:val="00C27749"/>
    <w:rsid w:val="00C27777"/>
    <w:rsid w:val="00C27AC0"/>
    <w:rsid w:val="00C300C1"/>
    <w:rsid w:val="00C30613"/>
    <w:rsid w:val="00C30897"/>
    <w:rsid w:val="00C30CBB"/>
    <w:rsid w:val="00C31288"/>
    <w:rsid w:val="00C3149A"/>
    <w:rsid w:val="00C31675"/>
    <w:rsid w:val="00C31864"/>
    <w:rsid w:val="00C318C9"/>
    <w:rsid w:val="00C31F1B"/>
    <w:rsid w:val="00C328BB"/>
    <w:rsid w:val="00C32A3C"/>
    <w:rsid w:val="00C32BA0"/>
    <w:rsid w:val="00C32C28"/>
    <w:rsid w:val="00C32CEF"/>
    <w:rsid w:val="00C32DF2"/>
    <w:rsid w:val="00C32FE0"/>
    <w:rsid w:val="00C3324F"/>
    <w:rsid w:val="00C33677"/>
    <w:rsid w:val="00C3380B"/>
    <w:rsid w:val="00C338F3"/>
    <w:rsid w:val="00C33993"/>
    <w:rsid w:val="00C34020"/>
    <w:rsid w:val="00C34725"/>
    <w:rsid w:val="00C347CE"/>
    <w:rsid w:val="00C34869"/>
    <w:rsid w:val="00C3503D"/>
    <w:rsid w:val="00C36261"/>
    <w:rsid w:val="00C362E8"/>
    <w:rsid w:val="00C36520"/>
    <w:rsid w:val="00C3659C"/>
    <w:rsid w:val="00C365B0"/>
    <w:rsid w:val="00C36647"/>
    <w:rsid w:val="00C366AF"/>
    <w:rsid w:val="00C36824"/>
    <w:rsid w:val="00C36C5D"/>
    <w:rsid w:val="00C3721F"/>
    <w:rsid w:val="00C37302"/>
    <w:rsid w:val="00C37DD3"/>
    <w:rsid w:val="00C37F3E"/>
    <w:rsid w:val="00C402F5"/>
    <w:rsid w:val="00C40C52"/>
    <w:rsid w:val="00C40C85"/>
    <w:rsid w:val="00C40F33"/>
    <w:rsid w:val="00C40FAE"/>
    <w:rsid w:val="00C4104E"/>
    <w:rsid w:val="00C41315"/>
    <w:rsid w:val="00C41482"/>
    <w:rsid w:val="00C4149E"/>
    <w:rsid w:val="00C41B97"/>
    <w:rsid w:val="00C41E7B"/>
    <w:rsid w:val="00C423DC"/>
    <w:rsid w:val="00C4326E"/>
    <w:rsid w:val="00C43470"/>
    <w:rsid w:val="00C437B0"/>
    <w:rsid w:val="00C43A15"/>
    <w:rsid w:val="00C43D61"/>
    <w:rsid w:val="00C43DAE"/>
    <w:rsid w:val="00C43FE5"/>
    <w:rsid w:val="00C44323"/>
    <w:rsid w:val="00C44BD1"/>
    <w:rsid w:val="00C44E83"/>
    <w:rsid w:val="00C4502B"/>
    <w:rsid w:val="00C4532B"/>
    <w:rsid w:val="00C45AA4"/>
    <w:rsid w:val="00C45D43"/>
    <w:rsid w:val="00C45EC6"/>
    <w:rsid w:val="00C46180"/>
    <w:rsid w:val="00C461C0"/>
    <w:rsid w:val="00C462F9"/>
    <w:rsid w:val="00C466BC"/>
    <w:rsid w:val="00C46B15"/>
    <w:rsid w:val="00C47041"/>
    <w:rsid w:val="00C479A2"/>
    <w:rsid w:val="00C47CB9"/>
    <w:rsid w:val="00C501B0"/>
    <w:rsid w:val="00C50B3B"/>
    <w:rsid w:val="00C50BDF"/>
    <w:rsid w:val="00C51018"/>
    <w:rsid w:val="00C512BA"/>
    <w:rsid w:val="00C519C6"/>
    <w:rsid w:val="00C51B0E"/>
    <w:rsid w:val="00C52332"/>
    <w:rsid w:val="00C52560"/>
    <w:rsid w:val="00C526C9"/>
    <w:rsid w:val="00C5296C"/>
    <w:rsid w:val="00C52B81"/>
    <w:rsid w:val="00C52B8C"/>
    <w:rsid w:val="00C535AF"/>
    <w:rsid w:val="00C53A4C"/>
    <w:rsid w:val="00C53BD3"/>
    <w:rsid w:val="00C540AC"/>
    <w:rsid w:val="00C54219"/>
    <w:rsid w:val="00C54614"/>
    <w:rsid w:val="00C54A54"/>
    <w:rsid w:val="00C5546D"/>
    <w:rsid w:val="00C554BE"/>
    <w:rsid w:val="00C55510"/>
    <w:rsid w:val="00C55941"/>
    <w:rsid w:val="00C559B2"/>
    <w:rsid w:val="00C56370"/>
    <w:rsid w:val="00C5640C"/>
    <w:rsid w:val="00C56920"/>
    <w:rsid w:val="00C56AC4"/>
    <w:rsid w:val="00C56BD2"/>
    <w:rsid w:val="00C56DAC"/>
    <w:rsid w:val="00C56F51"/>
    <w:rsid w:val="00C57274"/>
    <w:rsid w:val="00C572BD"/>
    <w:rsid w:val="00C579F9"/>
    <w:rsid w:val="00C57BC3"/>
    <w:rsid w:val="00C57CA1"/>
    <w:rsid w:val="00C57CCC"/>
    <w:rsid w:val="00C57F4E"/>
    <w:rsid w:val="00C6032D"/>
    <w:rsid w:val="00C60638"/>
    <w:rsid w:val="00C606DB"/>
    <w:rsid w:val="00C60948"/>
    <w:rsid w:val="00C60A29"/>
    <w:rsid w:val="00C60D0A"/>
    <w:rsid w:val="00C61096"/>
    <w:rsid w:val="00C6115E"/>
    <w:rsid w:val="00C611D5"/>
    <w:rsid w:val="00C6170F"/>
    <w:rsid w:val="00C6182D"/>
    <w:rsid w:val="00C6190E"/>
    <w:rsid w:val="00C61D41"/>
    <w:rsid w:val="00C62086"/>
    <w:rsid w:val="00C621B3"/>
    <w:rsid w:val="00C62BC7"/>
    <w:rsid w:val="00C63015"/>
    <w:rsid w:val="00C641A5"/>
    <w:rsid w:val="00C641CF"/>
    <w:rsid w:val="00C64757"/>
    <w:rsid w:val="00C647F6"/>
    <w:rsid w:val="00C64879"/>
    <w:rsid w:val="00C64910"/>
    <w:rsid w:val="00C6534B"/>
    <w:rsid w:val="00C654EA"/>
    <w:rsid w:val="00C65652"/>
    <w:rsid w:val="00C65700"/>
    <w:rsid w:val="00C65871"/>
    <w:rsid w:val="00C65DCE"/>
    <w:rsid w:val="00C6614C"/>
    <w:rsid w:val="00C668B7"/>
    <w:rsid w:val="00C6696C"/>
    <w:rsid w:val="00C669B5"/>
    <w:rsid w:val="00C66B42"/>
    <w:rsid w:val="00C674B2"/>
    <w:rsid w:val="00C67520"/>
    <w:rsid w:val="00C67A97"/>
    <w:rsid w:val="00C67F8B"/>
    <w:rsid w:val="00C70732"/>
    <w:rsid w:val="00C708AE"/>
    <w:rsid w:val="00C71157"/>
    <w:rsid w:val="00C716A7"/>
    <w:rsid w:val="00C71BC4"/>
    <w:rsid w:val="00C720B5"/>
    <w:rsid w:val="00C72473"/>
    <w:rsid w:val="00C7269A"/>
    <w:rsid w:val="00C7291A"/>
    <w:rsid w:val="00C729C1"/>
    <w:rsid w:val="00C73382"/>
    <w:rsid w:val="00C73398"/>
    <w:rsid w:val="00C734FD"/>
    <w:rsid w:val="00C735AF"/>
    <w:rsid w:val="00C737B1"/>
    <w:rsid w:val="00C73966"/>
    <w:rsid w:val="00C73998"/>
    <w:rsid w:val="00C73A0E"/>
    <w:rsid w:val="00C73AB8"/>
    <w:rsid w:val="00C73FDE"/>
    <w:rsid w:val="00C7466D"/>
    <w:rsid w:val="00C749B9"/>
    <w:rsid w:val="00C74A8C"/>
    <w:rsid w:val="00C74B4B"/>
    <w:rsid w:val="00C75351"/>
    <w:rsid w:val="00C75C93"/>
    <w:rsid w:val="00C75F41"/>
    <w:rsid w:val="00C7626C"/>
    <w:rsid w:val="00C7630D"/>
    <w:rsid w:val="00C76534"/>
    <w:rsid w:val="00C76B85"/>
    <w:rsid w:val="00C76C4E"/>
    <w:rsid w:val="00C76CD2"/>
    <w:rsid w:val="00C76DF3"/>
    <w:rsid w:val="00C76EBD"/>
    <w:rsid w:val="00C7765E"/>
    <w:rsid w:val="00C77982"/>
    <w:rsid w:val="00C77993"/>
    <w:rsid w:val="00C779F0"/>
    <w:rsid w:val="00C77C67"/>
    <w:rsid w:val="00C77CAC"/>
    <w:rsid w:val="00C80485"/>
    <w:rsid w:val="00C806D6"/>
    <w:rsid w:val="00C80B4C"/>
    <w:rsid w:val="00C80D4A"/>
    <w:rsid w:val="00C80E93"/>
    <w:rsid w:val="00C8174E"/>
    <w:rsid w:val="00C81B3A"/>
    <w:rsid w:val="00C81B79"/>
    <w:rsid w:val="00C81D84"/>
    <w:rsid w:val="00C82106"/>
    <w:rsid w:val="00C82339"/>
    <w:rsid w:val="00C82525"/>
    <w:rsid w:val="00C8272C"/>
    <w:rsid w:val="00C82865"/>
    <w:rsid w:val="00C82AC0"/>
    <w:rsid w:val="00C82B37"/>
    <w:rsid w:val="00C82C0C"/>
    <w:rsid w:val="00C83345"/>
    <w:rsid w:val="00C833C2"/>
    <w:rsid w:val="00C83423"/>
    <w:rsid w:val="00C838DB"/>
    <w:rsid w:val="00C83BB4"/>
    <w:rsid w:val="00C83CE4"/>
    <w:rsid w:val="00C83D6F"/>
    <w:rsid w:val="00C83DB5"/>
    <w:rsid w:val="00C83E91"/>
    <w:rsid w:val="00C845B6"/>
    <w:rsid w:val="00C84862"/>
    <w:rsid w:val="00C84917"/>
    <w:rsid w:val="00C84C27"/>
    <w:rsid w:val="00C84CE7"/>
    <w:rsid w:val="00C8505E"/>
    <w:rsid w:val="00C853D6"/>
    <w:rsid w:val="00C856A6"/>
    <w:rsid w:val="00C859FE"/>
    <w:rsid w:val="00C85A78"/>
    <w:rsid w:val="00C85E4E"/>
    <w:rsid w:val="00C86334"/>
    <w:rsid w:val="00C86B2A"/>
    <w:rsid w:val="00C86BB9"/>
    <w:rsid w:val="00C86BE1"/>
    <w:rsid w:val="00C87102"/>
    <w:rsid w:val="00C87618"/>
    <w:rsid w:val="00C908F5"/>
    <w:rsid w:val="00C90AE1"/>
    <w:rsid w:val="00C9166F"/>
    <w:rsid w:val="00C91D02"/>
    <w:rsid w:val="00C91D75"/>
    <w:rsid w:val="00C91F9F"/>
    <w:rsid w:val="00C9250A"/>
    <w:rsid w:val="00C925DC"/>
    <w:rsid w:val="00C9276C"/>
    <w:rsid w:val="00C92787"/>
    <w:rsid w:val="00C92803"/>
    <w:rsid w:val="00C92E21"/>
    <w:rsid w:val="00C932F2"/>
    <w:rsid w:val="00C93784"/>
    <w:rsid w:val="00C93BC7"/>
    <w:rsid w:val="00C94002"/>
    <w:rsid w:val="00C9429C"/>
    <w:rsid w:val="00C94453"/>
    <w:rsid w:val="00C9450C"/>
    <w:rsid w:val="00C94562"/>
    <w:rsid w:val="00C9477F"/>
    <w:rsid w:val="00C94A1B"/>
    <w:rsid w:val="00C94AD4"/>
    <w:rsid w:val="00C94E38"/>
    <w:rsid w:val="00C951E7"/>
    <w:rsid w:val="00C954D8"/>
    <w:rsid w:val="00C95572"/>
    <w:rsid w:val="00C955E6"/>
    <w:rsid w:val="00C9568C"/>
    <w:rsid w:val="00C957A5"/>
    <w:rsid w:val="00C95849"/>
    <w:rsid w:val="00C95CD8"/>
    <w:rsid w:val="00C95D0C"/>
    <w:rsid w:val="00C95E2B"/>
    <w:rsid w:val="00C960FA"/>
    <w:rsid w:val="00C96823"/>
    <w:rsid w:val="00C96EAF"/>
    <w:rsid w:val="00C9724E"/>
    <w:rsid w:val="00C979EB"/>
    <w:rsid w:val="00C97A81"/>
    <w:rsid w:val="00C97C96"/>
    <w:rsid w:val="00CA01FF"/>
    <w:rsid w:val="00CA0384"/>
    <w:rsid w:val="00CA06E1"/>
    <w:rsid w:val="00CA0F0A"/>
    <w:rsid w:val="00CA185A"/>
    <w:rsid w:val="00CA1E30"/>
    <w:rsid w:val="00CA2965"/>
    <w:rsid w:val="00CA2C19"/>
    <w:rsid w:val="00CA2CE2"/>
    <w:rsid w:val="00CA2DED"/>
    <w:rsid w:val="00CA3470"/>
    <w:rsid w:val="00CA373E"/>
    <w:rsid w:val="00CA3896"/>
    <w:rsid w:val="00CA38F7"/>
    <w:rsid w:val="00CA3A5B"/>
    <w:rsid w:val="00CA3B0B"/>
    <w:rsid w:val="00CA3D82"/>
    <w:rsid w:val="00CA4678"/>
    <w:rsid w:val="00CA4849"/>
    <w:rsid w:val="00CA4939"/>
    <w:rsid w:val="00CA4C3D"/>
    <w:rsid w:val="00CA4CEE"/>
    <w:rsid w:val="00CA4D3F"/>
    <w:rsid w:val="00CA4F21"/>
    <w:rsid w:val="00CA534D"/>
    <w:rsid w:val="00CA5372"/>
    <w:rsid w:val="00CA5556"/>
    <w:rsid w:val="00CA5A60"/>
    <w:rsid w:val="00CA6041"/>
    <w:rsid w:val="00CA6158"/>
    <w:rsid w:val="00CA624C"/>
    <w:rsid w:val="00CA6260"/>
    <w:rsid w:val="00CA656E"/>
    <w:rsid w:val="00CA65B7"/>
    <w:rsid w:val="00CA65D4"/>
    <w:rsid w:val="00CA68EF"/>
    <w:rsid w:val="00CA7521"/>
    <w:rsid w:val="00CA754E"/>
    <w:rsid w:val="00CA7840"/>
    <w:rsid w:val="00CA789C"/>
    <w:rsid w:val="00CB01B9"/>
    <w:rsid w:val="00CB0E94"/>
    <w:rsid w:val="00CB0EFF"/>
    <w:rsid w:val="00CB1616"/>
    <w:rsid w:val="00CB188B"/>
    <w:rsid w:val="00CB1AAE"/>
    <w:rsid w:val="00CB1D21"/>
    <w:rsid w:val="00CB1DF2"/>
    <w:rsid w:val="00CB200C"/>
    <w:rsid w:val="00CB227C"/>
    <w:rsid w:val="00CB261C"/>
    <w:rsid w:val="00CB2C30"/>
    <w:rsid w:val="00CB2DED"/>
    <w:rsid w:val="00CB2DF4"/>
    <w:rsid w:val="00CB3039"/>
    <w:rsid w:val="00CB30C3"/>
    <w:rsid w:val="00CB3112"/>
    <w:rsid w:val="00CB32EF"/>
    <w:rsid w:val="00CB33BA"/>
    <w:rsid w:val="00CB3B50"/>
    <w:rsid w:val="00CB3D7D"/>
    <w:rsid w:val="00CB3D98"/>
    <w:rsid w:val="00CB4420"/>
    <w:rsid w:val="00CB47AD"/>
    <w:rsid w:val="00CB4FB5"/>
    <w:rsid w:val="00CB5352"/>
    <w:rsid w:val="00CB557E"/>
    <w:rsid w:val="00CB5B82"/>
    <w:rsid w:val="00CB5CB1"/>
    <w:rsid w:val="00CB5ED1"/>
    <w:rsid w:val="00CB6275"/>
    <w:rsid w:val="00CB62AF"/>
    <w:rsid w:val="00CB67AE"/>
    <w:rsid w:val="00CB6C5F"/>
    <w:rsid w:val="00CB6F2F"/>
    <w:rsid w:val="00CB7095"/>
    <w:rsid w:val="00CB71FC"/>
    <w:rsid w:val="00CB7737"/>
    <w:rsid w:val="00CB7AAA"/>
    <w:rsid w:val="00CB7BD0"/>
    <w:rsid w:val="00CC04D4"/>
    <w:rsid w:val="00CC0696"/>
    <w:rsid w:val="00CC09A8"/>
    <w:rsid w:val="00CC0E02"/>
    <w:rsid w:val="00CC0EFD"/>
    <w:rsid w:val="00CC1069"/>
    <w:rsid w:val="00CC10B4"/>
    <w:rsid w:val="00CC1226"/>
    <w:rsid w:val="00CC127A"/>
    <w:rsid w:val="00CC156B"/>
    <w:rsid w:val="00CC1C8A"/>
    <w:rsid w:val="00CC2524"/>
    <w:rsid w:val="00CC272A"/>
    <w:rsid w:val="00CC2919"/>
    <w:rsid w:val="00CC2A76"/>
    <w:rsid w:val="00CC3079"/>
    <w:rsid w:val="00CC3217"/>
    <w:rsid w:val="00CC32B1"/>
    <w:rsid w:val="00CC355F"/>
    <w:rsid w:val="00CC3591"/>
    <w:rsid w:val="00CC378D"/>
    <w:rsid w:val="00CC394E"/>
    <w:rsid w:val="00CC4020"/>
    <w:rsid w:val="00CC40F7"/>
    <w:rsid w:val="00CC43C5"/>
    <w:rsid w:val="00CC46E4"/>
    <w:rsid w:val="00CC48FF"/>
    <w:rsid w:val="00CC4DE3"/>
    <w:rsid w:val="00CC5292"/>
    <w:rsid w:val="00CC54DD"/>
    <w:rsid w:val="00CC554D"/>
    <w:rsid w:val="00CC5BC7"/>
    <w:rsid w:val="00CC600C"/>
    <w:rsid w:val="00CC630B"/>
    <w:rsid w:val="00CC6462"/>
    <w:rsid w:val="00CC65AD"/>
    <w:rsid w:val="00CC65CE"/>
    <w:rsid w:val="00CC66CF"/>
    <w:rsid w:val="00CC7749"/>
    <w:rsid w:val="00CC7DEC"/>
    <w:rsid w:val="00CD0834"/>
    <w:rsid w:val="00CD0B4B"/>
    <w:rsid w:val="00CD0E76"/>
    <w:rsid w:val="00CD11A9"/>
    <w:rsid w:val="00CD130D"/>
    <w:rsid w:val="00CD1655"/>
    <w:rsid w:val="00CD16C8"/>
    <w:rsid w:val="00CD1BA2"/>
    <w:rsid w:val="00CD1C71"/>
    <w:rsid w:val="00CD22CD"/>
    <w:rsid w:val="00CD2362"/>
    <w:rsid w:val="00CD2410"/>
    <w:rsid w:val="00CD284A"/>
    <w:rsid w:val="00CD2CD1"/>
    <w:rsid w:val="00CD2D06"/>
    <w:rsid w:val="00CD3AB2"/>
    <w:rsid w:val="00CD40FC"/>
    <w:rsid w:val="00CD421A"/>
    <w:rsid w:val="00CD42CB"/>
    <w:rsid w:val="00CD44A4"/>
    <w:rsid w:val="00CD45F7"/>
    <w:rsid w:val="00CD488A"/>
    <w:rsid w:val="00CD497B"/>
    <w:rsid w:val="00CD4D2A"/>
    <w:rsid w:val="00CD5125"/>
    <w:rsid w:val="00CD5459"/>
    <w:rsid w:val="00CD5AF6"/>
    <w:rsid w:val="00CD6302"/>
    <w:rsid w:val="00CD638F"/>
    <w:rsid w:val="00CD6AE4"/>
    <w:rsid w:val="00CD6C7A"/>
    <w:rsid w:val="00CD6D65"/>
    <w:rsid w:val="00CD72D4"/>
    <w:rsid w:val="00CD7EB7"/>
    <w:rsid w:val="00CD7ED9"/>
    <w:rsid w:val="00CE019C"/>
    <w:rsid w:val="00CE0FC9"/>
    <w:rsid w:val="00CE16D4"/>
    <w:rsid w:val="00CE1B1D"/>
    <w:rsid w:val="00CE240B"/>
    <w:rsid w:val="00CE291A"/>
    <w:rsid w:val="00CE2E3B"/>
    <w:rsid w:val="00CE3167"/>
    <w:rsid w:val="00CE34F2"/>
    <w:rsid w:val="00CE3697"/>
    <w:rsid w:val="00CE369E"/>
    <w:rsid w:val="00CE3A8A"/>
    <w:rsid w:val="00CE42AB"/>
    <w:rsid w:val="00CE4E4D"/>
    <w:rsid w:val="00CE549B"/>
    <w:rsid w:val="00CE54B3"/>
    <w:rsid w:val="00CE556C"/>
    <w:rsid w:val="00CE5659"/>
    <w:rsid w:val="00CE5E62"/>
    <w:rsid w:val="00CE5F18"/>
    <w:rsid w:val="00CE7007"/>
    <w:rsid w:val="00CE73FC"/>
    <w:rsid w:val="00CE76F4"/>
    <w:rsid w:val="00CE7C6E"/>
    <w:rsid w:val="00CF0053"/>
    <w:rsid w:val="00CF02B8"/>
    <w:rsid w:val="00CF03D4"/>
    <w:rsid w:val="00CF0453"/>
    <w:rsid w:val="00CF0A02"/>
    <w:rsid w:val="00CF0DF1"/>
    <w:rsid w:val="00CF0FA4"/>
    <w:rsid w:val="00CF10FA"/>
    <w:rsid w:val="00CF142B"/>
    <w:rsid w:val="00CF143C"/>
    <w:rsid w:val="00CF17DB"/>
    <w:rsid w:val="00CF1873"/>
    <w:rsid w:val="00CF19CE"/>
    <w:rsid w:val="00CF1DEB"/>
    <w:rsid w:val="00CF1EA6"/>
    <w:rsid w:val="00CF2117"/>
    <w:rsid w:val="00CF2123"/>
    <w:rsid w:val="00CF21A8"/>
    <w:rsid w:val="00CF2318"/>
    <w:rsid w:val="00CF29B9"/>
    <w:rsid w:val="00CF32F5"/>
    <w:rsid w:val="00CF3303"/>
    <w:rsid w:val="00CF3394"/>
    <w:rsid w:val="00CF3C5D"/>
    <w:rsid w:val="00CF3D8D"/>
    <w:rsid w:val="00CF42B8"/>
    <w:rsid w:val="00CF4366"/>
    <w:rsid w:val="00CF4392"/>
    <w:rsid w:val="00CF4721"/>
    <w:rsid w:val="00CF4AE8"/>
    <w:rsid w:val="00CF4C3F"/>
    <w:rsid w:val="00CF4CB3"/>
    <w:rsid w:val="00CF4F28"/>
    <w:rsid w:val="00CF5087"/>
    <w:rsid w:val="00CF5681"/>
    <w:rsid w:val="00CF5722"/>
    <w:rsid w:val="00CF5757"/>
    <w:rsid w:val="00CF613A"/>
    <w:rsid w:val="00CF6418"/>
    <w:rsid w:val="00CF6F1B"/>
    <w:rsid w:val="00D00CE1"/>
    <w:rsid w:val="00D00E80"/>
    <w:rsid w:val="00D01201"/>
    <w:rsid w:val="00D015E7"/>
    <w:rsid w:val="00D01637"/>
    <w:rsid w:val="00D019B3"/>
    <w:rsid w:val="00D01B54"/>
    <w:rsid w:val="00D020B3"/>
    <w:rsid w:val="00D0271B"/>
    <w:rsid w:val="00D029A3"/>
    <w:rsid w:val="00D02B72"/>
    <w:rsid w:val="00D031A5"/>
    <w:rsid w:val="00D03450"/>
    <w:rsid w:val="00D03A9D"/>
    <w:rsid w:val="00D03B3D"/>
    <w:rsid w:val="00D042AE"/>
    <w:rsid w:val="00D04840"/>
    <w:rsid w:val="00D04E45"/>
    <w:rsid w:val="00D05022"/>
    <w:rsid w:val="00D050C2"/>
    <w:rsid w:val="00D053C6"/>
    <w:rsid w:val="00D059EA"/>
    <w:rsid w:val="00D05ABF"/>
    <w:rsid w:val="00D05F0D"/>
    <w:rsid w:val="00D06094"/>
    <w:rsid w:val="00D06328"/>
    <w:rsid w:val="00D0635C"/>
    <w:rsid w:val="00D06AFE"/>
    <w:rsid w:val="00D06EDA"/>
    <w:rsid w:val="00D07D38"/>
    <w:rsid w:val="00D07D4A"/>
    <w:rsid w:val="00D10420"/>
    <w:rsid w:val="00D10736"/>
    <w:rsid w:val="00D10A04"/>
    <w:rsid w:val="00D10D91"/>
    <w:rsid w:val="00D1126D"/>
    <w:rsid w:val="00D112EB"/>
    <w:rsid w:val="00D114D7"/>
    <w:rsid w:val="00D118F5"/>
    <w:rsid w:val="00D11B04"/>
    <w:rsid w:val="00D11EC4"/>
    <w:rsid w:val="00D120B3"/>
    <w:rsid w:val="00D12711"/>
    <w:rsid w:val="00D13585"/>
    <w:rsid w:val="00D13BB3"/>
    <w:rsid w:val="00D140F7"/>
    <w:rsid w:val="00D148F4"/>
    <w:rsid w:val="00D149C5"/>
    <w:rsid w:val="00D14B6C"/>
    <w:rsid w:val="00D14C71"/>
    <w:rsid w:val="00D1500D"/>
    <w:rsid w:val="00D150A8"/>
    <w:rsid w:val="00D150CB"/>
    <w:rsid w:val="00D154F0"/>
    <w:rsid w:val="00D156E7"/>
    <w:rsid w:val="00D157AE"/>
    <w:rsid w:val="00D15A52"/>
    <w:rsid w:val="00D15D55"/>
    <w:rsid w:val="00D1697A"/>
    <w:rsid w:val="00D16C5E"/>
    <w:rsid w:val="00D16C7C"/>
    <w:rsid w:val="00D171F3"/>
    <w:rsid w:val="00D17632"/>
    <w:rsid w:val="00D17ABC"/>
    <w:rsid w:val="00D2013D"/>
    <w:rsid w:val="00D206F9"/>
    <w:rsid w:val="00D20FD4"/>
    <w:rsid w:val="00D210B3"/>
    <w:rsid w:val="00D2133E"/>
    <w:rsid w:val="00D21367"/>
    <w:rsid w:val="00D215D1"/>
    <w:rsid w:val="00D2199D"/>
    <w:rsid w:val="00D21AEB"/>
    <w:rsid w:val="00D21B68"/>
    <w:rsid w:val="00D21F1C"/>
    <w:rsid w:val="00D22035"/>
    <w:rsid w:val="00D224DE"/>
    <w:rsid w:val="00D22B3A"/>
    <w:rsid w:val="00D22B3F"/>
    <w:rsid w:val="00D22C53"/>
    <w:rsid w:val="00D22DDC"/>
    <w:rsid w:val="00D22E0F"/>
    <w:rsid w:val="00D230E9"/>
    <w:rsid w:val="00D2330E"/>
    <w:rsid w:val="00D235A8"/>
    <w:rsid w:val="00D23613"/>
    <w:rsid w:val="00D23636"/>
    <w:rsid w:val="00D23922"/>
    <w:rsid w:val="00D23C90"/>
    <w:rsid w:val="00D23CE7"/>
    <w:rsid w:val="00D2406E"/>
    <w:rsid w:val="00D24207"/>
    <w:rsid w:val="00D244D2"/>
    <w:rsid w:val="00D24829"/>
    <w:rsid w:val="00D249F7"/>
    <w:rsid w:val="00D24CC5"/>
    <w:rsid w:val="00D24D88"/>
    <w:rsid w:val="00D24E81"/>
    <w:rsid w:val="00D250CE"/>
    <w:rsid w:val="00D259D0"/>
    <w:rsid w:val="00D25DEB"/>
    <w:rsid w:val="00D25EB6"/>
    <w:rsid w:val="00D25F59"/>
    <w:rsid w:val="00D2616A"/>
    <w:rsid w:val="00D268CE"/>
    <w:rsid w:val="00D26C7D"/>
    <w:rsid w:val="00D26E47"/>
    <w:rsid w:val="00D26FB4"/>
    <w:rsid w:val="00D27C3C"/>
    <w:rsid w:val="00D30005"/>
    <w:rsid w:val="00D30F37"/>
    <w:rsid w:val="00D31226"/>
    <w:rsid w:val="00D31CBB"/>
    <w:rsid w:val="00D31E70"/>
    <w:rsid w:val="00D32502"/>
    <w:rsid w:val="00D32682"/>
    <w:rsid w:val="00D32879"/>
    <w:rsid w:val="00D3287C"/>
    <w:rsid w:val="00D329E0"/>
    <w:rsid w:val="00D32B04"/>
    <w:rsid w:val="00D32F9B"/>
    <w:rsid w:val="00D3315F"/>
    <w:rsid w:val="00D331D3"/>
    <w:rsid w:val="00D3337A"/>
    <w:rsid w:val="00D3350C"/>
    <w:rsid w:val="00D33815"/>
    <w:rsid w:val="00D33984"/>
    <w:rsid w:val="00D33CAF"/>
    <w:rsid w:val="00D34260"/>
    <w:rsid w:val="00D3477F"/>
    <w:rsid w:val="00D347C0"/>
    <w:rsid w:val="00D349CE"/>
    <w:rsid w:val="00D34BA5"/>
    <w:rsid w:val="00D34D46"/>
    <w:rsid w:val="00D34DBB"/>
    <w:rsid w:val="00D34E02"/>
    <w:rsid w:val="00D34E11"/>
    <w:rsid w:val="00D34E5C"/>
    <w:rsid w:val="00D35675"/>
    <w:rsid w:val="00D35C73"/>
    <w:rsid w:val="00D35EA6"/>
    <w:rsid w:val="00D35EF1"/>
    <w:rsid w:val="00D35FE1"/>
    <w:rsid w:val="00D366B4"/>
    <w:rsid w:val="00D36755"/>
    <w:rsid w:val="00D368D9"/>
    <w:rsid w:val="00D36BD0"/>
    <w:rsid w:val="00D3768B"/>
    <w:rsid w:val="00D37731"/>
    <w:rsid w:val="00D37BEA"/>
    <w:rsid w:val="00D4059E"/>
    <w:rsid w:val="00D40964"/>
    <w:rsid w:val="00D409B2"/>
    <w:rsid w:val="00D4102C"/>
    <w:rsid w:val="00D410B3"/>
    <w:rsid w:val="00D41A69"/>
    <w:rsid w:val="00D41C65"/>
    <w:rsid w:val="00D420C7"/>
    <w:rsid w:val="00D42431"/>
    <w:rsid w:val="00D428DD"/>
    <w:rsid w:val="00D42984"/>
    <w:rsid w:val="00D43138"/>
    <w:rsid w:val="00D43331"/>
    <w:rsid w:val="00D4342D"/>
    <w:rsid w:val="00D4352D"/>
    <w:rsid w:val="00D435B1"/>
    <w:rsid w:val="00D435C0"/>
    <w:rsid w:val="00D438D9"/>
    <w:rsid w:val="00D43A93"/>
    <w:rsid w:val="00D43E81"/>
    <w:rsid w:val="00D4462A"/>
    <w:rsid w:val="00D44697"/>
    <w:rsid w:val="00D4469D"/>
    <w:rsid w:val="00D44BF1"/>
    <w:rsid w:val="00D45052"/>
    <w:rsid w:val="00D45388"/>
    <w:rsid w:val="00D45476"/>
    <w:rsid w:val="00D454B5"/>
    <w:rsid w:val="00D4589E"/>
    <w:rsid w:val="00D45EEE"/>
    <w:rsid w:val="00D46161"/>
    <w:rsid w:val="00D46688"/>
    <w:rsid w:val="00D46824"/>
    <w:rsid w:val="00D468E9"/>
    <w:rsid w:val="00D46939"/>
    <w:rsid w:val="00D46D13"/>
    <w:rsid w:val="00D47151"/>
    <w:rsid w:val="00D4736E"/>
    <w:rsid w:val="00D474AB"/>
    <w:rsid w:val="00D4757C"/>
    <w:rsid w:val="00D475B0"/>
    <w:rsid w:val="00D47977"/>
    <w:rsid w:val="00D47C41"/>
    <w:rsid w:val="00D47EF1"/>
    <w:rsid w:val="00D51160"/>
    <w:rsid w:val="00D5127E"/>
    <w:rsid w:val="00D515D5"/>
    <w:rsid w:val="00D52977"/>
    <w:rsid w:val="00D52A29"/>
    <w:rsid w:val="00D53084"/>
    <w:rsid w:val="00D53143"/>
    <w:rsid w:val="00D532A7"/>
    <w:rsid w:val="00D53918"/>
    <w:rsid w:val="00D53BF9"/>
    <w:rsid w:val="00D53E08"/>
    <w:rsid w:val="00D5439A"/>
    <w:rsid w:val="00D5496C"/>
    <w:rsid w:val="00D549BD"/>
    <w:rsid w:val="00D54C1D"/>
    <w:rsid w:val="00D54E78"/>
    <w:rsid w:val="00D54FC6"/>
    <w:rsid w:val="00D5514F"/>
    <w:rsid w:val="00D551DC"/>
    <w:rsid w:val="00D555E3"/>
    <w:rsid w:val="00D55990"/>
    <w:rsid w:val="00D55BBC"/>
    <w:rsid w:val="00D55FDC"/>
    <w:rsid w:val="00D56369"/>
    <w:rsid w:val="00D563A5"/>
    <w:rsid w:val="00D563D4"/>
    <w:rsid w:val="00D56614"/>
    <w:rsid w:val="00D566DB"/>
    <w:rsid w:val="00D567D5"/>
    <w:rsid w:val="00D56871"/>
    <w:rsid w:val="00D56986"/>
    <w:rsid w:val="00D56A7E"/>
    <w:rsid w:val="00D56EB5"/>
    <w:rsid w:val="00D579DC"/>
    <w:rsid w:val="00D57ABF"/>
    <w:rsid w:val="00D57F64"/>
    <w:rsid w:val="00D60388"/>
    <w:rsid w:val="00D60529"/>
    <w:rsid w:val="00D60542"/>
    <w:rsid w:val="00D6080F"/>
    <w:rsid w:val="00D60B93"/>
    <w:rsid w:val="00D60F2C"/>
    <w:rsid w:val="00D61417"/>
    <w:rsid w:val="00D617DD"/>
    <w:rsid w:val="00D61842"/>
    <w:rsid w:val="00D61874"/>
    <w:rsid w:val="00D61A36"/>
    <w:rsid w:val="00D623EF"/>
    <w:rsid w:val="00D62988"/>
    <w:rsid w:val="00D62CBF"/>
    <w:rsid w:val="00D62F2E"/>
    <w:rsid w:val="00D62F7F"/>
    <w:rsid w:val="00D63BF1"/>
    <w:rsid w:val="00D63C19"/>
    <w:rsid w:val="00D6412A"/>
    <w:rsid w:val="00D645C5"/>
    <w:rsid w:val="00D648DA"/>
    <w:rsid w:val="00D65340"/>
    <w:rsid w:val="00D65CAD"/>
    <w:rsid w:val="00D65D22"/>
    <w:rsid w:val="00D66837"/>
    <w:rsid w:val="00D668A0"/>
    <w:rsid w:val="00D66CE6"/>
    <w:rsid w:val="00D67ED8"/>
    <w:rsid w:val="00D67FC4"/>
    <w:rsid w:val="00D70809"/>
    <w:rsid w:val="00D7088B"/>
    <w:rsid w:val="00D7097C"/>
    <w:rsid w:val="00D70BE2"/>
    <w:rsid w:val="00D70FE8"/>
    <w:rsid w:val="00D70FF0"/>
    <w:rsid w:val="00D71267"/>
    <w:rsid w:val="00D71A7F"/>
    <w:rsid w:val="00D71DA4"/>
    <w:rsid w:val="00D71EBB"/>
    <w:rsid w:val="00D71EFD"/>
    <w:rsid w:val="00D721A0"/>
    <w:rsid w:val="00D721FA"/>
    <w:rsid w:val="00D72309"/>
    <w:rsid w:val="00D72393"/>
    <w:rsid w:val="00D72499"/>
    <w:rsid w:val="00D72A12"/>
    <w:rsid w:val="00D72C10"/>
    <w:rsid w:val="00D72D80"/>
    <w:rsid w:val="00D72F9D"/>
    <w:rsid w:val="00D73569"/>
    <w:rsid w:val="00D735E5"/>
    <w:rsid w:val="00D73678"/>
    <w:rsid w:val="00D7373A"/>
    <w:rsid w:val="00D73E44"/>
    <w:rsid w:val="00D74090"/>
    <w:rsid w:val="00D7448C"/>
    <w:rsid w:val="00D74AAC"/>
    <w:rsid w:val="00D74D0E"/>
    <w:rsid w:val="00D74F8A"/>
    <w:rsid w:val="00D752C5"/>
    <w:rsid w:val="00D754AC"/>
    <w:rsid w:val="00D75538"/>
    <w:rsid w:val="00D755AE"/>
    <w:rsid w:val="00D75759"/>
    <w:rsid w:val="00D75937"/>
    <w:rsid w:val="00D760A0"/>
    <w:rsid w:val="00D760B9"/>
    <w:rsid w:val="00D7639C"/>
    <w:rsid w:val="00D76916"/>
    <w:rsid w:val="00D770BB"/>
    <w:rsid w:val="00D7757A"/>
    <w:rsid w:val="00D77671"/>
    <w:rsid w:val="00D80076"/>
    <w:rsid w:val="00D803F6"/>
    <w:rsid w:val="00D80EC9"/>
    <w:rsid w:val="00D80F99"/>
    <w:rsid w:val="00D81088"/>
    <w:rsid w:val="00D817B3"/>
    <w:rsid w:val="00D81B8F"/>
    <w:rsid w:val="00D81DB8"/>
    <w:rsid w:val="00D82085"/>
    <w:rsid w:val="00D823AB"/>
    <w:rsid w:val="00D8243F"/>
    <w:rsid w:val="00D82469"/>
    <w:rsid w:val="00D8287C"/>
    <w:rsid w:val="00D82B3B"/>
    <w:rsid w:val="00D82C9D"/>
    <w:rsid w:val="00D830EA"/>
    <w:rsid w:val="00D831B1"/>
    <w:rsid w:val="00D83B69"/>
    <w:rsid w:val="00D83EA2"/>
    <w:rsid w:val="00D83F07"/>
    <w:rsid w:val="00D84639"/>
    <w:rsid w:val="00D8484F"/>
    <w:rsid w:val="00D84890"/>
    <w:rsid w:val="00D84AB3"/>
    <w:rsid w:val="00D84E45"/>
    <w:rsid w:val="00D851BA"/>
    <w:rsid w:val="00D856BB"/>
    <w:rsid w:val="00D85710"/>
    <w:rsid w:val="00D858A8"/>
    <w:rsid w:val="00D85AEB"/>
    <w:rsid w:val="00D85B0B"/>
    <w:rsid w:val="00D85C3C"/>
    <w:rsid w:val="00D85C9D"/>
    <w:rsid w:val="00D8606F"/>
    <w:rsid w:val="00D8613B"/>
    <w:rsid w:val="00D86822"/>
    <w:rsid w:val="00D86B3C"/>
    <w:rsid w:val="00D86FB8"/>
    <w:rsid w:val="00D872E5"/>
    <w:rsid w:val="00D87452"/>
    <w:rsid w:val="00D87C0E"/>
    <w:rsid w:val="00D904DA"/>
    <w:rsid w:val="00D9063D"/>
    <w:rsid w:val="00D90655"/>
    <w:rsid w:val="00D90919"/>
    <w:rsid w:val="00D90E1D"/>
    <w:rsid w:val="00D90E71"/>
    <w:rsid w:val="00D9122D"/>
    <w:rsid w:val="00D91371"/>
    <w:rsid w:val="00D91C98"/>
    <w:rsid w:val="00D9284E"/>
    <w:rsid w:val="00D9292B"/>
    <w:rsid w:val="00D92B31"/>
    <w:rsid w:val="00D931C0"/>
    <w:rsid w:val="00D936DD"/>
    <w:rsid w:val="00D937EA"/>
    <w:rsid w:val="00D93B1B"/>
    <w:rsid w:val="00D93F37"/>
    <w:rsid w:val="00D95470"/>
    <w:rsid w:val="00D954B9"/>
    <w:rsid w:val="00D956DC"/>
    <w:rsid w:val="00D9584C"/>
    <w:rsid w:val="00D958AC"/>
    <w:rsid w:val="00D95956"/>
    <w:rsid w:val="00D95F9F"/>
    <w:rsid w:val="00D9635E"/>
    <w:rsid w:val="00D967C0"/>
    <w:rsid w:val="00D96CFB"/>
    <w:rsid w:val="00D96EB5"/>
    <w:rsid w:val="00D97448"/>
    <w:rsid w:val="00D977F8"/>
    <w:rsid w:val="00D97989"/>
    <w:rsid w:val="00D97A76"/>
    <w:rsid w:val="00D97AE1"/>
    <w:rsid w:val="00DA0560"/>
    <w:rsid w:val="00DA106C"/>
    <w:rsid w:val="00DA11A8"/>
    <w:rsid w:val="00DA1846"/>
    <w:rsid w:val="00DA18E0"/>
    <w:rsid w:val="00DA1AD2"/>
    <w:rsid w:val="00DA1B6F"/>
    <w:rsid w:val="00DA1DAA"/>
    <w:rsid w:val="00DA2301"/>
    <w:rsid w:val="00DA23CC"/>
    <w:rsid w:val="00DA2618"/>
    <w:rsid w:val="00DA27E9"/>
    <w:rsid w:val="00DA282D"/>
    <w:rsid w:val="00DA2914"/>
    <w:rsid w:val="00DA297F"/>
    <w:rsid w:val="00DA29CC"/>
    <w:rsid w:val="00DA2F0D"/>
    <w:rsid w:val="00DA3168"/>
    <w:rsid w:val="00DA3538"/>
    <w:rsid w:val="00DA367A"/>
    <w:rsid w:val="00DA378E"/>
    <w:rsid w:val="00DA39B3"/>
    <w:rsid w:val="00DA3DB0"/>
    <w:rsid w:val="00DA422C"/>
    <w:rsid w:val="00DA4241"/>
    <w:rsid w:val="00DA42D7"/>
    <w:rsid w:val="00DA4DC7"/>
    <w:rsid w:val="00DA6408"/>
    <w:rsid w:val="00DA6717"/>
    <w:rsid w:val="00DA6753"/>
    <w:rsid w:val="00DA6C64"/>
    <w:rsid w:val="00DA7084"/>
    <w:rsid w:val="00DA7184"/>
    <w:rsid w:val="00DA79BD"/>
    <w:rsid w:val="00DA7A18"/>
    <w:rsid w:val="00DB01D2"/>
    <w:rsid w:val="00DB0485"/>
    <w:rsid w:val="00DB0B4C"/>
    <w:rsid w:val="00DB1248"/>
    <w:rsid w:val="00DB1711"/>
    <w:rsid w:val="00DB1743"/>
    <w:rsid w:val="00DB1963"/>
    <w:rsid w:val="00DB1BA8"/>
    <w:rsid w:val="00DB1C27"/>
    <w:rsid w:val="00DB1FA5"/>
    <w:rsid w:val="00DB2266"/>
    <w:rsid w:val="00DB24F9"/>
    <w:rsid w:val="00DB2AE6"/>
    <w:rsid w:val="00DB2BBE"/>
    <w:rsid w:val="00DB2D73"/>
    <w:rsid w:val="00DB2D98"/>
    <w:rsid w:val="00DB2F13"/>
    <w:rsid w:val="00DB3627"/>
    <w:rsid w:val="00DB380F"/>
    <w:rsid w:val="00DB3844"/>
    <w:rsid w:val="00DB3DA7"/>
    <w:rsid w:val="00DB4A1B"/>
    <w:rsid w:val="00DB4D5E"/>
    <w:rsid w:val="00DB4EF5"/>
    <w:rsid w:val="00DB5650"/>
    <w:rsid w:val="00DB56E8"/>
    <w:rsid w:val="00DB5889"/>
    <w:rsid w:val="00DB5C2C"/>
    <w:rsid w:val="00DB680C"/>
    <w:rsid w:val="00DB6B72"/>
    <w:rsid w:val="00DB6C1E"/>
    <w:rsid w:val="00DB6DB8"/>
    <w:rsid w:val="00DB6DD3"/>
    <w:rsid w:val="00DB726D"/>
    <w:rsid w:val="00DB7546"/>
    <w:rsid w:val="00DB754C"/>
    <w:rsid w:val="00DB76F8"/>
    <w:rsid w:val="00DB7EE5"/>
    <w:rsid w:val="00DC03B5"/>
    <w:rsid w:val="00DC03D3"/>
    <w:rsid w:val="00DC0863"/>
    <w:rsid w:val="00DC0B76"/>
    <w:rsid w:val="00DC148D"/>
    <w:rsid w:val="00DC166F"/>
    <w:rsid w:val="00DC167C"/>
    <w:rsid w:val="00DC1694"/>
    <w:rsid w:val="00DC1D48"/>
    <w:rsid w:val="00DC2850"/>
    <w:rsid w:val="00DC288E"/>
    <w:rsid w:val="00DC2BB1"/>
    <w:rsid w:val="00DC2D0D"/>
    <w:rsid w:val="00DC2F29"/>
    <w:rsid w:val="00DC3A0A"/>
    <w:rsid w:val="00DC3F7E"/>
    <w:rsid w:val="00DC4032"/>
    <w:rsid w:val="00DC40CE"/>
    <w:rsid w:val="00DC4630"/>
    <w:rsid w:val="00DC4695"/>
    <w:rsid w:val="00DC46FF"/>
    <w:rsid w:val="00DC4C41"/>
    <w:rsid w:val="00DC4C5F"/>
    <w:rsid w:val="00DC51A5"/>
    <w:rsid w:val="00DC5239"/>
    <w:rsid w:val="00DC5659"/>
    <w:rsid w:val="00DC597A"/>
    <w:rsid w:val="00DC59B3"/>
    <w:rsid w:val="00DC59F7"/>
    <w:rsid w:val="00DC5A4E"/>
    <w:rsid w:val="00DC6075"/>
    <w:rsid w:val="00DC643A"/>
    <w:rsid w:val="00DC66F0"/>
    <w:rsid w:val="00DC67DA"/>
    <w:rsid w:val="00DC699D"/>
    <w:rsid w:val="00DC69A6"/>
    <w:rsid w:val="00DC6D5F"/>
    <w:rsid w:val="00DC72BF"/>
    <w:rsid w:val="00DC79F6"/>
    <w:rsid w:val="00DC7A4C"/>
    <w:rsid w:val="00DC7CF4"/>
    <w:rsid w:val="00DD011F"/>
    <w:rsid w:val="00DD0959"/>
    <w:rsid w:val="00DD0F57"/>
    <w:rsid w:val="00DD16F4"/>
    <w:rsid w:val="00DD1A27"/>
    <w:rsid w:val="00DD1D36"/>
    <w:rsid w:val="00DD1E5D"/>
    <w:rsid w:val="00DD21D7"/>
    <w:rsid w:val="00DD2455"/>
    <w:rsid w:val="00DD2A4D"/>
    <w:rsid w:val="00DD2D54"/>
    <w:rsid w:val="00DD33D2"/>
    <w:rsid w:val="00DD33D7"/>
    <w:rsid w:val="00DD3908"/>
    <w:rsid w:val="00DD3927"/>
    <w:rsid w:val="00DD3E76"/>
    <w:rsid w:val="00DD3EA2"/>
    <w:rsid w:val="00DD404B"/>
    <w:rsid w:val="00DD42C7"/>
    <w:rsid w:val="00DD4608"/>
    <w:rsid w:val="00DD52C2"/>
    <w:rsid w:val="00DD5436"/>
    <w:rsid w:val="00DD54AB"/>
    <w:rsid w:val="00DD586D"/>
    <w:rsid w:val="00DD5CE0"/>
    <w:rsid w:val="00DD5E15"/>
    <w:rsid w:val="00DD609C"/>
    <w:rsid w:val="00DD610C"/>
    <w:rsid w:val="00DD649E"/>
    <w:rsid w:val="00DD65FE"/>
    <w:rsid w:val="00DD6969"/>
    <w:rsid w:val="00DD6C97"/>
    <w:rsid w:val="00DD6CAA"/>
    <w:rsid w:val="00DD6FAA"/>
    <w:rsid w:val="00DD7489"/>
    <w:rsid w:val="00DD7A4F"/>
    <w:rsid w:val="00DD7A58"/>
    <w:rsid w:val="00DD7DF5"/>
    <w:rsid w:val="00DE01BD"/>
    <w:rsid w:val="00DE0262"/>
    <w:rsid w:val="00DE030B"/>
    <w:rsid w:val="00DE0E9A"/>
    <w:rsid w:val="00DE1153"/>
    <w:rsid w:val="00DE18CB"/>
    <w:rsid w:val="00DE1A5D"/>
    <w:rsid w:val="00DE1DCD"/>
    <w:rsid w:val="00DE2530"/>
    <w:rsid w:val="00DE2A52"/>
    <w:rsid w:val="00DE2D87"/>
    <w:rsid w:val="00DE2DE4"/>
    <w:rsid w:val="00DE2E91"/>
    <w:rsid w:val="00DE34D4"/>
    <w:rsid w:val="00DE379C"/>
    <w:rsid w:val="00DE385C"/>
    <w:rsid w:val="00DE391C"/>
    <w:rsid w:val="00DE3C2B"/>
    <w:rsid w:val="00DE3E12"/>
    <w:rsid w:val="00DE413E"/>
    <w:rsid w:val="00DE42BA"/>
    <w:rsid w:val="00DE4CC6"/>
    <w:rsid w:val="00DE4E87"/>
    <w:rsid w:val="00DE51CE"/>
    <w:rsid w:val="00DE53EA"/>
    <w:rsid w:val="00DE59A3"/>
    <w:rsid w:val="00DE5FED"/>
    <w:rsid w:val="00DE65B5"/>
    <w:rsid w:val="00DE66A9"/>
    <w:rsid w:val="00DE67F4"/>
    <w:rsid w:val="00DE6B56"/>
    <w:rsid w:val="00DE6EC4"/>
    <w:rsid w:val="00DE6F14"/>
    <w:rsid w:val="00DE7022"/>
    <w:rsid w:val="00DE70A5"/>
    <w:rsid w:val="00DE71F5"/>
    <w:rsid w:val="00DE7C8C"/>
    <w:rsid w:val="00DE7E48"/>
    <w:rsid w:val="00DE7E84"/>
    <w:rsid w:val="00DE7F5E"/>
    <w:rsid w:val="00DE7FC5"/>
    <w:rsid w:val="00DF006E"/>
    <w:rsid w:val="00DF0109"/>
    <w:rsid w:val="00DF0388"/>
    <w:rsid w:val="00DF0612"/>
    <w:rsid w:val="00DF0714"/>
    <w:rsid w:val="00DF0D2C"/>
    <w:rsid w:val="00DF1008"/>
    <w:rsid w:val="00DF1399"/>
    <w:rsid w:val="00DF1400"/>
    <w:rsid w:val="00DF16A5"/>
    <w:rsid w:val="00DF1A95"/>
    <w:rsid w:val="00DF2E86"/>
    <w:rsid w:val="00DF2FD4"/>
    <w:rsid w:val="00DF3A73"/>
    <w:rsid w:val="00DF3B67"/>
    <w:rsid w:val="00DF3C6B"/>
    <w:rsid w:val="00DF3E51"/>
    <w:rsid w:val="00DF3FF4"/>
    <w:rsid w:val="00DF454B"/>
    <w:rsid w:val="00DF465D"/>
    <w:rsid w:val="00DF5049"/>
    <w:rsid w:val="00DF5CE5"/>
    <w:rsid w:val="00DF6110"/>
    <w:rsid w:val="00DF624F"/>
    <w:rsid w:val="00DF62D1"/>
    <w:rsid w:val="00DF6390"/>
    <w:rsid w:val="00DF6B24"/>
    <w:rsid w:val="00DF6DF1"/>
    <w:rsid w:val="00DF6F72"/>
    <w:rsid w:val="00DF737B"/>
    <w:rsid w:val="00DF7565"/>
    <w:rsid w:val="00DF79BF"/>
    <w:rsid w:val="00DF7F93"/>
    <w:rsid w:val="00E00132"/>
    <w:rsid w:val="00E006CD"/>
    <w:rsid w:val="00E00A1D"/>
    <w:rsid w:val="00E0129F"/>
    <w:rsid w:val="00E0194D"/>
    <w:rsid w:val="00E01E52"/>
    <w:rsid w:val="00E0212E"/>
    <w:rsid w:val="00E025C0"/>
    <w:rsid w:val="00E026B1"/>
    <w:rsid w:val="00E028D9"/>
    <w:rsid w:val="00E02B9D"/>
    <w:rsid w:val="00E02C30"/>
    <w:rsid w:val="00E030F3"/>
    <w:rsid w:val="00E03159"/>
    <w:rsid w:val="00E03191"/>
    <w:rsid w:val="00E03620"/>
    <w:rsid w:val="00E03ED8"/>
    <w:rsid w:val="00E03F67"/>
    <w:rsid w:val="00E04273"/>
    <w:rsid w:val="00E042C8"/>
    <w:rsid w:val="00E04487"/>
    <w:rsid w:val="00E0481F"/>
    <w:rsid w:val="00E04AF3"/>
    <w:rsid w:val="00E0515A"/>
    <w:rsid w:val="00E05174"/>
    <w:rsid w:val="00E05861"/>
    <w:rsid w:val="00E05C1C"/>
    <w:rsid w:val="00E05E98"/>
    <w:rsid w:val="00E05ED3"/>
    <w:rsid w:val="00E06095"/>
    <w:rsid w:val="00E066D6"/>
    <w:rsid w:val="00E06780"/>
    <w:rsid w:val="00E0705C"/>
    <w:rsid w:val="00E071E7"/>
    <w:rsid w:val="00E07244"/>
    <w:rsid w:val="00E07616"/>
    <w:rsid w:val="00E07708"/>
    <w:rsid w:val="00E07A49"/>
    <w:rsid w:val="00E1001B"/>
    <w:rsid w:val="00E1018A"/>
    <w:rsid w:val="00E103D8"/>
    <w:rsid w:val="00E1055E"/>
    <w:rsid w:val="00E10C85"/>
    <w:rsid w:val="00E10E8E"/>
    <w:rsid w:val="00E118E4"/>
    <w:rsid w:val="00E118FF"/>
    <w:rsid w:val="00E11A0A"/>
    <w:rsid w:val="00E11ACE"/>
    <w:rsid w:val="00E11BF3"/>
    <w:rsid w:val="00E123B1"/>
    <w:rsid w:val="00E124B0"/>
    <w:rsid w:val="00E132FA"/>
    <w:rsid w:val="00E133E4"/>
    <w:rsid w:val="00E1357C"/>
    <w:rsid w:val="00E1395B"/>
    <w:rsid w:val="00E139B9"/>
    <w:rsid w:val="00E13E67"/>
    <w:rsid w:val="00E14A28"/>
    <w:rsid w:val="00E14EB1"/>
    <w:rsid w:val="00E14EC2"/>
    <w:rsid w:val="00E14ECB"/>
    <w:rsid w:val="00E14F35"/>
    <w:rsid w:val="00E1554C"/>
    <w:rsid w:val="00E1556C"/>
    <w:rsid w:val="00E15926"/>
    <w:rsid w:val="00E15B6B"/>
    <w:rsid w:val="00E16554"/>
    <w:rsid w:val="00E16583"/>
    <w:rsid w:val="00E16D51"/>
    <w:rsid w:val="00E16EC0"/>
    <w:rsid w:val="00E17038"/>
    <w:rsid w:val="00E17400"/>
    <w:rsid w:val="00E17471"/>
    <w:rsid w:val="00E17766"/>
    <w:rsid w:val="00E178A8"/>
    <w:rsid w:val="00E17D32"/>
    <w:rsid w:val="00E17DBD"/>
    <w:rsid w:val="00E17EFB"/>
    <w:rsid w:val="00E20036"/>
    <w:rsid w:val="00E2017B"/>
    <w:rsid w:val="00E203AD"/>
    <w:rsid w:val="00E20467"/>
    <w:rsid w:val="00E20938"/>
    <w:rsid w:val="00E20D94"/>
    <w:rsid w:val="00E20E94"/>
    <w:rsid w:val="00E2104F"/>
    <w:rsid w:val="00E21243"/>
    <w:rsid w:val="00E2135F"/>
    <w:rsid w:val="00E214CC"/>
    <w:rsid w:val="00E216C1"/>
    <w:rsid w:val="00E2197A"/>
    <w:rsid w:val="00E21E2F"/>
    <w:rsid w:val="00E221F9"/>
    <w:rsid w:val="00E226F3"/>
    <w:rsid w:val="00E23207"/>
    <w:rsid w:val="00E233ED"/>
    <w:rsid w:val="00E238C1"/>
    <w:rsid w:val="00E2399F"/>
    <w:rsid w:val="00E23CE3"/>
    <w:rsid w:val="00E24356"/>
    <w:rsid w:val="00E24B88"/>
    <w:rsid w:val="00E24C41"/>
    <w:rsid w:val="00E24C93"/>
    <w:rsid w:val="00E256B0"/>
    <w:rsid w:val="00E25999"/>
    <w:rsid w:val="00E259CB"/>
    <w:rsid w:val="00E25FB2"/>
    <w:rsid w:val="00E26066"/>
    <w:rsid w:val="00E26B4D"/>
    <w:rsid w:val="00E26B75"/>
    <w:rsid w:val="00E26B7F"/>
    <w:rsid w:val="00E27F33"/>
    <w:rsid w:val="00E30657"/>
    <w:rsid w:val="00E3092E"/>
    <w:rsid w:val="00E30A4A"/>
    <w:rsid w:val="00E30BF0"/>
    <w:rsid w:val="00E311EC"/>
    <w:rsid w:val="00E31AAE"/>
    <w:rsid w:val="00E3236D"/>
    <w:rsid w:val="00E33321"/>
    <w:rsid w:val="00E3359B"/>
    <w:rsid w:val="00E33757"/>
    <w:rsid w:val="00E34221"/>
    <w:rsid w:val="00E34242"/>
    <w:rsid w:val="00E34650"/>
    <w:rsid w:val="00E34722"/>
    <w:rsid w:val="00E3487F"/>
    <w:rsid w:val="00E35151"/>
    <w:rsid w:val="00E358F4"/>
    <w:rsid w:val="00E35C41"/>
    <w:rsid w:val="00E361EF"/>
    <w:rsid w:val="00E3644D"/>
    <w:rsid w:val="00E365A6"/>
    <w:rsid w:val="00E367AC"/>
    <w:rsid w:val="00E36E62"/>
    <w:rsid w:val="00E37111"/>
    <w:rsid w:val="00E371CA"/>
    <w:rsid w:val="00E37530"/>
    <w:rsid w:val="00E37876"/>
    <w:rsid w:val="00E37C95"/>
    <w:rsid w:val="00E403FE"/>
    <w:rsid w:val="00E4094B"/>
    <w:rsid w:val="00E40AF0"/>
    <w:rsid w:val="00E4128E"/>
    <w:rsid w:val="00E41571"/>
    <w:rsid w:val="00E4163D"/>
    <w:rsid w:val="00E41706"/>
    <w:rsid w:val="00E41758"/>
    <w:rsid w:val="00E41931"/>
    <w:rsid w:val="00E41AF0"/>
    <w:rsid w:val="00E42071"/>
    <w:rsid w:val="00E42493"/>
    <w:rsid w:val="00E425F1"/>
    <w:rsid w:val="00E42CD4"/>
    <w:rsid w:val="00E42ECE"/>
    <w:rsid w:val="00E43025"/>
    <w:rsid w:val="00E4319A"/>
    <w:rsid w:val="00E434A4"/>
    <w:rsid w:val="00E43F5D"/>
    <w:rsid w:val="00E44644"/>
    <w:rsid w:val="00E4489A"/>
    <w:rsid w:val="00E449BA"/>
    <w:rsid w:val="00E455FC"/>
    <w:rsid w:val="00E4606D"/>
    <w:rsid w:val="00E46122"/>
    <w:rsid w:val="00E46229"/>
    <w:rsid w:val="00E4649D"/>
    <w:rsid w:val="00E465DE"/>
    <w:rsid w:val="00E46671"/>
    <w:rsid w:val="00E469D9"/>
    <w:rsid w:val="00E46C29"/>
    <w:rsid w:val="00E46F95"/>
    <w:rsid w:val="00E47C3E"/>
    <w:rsid w:val="00E47DBE"/>
    <w:rsid w:val="00E500D9"/>
    <w:rsid w:val="00E504C6"/>
    <w:rsid w:val="00E5082E"/>
    <w:rsid w:val="00E50983"/>
    <w:rsid w:val="00E50B03"/>
    <w:rsid w:val="00E50CE6"/>
    <w:rsid w:val="00E51339"/>
    <w:rsid w:val="00E5134C"/>
    <w:rsid w:val="00E51635"/>
    <w:rsid w:val="00E51A42"/>
    <w:rsid w:val="00E51F8C"/>
    <w:rsid w:val="00E52A53"/>
    <w:rsid w:val="00E52DB3"/>
    <w:rsid w:val="00E53108"/>
    <w:rsid w:val="00E5317F"/>
    <w:rsid w:val="00E531C4"/>
    <w:rsid w:val="00E534B0"/>
    <w:rsid w:val="00E53627"/>
    <w:rsid w:val="00E53B78"/>
    <w:rsid w:val="00E53E94"/>
    <w:rsid w:val="00E5405B"/>
    <w:rsid w:val="00E5436E"/>
    <w:rsid w:val="00E54ECE"/>
    <w:rsid w:val="00E54FEF"/>
    <w:rsid w:val="00E556CB"/>
    <w:rsid w:val="00E55BE1"/>
    <w:rsid w:val="00E55CC7"/>
    <w:rsid w:val="00E55E65"/>
    <w:rsid w:val="00E561C7"/>
    <w:rsid w:val="00E566A4"/>
    <w:rsid w:val="00E567CB"/>
    <w:rsid w:val="00E578C1"/>
    <w:rsid w:val="00E60433"/>
    <w:rsid w:val="00E60751"/>
    <w:rsid w:val="00E614CE"/>
    <w:rsid w:val="00E61586"/>
    <w:rsid w:val="00E61668"/>
    <w:rsid w:val="00E61B52"/>
    <w:rsid w:val="00E61C07"/>
    <w:rsid w:val="00E62309"/>
    <w:rsid w:val="00E62372"/>
    <w:rsid w:val="00E6238A"/>
    <w:rsid w:val="00E62E05"/>
    <w:rsid w:val="00E6348B"/>
    <w:rsid w:val="00E63506"/>
    <w:rsid w:val="00E637A1"/>
    <w:rsid w:val="00E638B4"/>
    <w:rsid w:val="00E63B12"/>
    <w:rsid w:val="00E63D01"/>
    <w:rsid w:val="00E6410C"/>
    <w:rsid w:val="00E64F9D"/>
    <w:rsid w:val="00E65057"/>
    <w:rsid w:val="00E65438"/>
    <w:rsid w:val="00E65885"/>
    <w:rsid w:val="00E6589E"/>
    <w:rsid w:val="00E6594B"/>
    <w:rsid w:val="00E65DDA"/>
    <w:rsid w:val="00E66297"/>
    <w:rsid w:val="00E66510"/>
    <w:rsid w:val="00E67264"/>
    <w:rsid w:val="00E67541"/>
    <w:rsid w:val="00E67697"/>
    <w:rsid w:val="00E677F8"/>
    <w:rsid w:val="00E67932"/>
    <w:rsid w:val="00E67C53"/>
    <w:rsid w:val="00E7054B"/>
    <w:rsid w:val="00E70879"/>
    <w:rsid w:val="00E70A51"/>
    <w:rsid w:val="00E70C45"/>
    <w:rsid w:val="00E70C64"/>
    <w:rsid w:val="00E70D81"/>
    <w:rsid w:val="00E71245"/>
    <w:rsid w:val="00E716C8"/>
    <w:rsid w:val="00E71975"/>
    <w:rsid w:val="00E719A4"/>
    <w:rsid w:val="00E721B8"/>
    <w:rsid w:val="00E722E7"/>
    <w:rsid w:val="00E7234C"/>
    <w:rsid w:val="00E7243C"/>
    <w:rsid w:val="00E7261E"/>
    <w:rsid w:val="00E7272B"/>
    <w:rsid w:val="00E72CE8"/>
    <w:rsid w:val="00E72F28"/>
    <w:rsid w:val="00E73043"/>
    <w:rsid w:val="00E7379D"/>
    <w:rsid w:val="00E73908"/>
    <w:rsid w:val="00E73A5B"/>
    <w:rsid w:val="00E73CDA"/>
    <w:rsid w:val="00E73D69"/>
    <w:rsid w:val="00E73D8F"/>
    <w:rsid w:val="00E7445C"/>
    <w:rsid w:val="00E74876"/>
    <w:rsid w:val="00E74FBB"/>
    <w:rsid w:val="00E75199"/>
    <w:rsid w:val="00E75BDF"/>
    <w:rsid w:val="00E760BA"/>
    <w:rsid w:val="00E762E0"/>
    <w:rsid w:val="00E765CE"/>
    <w:rsid w:val="00E76701"/>
    <w:rsid w:val="00E767F3"/>
    <w:rsid w:val="00E769B7"/>
    <w:rsid w:val="00E76AE6"/>
    <w:rsid w:val="00E76C5C"/>
    <w:rsid w:val="00E77530"/>
    <w:rsid w:val="00E778D9"/>
    <w:rsid w:val="00E779D3"/>
    <w:rsid w:val="00E77C21"/>
    <w:rsid w:val="00E803CC"/>
    <w:rsid w:val="00E807FB"/>
    <w:rsid w:val="00E80859"/>
    <w:rsid w:val="00E80D51"/>
    <w:rsid w:val="00E81138"/>
    <w:rsid w:val="00E81B48"/>
    <w:rsid w:val="00E82016"/>
    <w:rsid w:val="00E821B3"/>
    <w:rsid w:val="00E824A9"/>
    <w:rsid w:val="00E82578"/>
    <w:rsid w:val="00E829E6"/>
    <w:rsid w:val="00E82BA8"/>
    <w:rsid w:val="00E82F81"/>
    <w:rsid w:val="00E832B1"/>
    <w:rsid w:val="00E8346B"/>
    <w:rsid w:val="00E83C7C"/>
    <w:rsid w:val="00E83DC6"/>
    <w:rsid w:val="00E84585"/>
    <w:rsid w:val="00E845F3"/>
    <w:rsid w:val="00E8485D"/>
    <w:rsid w:val="00E84868"/>
    <w:rsid w:val="00E84BE1"/>
    <w:rsid w:val="00E84C3B"/>
    <w:rsid w:val="00E84E39"/>
    <w:rsid w:val="00E856D1"/>
    <w:rsid w:val="00E857FC"/>
    <w:rsid w:val="00E85D62"/>
    <w:rsid w:val="00E85DEE"/>
    <w:rsid w:val="00E85FF4"/>
    <w:rsid w:val="00E864C0"/>
    <w:rsid w:val="00E866CC"/>
    <w:rsid w:val="00E87311"/>
    <w:rsid w:val="00E876ED"/>
    <w:rsid w:val="00E87B7A"/>
    <w:rsid w:val="00E87C26"/>
    <w:rsid w:val="00E87F0F"/>
    <w:rsid w:val="00E90404"/>
    <w:rsid w:val="00E90652"/>
    <w:rsid w:val="00E9069C"/>
    <w:rsid w:val="00E90AF3"/>
    <w:rsid w:val="00E90D7A"/>
    <w:rsid w:val="00E919D5"/>
    <w:rsid w:val="00E91ABF"/>
    <w:rsid w:val="00E91DEB"/>
    <w:rsid w:val="00E9299A"/>
    <w:rsid w:val="00E92F08"/>
    <w:rsid w:val="00E92FA8"/>
    <w:rsid w:val="00E9302D"/>
    <w:rsid w:val="00E936D1"/>
    <w:rsid w:val="00E93A12"/>
    <w:rsid w:val="00E93E08"/>
    <w:rsid w:val="00E941D1"/>
    <w:rsid w:val="00E943B5"/>
    <w:rsid w:val="00E943F6"/>
    <w:rsid w:val="00E946C8"/>
    <w:rsid w:val="00E9484C"/>
    <w:rsid w:val="00E948F7"/>
    <w:rsid w:val="00E94CD9"/>
    <w:rsid w:val="00E95339"/>
    <w:rsid w:val="00E95441"/>
    <w:rsid w:val="00E9546B"/>
    <w:rsid w:val="00E95510"/>
    <w:rsid w:val="00E956DE"/>
    <w:rsid w:val="00E958D5"/>
    <w:rsid w:val="00E959EB"/>
    <w:rsid w:val="00E95EEC"/>
    <w:rsid w:val="00E964E2"/>
    <w:rsid w:val="00E96585"/>
    <w:rsid w:val="00E96603"/>
    <w:rsid w:val="00E96862"/>
    <w:rsid w:val="00E96C11"/>
    <w:rsid w:val="00E96E69"/>
    <w:rsid w:val="00E970ED"/>
    <w:rsid w:val="00E97CAD"/>
    <w:rsid w:val="00EA0301"/>
    <w:rsid w:val="00EA0B1B"/>
    <w:rsid w:val="00EA0B32"/>
    <w:rsid w:val="00EA0BB8"/>
    <w:rsid w:val="00EA0D88"/>
    <w:rsid w:val="00EA12A5"/>
    <w:rsid w:val="00EA13FA"/>
    <w:rsid w:val="00EA1977"/>
    <w:rsid w:val="00EA1FA3"/>
    <w:rsid w:val="00EA2382"/>
    <w:rsid w:val="00EA25A9"/>
    <w:rsid w:val="00EA26D8"/>
    <w:rsid w:val="00EA27A0"/>
    <w:rsid w:val="00EA288B"/>
    <w:rsid w:val="00EA2BFE"/>
    <w:rsid w:val="00EA2E3A"/>
    <w:rsid w:val="00EA3009"/>
    <w:rsid w:val="00EA31FB"/>
    <w:rsid w:val="00EA3270"/>
    <w:rsid w:val="00EA32DD"/>
    <w:rsid w:val="00EA3407"/>
    <w:rsid w:val="00EA3965"/>
    <w:rsid w:val="00EA3F6F"/>
    <w:rsid w:val="00EA4159"/>
    <w:rsid w:val="00EA4580"/>
    <w:rsid w:val="00EA4A4B"/>
    <w:rsid w:val="00EA4B44"/>
    <w:rsid w:val="00EA4D5B"/>
    <w:rsid w:val="00EA5454"/>
    <w:rsid w:val="00EA5460"/>
    <w:rsid w:val="00EA5A49"/>
    <w:rsid w:val="00EA5CF4"/>
    <w:rsid w:val="00EA5D86"/>
    <w:rsid w:val="00EA61AC"/>
    <w:rsid w:val="00EA6552"/>
    <w:rsid w:val="00EA7815"/>
    <w:rsid w:val="00EA7823"/>
    <w:rsid w:val="00EA7A70"/>
    <w:rsid w:val="00EA7C46"/>
    <w:rsid w:val="00EA7D43"/>
    <w:rsid w:val="00EB015B"/>
    <w:rsid w:val="00EB01C3"/>
    <w:rsid w:val="00EB0535"/>
    <w:rsid w:val="00EB098F"/>
    <w:rsid w:val="00EB0DF7"/>
    <w:rsid w:val="00EB0FCF"/>
    <w:rsid w:val="00EB1099"/>
    <w:rsid w:val="00EB12A7"/>
    <w:rsid w:val="00EB1887"/>
    <w:rsid w:val="00EB19A5"/>
    <w:rsid w:val="00EB239D"/>
    <w:rsid w:val="00EB243D"/>
    <w:rsid w:val="00EB2608"/>
    <w:rsid w:val="00EB2BDD"/>
    <w:rsid w:val="00EB2EBA"/>
    <w:rsid w:val="00EB3039"/>
    <w:rsid w:val="00EB31CE"/>
    <w:rsid w:val="00EB36DB"/>
    <w:rsid w:val="00EB3BD5"/>
    <w:rsid w:val="00EB3E0C"/>
    <w:rsid w:val="00EB430F"/>
    <w:rsid w:val="00EB4758"/>
    <w:rsid w:val="00EB4816"/>
    <w:rsid w:val="00EB4873"/>
    <w:rsid w:val="00EB5658"/>
    <w:rsid w:val="00EB56F8"/>
    <w:rsid w:val="00EB60AA"/>
    <w:rsid w:val="00EB63C6"/>
    <w:rsid w:val="00EB673E"/>
    <w:rsid w:val="00EB6823"/>
    <w:rsid w:val="00EB69DC"/>
    <w:rsid w:val="00EB6F3E"/>
    <w:rsid w:val="00EB709F"/>
    <w:rsid w:val="00EB7689"/>
    <w:rsid w:val="00EB7869"/>
    <w:rsid w:val="00EB7971"/>
    <w:rsid w:val="00EB7A4D"/>
    <w:rsid w:val="00EB7C4F"/>
    <w:rsid w:val="00EB7CFB"/>
    <w:rsid w:val="00EB7D47"/>
    <w:rsid w:val="00EB7F78"/>
    <w:rsid w:val="00EC016A"/>
    <w:rsid w:val="00EC042B"/>
    <w:rsid w:val="00EC0459"/>
    <w:rsid w:val="00EC0890"/>
    <w:rsid w:val="00EC08E3"/>
    <w:rsid w:val="00EC1036"/>
    <w:rsid w:val="00EC1146"/>
    <w:rsid w:val="00EC129A"/>
    <w:rsid w:val="00EC16DE"/>
    <w:rsid w:val="00EC20E2"/>
    <w:rsid w:val="00EC2126"/>
    <w:rsid w:val="00EC2344"/>
    <w:rsid w:val="00EC24C1"/>
    <w:rsid w:val="00EC27C6"/>
    <w:rsid w:val="00EC29ED"/>
    <w:rsid w:val="00EC2C64"/>
    <w:rsid w:val="00EC3087"/>
    <w:rsid w:val="00EC32A7"/>
    <w:rsid w:val="00EC352E"/>
    <w:rsid w:val="00EC3CCA"/>
    <w:rsid w:val="00EC3D2C"/>
    <w:rsid w:val="00EC4090"/>
    <w:rsid w:val="00EC40B9"/>
    <w:rsid w:val="00EC4993"/>
    <w:rsid w:val="00EC4E72"/>
    <w:rsid w:val="00EC4F91"/>
    <w:rsid w:val="00EC5441"/>
    <w:rsid w:val="00EC5668"/>
    <w:rsid w:val="00EC5C96"/>
    <w:rsid w:val="00EC5F34"/>
    <w:rsid w:val="00EC62E8"/>
    <w:rsid w:val="00EC67BE"/>
    <w:rsid w:val="00EC6A7D"/>
    <w:rsid w:val="00EC6B00"/>
    <w:rsid w:val="00EC6FCA"/>
    <w:rsid w:val="00EC7347"/>
    <w:rsid w:val="00EC760C"/>
    <w:rsid w:val="00EC7751"/>
    <w:rsid w:val="00EC785A"/>
    <w:rsid w:val="00EC78D9"/>
    <w:rsid w:val="00EC7D2A"/>
    <w:rsid w:val="00ED0081"/>
    <w:rsid w:val="00ED0F54"/>
    <w:rsid w:val="00ED0FF5"/>
    <w:rsid w:val="00ED10F3"/>
    <w:rsid w:val="00ED119B"/>
    <w:rsid w:val="00ED133F"/>
    <w:rsid w:val="00ED1F10"/>
    <w:rsid w:val="00ED2017"/>
    <w:rsid w:val="00ED2617"/>
    <w:rsid w:val="00ED26DC"/>
    <w:rsid w:val="00ED2777"/>
    <w:rsid w:val="00ED280B"/>
    <w:rsid w:val="00ED2848"/>
    <w:rsid w:val="00ED2A2D"/>
    <w:rsid w:val="00ED3017"/>
    <w:rsid w:val="00ED30C7"/>
    <w:rsid w:val="00ED3C61"/>
    <w:rsid w:val="00ED3D29"/>
    <w:rsid w:val="00ED3DAD"/>
    <w:rsid w:val="00ED3E50"/>
    <w:rsid w:val="00ED4CC2"/>
    <w:rsid w:val="00ED51D0"/>
    <w:rsid w:val="00ED55D0"/>
    <w:rsid w:val="00ED5A41"/>
    <w:rsid w:val="00ED6138"/>
    <w:rsid w:val="00ED6381"/>
    <w:rsid w:val="00ED6B9B"/>
    <w:rsid w:val="00ED6BBE"/>
    <w:rsid w:val="00ED6D14"/>
    <w:rsid w:val="00ED7386"/>
    <w:rsid w:val="00ED7643"/>
    <w:rsid w:val="00ED7A11"/>
    <w:rsid w:val="00ED7A3C"/>
    <w:rsid w:val="00ED7BF4"/>
    <w:rsid w:val="00EE03F0"/>
    <w:rsid w:val="00EE043C"/>
    <w:rsid w:val="00EE0522"/>
    <w:rsid w:val="00EE06C9"/>
    <w:rsid w:val="00EE084E"/>
    <w:rsid w:val="00EE08F4"/>
    <w:rsid w:val="00EE0B2C"/>
    <w:rsid w:val="00EE0D71"/>
    <w:rsid w:val="00EE0F4A"/>
    <w:rsid w:val="00EE1AE4"/>
    <w:rsid w:val="00EE1B4D"/>
    <w:rsid w:val="00EE1CA0"/>
    <w:rsid w:val="00EE1CC2"/>
    <w:rsid w:val="00EE22F0"/>
    <w:rsid w:val="00EE28E4"/>
    <w:rsid w:val="00EE2CE2"/>
    <w:rsid w:val="00EE30C9"/>
    <w:rsid w:val="00EE3267"/>
    <w:rsid w:val="00EE334D"/>
    <w:rsid w:val="00EE3861"/>
    <w:rsid w:val="00EE39B4"/>
    <w:rsid w:val="00EE3A1A"/>
    <w:rsid w:val="00EE3AF5"/>
    <w:rsid w:val="00EE3C7B"/>
    <w:rsid w:val="00EE3DA5"/>
    <w:rsid w:val="00EE40B6"/>
    <w:rsid w:val="00EE47E8"/>
    <w:rsid w:val="00EE51A7"/>
    <w:rsid w:val="00EE5518"/>
    <w:rsid w:val="00EE5918"/>
    <w:rsid w:val="00EE5F59"/>
    <w:rsid w:val="00EE6642"/>
    <w:rsid w:val="00EE6A64"/>
    <w:rsid w:val="00EE6BB4"/>
    <w:rsid w:val="00EE6C9D"/>
    <w:rsid w:val="00EE6E67"/>
    <w:rsid w:val="00EE6EE0"/>
    <w:rsid w:val="00EE75F1"/>
    <w:rsid w:val="00EE7996"/>
    <w:rsid w:val="00EE7D8F"/>
    <w:rsid w:val="00EE7E64"/>
    <w:rsid w:val="00EF0085"/>
    <w:rsid w:val="00EF0977"/>
    <w:rsid w:val="00EF0A9B"/>
    <w:rsid w:val="00EF0B36"/>
    <w:rsid w:val="00EF0D7B"/>
    <w:rsid w:val="00EF106A"/>
    <w:rsid w:val="00EF1574"/>
    <w:rsid w:val="00EF17F0"/>
    <w:rsid w:val="00EF1C3B"/>
    <w:rsid w:val="00EF202C"/>
    <w:rsid w:val="00EF2042"/>
    <w:rsid w:val="00EF219B"/>
    <w:rsid w:val="00EF248C"/>
    <w:rsid w:val="00EF2495"/>
    <w:rsid w:val="00EF26D6"/>
    <w:rsid w:val="00EF27B8"/>
    <w:rsid w:val="00EF2DEE"/>
    <w:rsid w:val="00EF2F86"/>
    <w:rsid w:val="00EF330A"/>
    <w:rsid w:val="00EF3619"/>
    <w:rsid w:val="00EF3E67"/>
    <w:rsid w:val="00EF48A6"/>
    <w:rsid w:val="00EF4DB4"/>
    <w:rsid w:val="00EF4EEB"/>
    <w:rsid w:val="00EF4F58"/>
    <w:rsid w:val="00EF4F79"/>
    <w:rsid w:val="00EF5830"/>
    <w:rsid w:val="00EF5861"/>
    <w:rsid w:val="00EF5871"/>
    <w:rsid w:val="00EF58D9"/>
    <w:rsid w:val="00EF5A1D"/>
    <w:rsid w:val="00EF5E52"/>
    <w:rsid w:val="00EF65CD"/>
    <w:rsid w:val="00EF6758"/>
    <w:rsid w:val="00EF693D"/>
    <w:rsid w:val="00EF6987"/>
    <w:rsid w:val="00EF6AFB"/>
    <w:rsid w:val="00EF6C79"/>
    <w:rsid w:val="00EF6D60"/>
    <w:rsid w:val="00EF6E11"/>
    <w:rsid w:val="00EF6F5F"/>
    <w:rsid w:val="00EF6FF3"/>
    <w:rsid w:val="00EF707C"/>
    <w:rsid w:val="00EF76F2"/>
    <w:rsid w:val="00F00255"/>
    <w:rsid w:val="00F007BA"/>
    <w:rsid w:val="00F007F8"/>
    <w:rsid w:val="00F009B3"/>
    <w:rsid w:val="00F00D75"/>
    <w:rsid w:val="00F00FC1"/>
    <w:rsid w:val="00F014C4"/>
    <w:rsid w:val="00F01691"/>
    <w:rsid w:val="00F0170C"/>
    <w:rsid w:val="00F01734"/>
    <w:rsid w:val="00F022D5"/>
    <w:rsid w:val="00F025BA"/>
    <w:rsid w:val="00F0274C"/>
    <w:rsid w:val="00F02CEE"/>
    <w:rsid w:val="00F0390C"/>
    <w:rsid w:val="00F03E9F"/>
    <w:rsid w:val="00F042D3"/>
    <w:rsid w:val="00F04458"/>
    <w:rsid w:val="00F046C4"/>
    <w:rsid w:val="00F04AC3"/>
    <w:rsid w:val="00F04AD3"/>
    <w:rsid w:val="00F04B06"/>
    <w:rsid w:val="00F05031"/>
    <w:rsid w:val="00F0506E"/>
    <w:rsid w:val="00F054CC"/>
    <w:rsid w:val="00F05698"/>
    <w:rsid w:val="00F056B3"/>
    <w:rsid w:val="00F059B6"/>
    <w:rsid w:val="00F05D46"/>
    <w:rsid w:val="00F06377"/>
    <w:rsid w:val="00F06416"/>
    <w:rsid w:val="00F06A0B"/>
    <w:rsid w:val="00F06CCD"/>
    <w:rsid w:val="00F06D69"/>
    <w:rsid w:val="00F06EA5"/>
    <w:rsid w:val="00F071E8"/>
    <w:rsid w:val="00F077D3"/>
    <w:rsid w:val="00F07C79"/>
    <w:rsid w:val="00F07F3E"/>
    <w:rsid w:val="00F100BC"/>
    <w:rsid w:val="00F10250"/>
    <w:rsid w:val="00F10852"/>
    <w:rsid w:val="00F11172"/>
    <w:rsid w:val="00F112E8"/>
    <w:rsid w:val="00F11494"/>
    <w:rsid w:val="00F11C4B"/>
    <w:rsid w:val="00F11C9F"/>
    <w:rsid w:val="00F11D12"/>
    <w:rsid w:val="00F11FA5"/>
    <w:rsid w:val="00F1204A"/>
    <w:rsid w:val="00F12236"/>
    <w:rsid w:val="00F13906"/>
    <w:rsid w:val="00F1400A"/>
    <w:rsid w:val="00F141F1"/>
    <w:rsid w:val="00F14405"/>
    <w:rsid w:val="00F1465B"/>
    <w:rsid w:val="00F147C3"/>
    <w:rsid w:val="00F14D2B"/>
    <w:rsid w:val="00F14D94"/>
    <w:rsid w:val="00F1504F"/>
    <w:rsid w:val="00F15062"/>
    <w:rsid w:val="00F15331"/>
    <w:rsid w:val="00F15486"/>
    <w:rsid w:val="00F15560"/>
    <w:rsid w:val="00F15756"/>
    <w:rsid w:val="00F15D5E"/>
    <w:rsid w:val="00F15E39"/>
    <w:rsid w:val="00F15F4C"/>
    <w:rsid w:val="00F15FAC"/>
    <w:rsid w:val="00F16696"/>
    <w:rsid w:val="00F166F5"/>
    <w:rsid w:val="00F16BF6"/>
    <w:rsid w:val="00F16E6B"/>
    <w:rsid w:val="00F1703E"/>
    <w:rsid w:val="00F17248"/>
    <w:rsid w:val="00F17524"/>
    <w:rsid w:val="00F17719"/>
    <w:rsid w:val="00F17A40"/>
    <w:rsid w:val="00F17D20"/>
    <w:rsid w:val="00F200F1"/>
    <w:rsid w:val="00F206BE"/>
    <w:rsid w:val="00F20E93"/>
    <w:rsid w:val="00F20F18"/>
    <w:rsid w:val="00F20F65"/>
    <w:rsid w:val="00F20F8E"/>
    <w:rsid w:val="00F20FC6"/>
    <w:rsid w:val="00F213F8"/>
    <w:rsid w:val="00F21502"/>
    <w:rsid w:val="00F219B1"/>
    <w:rsid w:val="00F21B46"/>
    <w:rsid w:val="00F2213A"/>
    <w:rsid w:val="00F224B9"/>
    <w:rsid w:val="00F224C1"/>
    <w:rsid w:val="00F22ABE"/>
    <w:rsid w:val="00F22AD5"/>
    <w:rsid w:val="00F22BAC"/>
    <w:rsid w:val="00F22CAB"/>
    <w:rsid w:val="00F23277"/>
    <w:rsid w:val="00F23396"/>
    <w:rsid w:val="00F235EC"/>
    <w:rsid w:val="00F23714"/>
    <w:rsid w:val="00F23846"/>
    <w:rsid w:val="00F23ABD"/>
    <w:rsid w:val="00F23F48"/>
    <w:rsid w:val="00F2405B"/>
    <w:rsid w:val="00F244C5"/>
    <w:rsid w:val="00F245B0"/>
    <w:rsid w:val="00F24B24"/>
    <w:rsid w:val="00F2569B"/>
    <w:rsid w:val="00F25A4F"/>
    <w:rsid w:val="00F26132"/>
    <w:rsid w:val="00F26175"/>
    <w:rsid w:val="00F26F96"/>
    <w:rsid w:val="00F26F9B"/>
    <w:rsid w:val="00F26FC8"/>
    <w:rsid w:val="00F27038"/>
    <w:rsid w:val="00F270F7"/>
    <w:rsid w:val="00F272D5"/>
    <w:rsid w:val="00F27358"/>
    <w:rsid w:val="00F27AF3"/>
    <w:rsid w:val="00F27C82"/>
    <w:rsid w:val="00F27ED2"/>
    <w:rsid w:val="00F303FA"/>
    <w:rsid w:val="00F30507"/>
    <w:rsid w:val="00F30A46"/>
    <w:rsid w:val="00F30AE1"/>
    <w:rsid w:val="00F30E0F"/>
    <w:rsid w:val="00F30F9B"/>
    <w:rsid w:val="00F31336"/>
    <w:rsid w:val="00F314D7"/>
    <w:rsid w:val="00F31799"/>
    <w:rsid w:val="00F31B0D"/>
    <w:rsid w:val="00F31DEF"/>
    <w:rsid w:val="00F32013"/>
    <w:rsid w:val="00F325AB"/>
    <w:rsid w:val="00F32960"/>
    <w:rsid w:val="00F329E9"/>
    <w:rsid w:val="00F32C3F"/>
    <w:rsid w:val="00F334AE"/>
    <w:rsid w:val="00F33C3C"/>
    <w:rsid w:val="00F33D80"/>
    <w:rsid w:val="00F3439A"/>
    <w:rsid w:val="00F34482"/>
    <w:rsid w:val="00F34901"/>
    <w:rsid w:val="00F34F02"/>
    <w:rsid w:val="00F3525C"/>
    <w:rsid w:val="00F35341"/>
    <w:rsid w:val="00F35B6F"/>
    <w:rsid w:val="00F35D75"/>
    <w:rsid w:val="00F35E2E"/>
    <w:rsid w:val="00F36AE5"/>
    <w:rsid w:val="00F37737"/>
    <w:rsid w:val="00F37E98"/>
    <w:rsid w:val="00F402DB"/>
    <w:rsid w:val="00F4037E"/>
    <w:rsid w:val="00F404A4"/>
    <w:rsid w:val="00F40691"/>
    <w:rsid w:val="00F408C2"/>
    <w:rsid w:val="00F40E4A"/>
    <w:rsid w:val="00F41567"/>
    <w:rsid w:val="00F41C05"/>
    <w:rsid w:val="00F41C61"/>
    <w:rsid w:val="00F42120"/>
    <w:rsid w:val="00F426A7"/>
    <w:rsid w:val="00F42893"/>
    <w:rsid w:val="00F429D6"/>
    <w:rsid w:val="00F42A21"/>
    <w:rsid w:val="00F42F83"/>
    <w:rsid w:val="00F4311E"/>
    <w:rsid w:val="00F43336"/>
    <w:rsid w:val="00F43DF0"/>
    <w:rsid w:val="00F43E1B"/>
    <w:rsid w:val="00F43F1F"/>
    <w:rsid w:val="00F4413A"/>
    <w:rsid w:val="00F44734"/>
    <w:rsid w:val="00F44EE9"/>
    <w:rsid w:val="00F45A15"/>
    <w:rsid w:val="00F45B3A"/>
    <w:rsid w:val="00F46574"/>
    <w:rsid w:val="00F465E9"/>
    <w:rsid w:val="00F46745"/>
    <w:rsid w:val="00F46882"/>
    <w:rsid w:val="00F46895"/>
    <w:rsid w:val="00F46B19"/>
    <w:rsid w:val="00F46D2F"/>
    <w:rsid w:val="00F47973"/>
    <w:rsid w:val="00F47B7B"/>
    <w:rsid w:val="00F5027F"/>
    <w:rsid w:val="00F50464"/>
    <w:rsid w:val="00F5054A"/>
    <w:rsid w:val="00F508FC"/>
    <w:rsid w:val="00F50CA0"/>
    <w:rsid w:val="00F523E4"/>
    <w:rsid w:val="00F52522"/>
    <w:rsid w:val="00F52744"/>
    <w:rsid w:val="00F529A1"/>
    <w:rsid w:val="00F52C20"/>
    <w:rsid w:val="00F52E5D"/>
    <w:rsid w:val="00F53073"/>
    <w:rsid w:val="00F538AB"/>
    <w:rsid w:val="00F53DE9"/>
    <w:rsid w:val="00F53E13"/>
    <w:rsid w:val="00F54278"/>
    <w:rsid w:val="00F548B6"/>
    <w:rsid w:val="00F54A73"/>
    <w:rsid w:val="00F54C06"/>
    <w:rsid w:val="00F550A7"/>
    <w:rsid w:val="00F55110"/>
    <w:rsid w:val="00F552EE"/>
    <w:rsid w:val="00F5530F"/>
    <w:rsid w:val="00F55448"/>
    <w:rsid w:val="00F55DA9"/>
    <w:rsid w:val="00F55E1C"/>
    <w:rsid w:val="00F5613C"/>
    <w:rsid w:val="00F564C7"/>
    <w:rsid w:val="00F567C7"/>
    <w:rsid w:val="00F57225"/>
    <w:rsid w:val="00F5726E"/>
    <w:rsid w:val="00F57328"/>
    <w:rsid w:val="00F57359"/>
    <w:rsid w:val="00F5758F"/>
    <w:rsid w:val="00F57AAA"/>
    <w:rsid w:val="00F57D5D"/>
    <w:rsid w:val="00F603AE"/>
    <w:rsid w:val="00F605C9"/>
    <w:rsid w:val="00F60B95"/>
    <w:rsid w:val="00F61194"/>
    <w:rsid w:val="00F615B8"/>
    <w:rsid w:val="00F619F8"/>
    <w:rsid w:val="00F621C0"/>
    <w:rsid w:val="00F624DF"/>
    <w:rsid w:val="00F62902"/>
    <w:rsid w:val="00F62910"/>
    <w:rsid w:val="00F6291F"/>
    <w:rsid w:val="00F629B4"/>
    <w:rsid w:val="00F62F70"/>
    <w:rsid w:val="00F63138"/>
    <w:rsid w:val="00F631A4"/>
    <w:rsid w:val="00F633AA"/>
    <w:rsid w:val="00F63503"/>
    <w:rsid w:val="00F63831"/>
    <w:rsid w:val="00F63982"/>
    <w:rsid w:val="00F63B84"/>
    <w:rsid w:val="00F64381"/>
    <w:rsid w:val="00F64B08"/>
    <w:rsid w:val="00F64E46"/>
    <w:rsid w:val="00F65062"/>
    <w:rsid w:val="00F653D9"/>
    <w:rsid w:val="00F65C57"/>
    <w:rsid w:val="00F65EBC"/>
    <w:rsid w:val="00F6607E"/>
    <w:rsid w:val="00F662A6"/>
    <w:rsid w:val="00F662E5"/>
    <w:rsid w:val="00F6646E"/>
    <w:rsid w:val="00F6664D"/>
    <w:rsid w:val="00F66C45"/>
    <w:rsid w:val="00F67420"/>
    <w:rsid w:val="00F6746B"/>
    <w:rsid w:val="00F675C0"/>
    <w:rsid w:val="00F67B50"/>
    <w:rsid w:val="00F70356"/>
    <w:rsid w:val="00F7064A"/>
    <w:rsid w:val="00F70A98"/>
    <w:rsid w:val="00F70F6F"/>
    <w:rsid w:val="00F7142A"/>
    <w:rsid w:val="00F71F33"/>
    <w:rsid w:val="00F72187"/>
    <w:rsid w:val="00F728C8"/>
    <w:rsid w:val="00F728D3"/>
    <w:rsid w:val="00F7295E"/>
    <w:rsid w:val="00F72D66"/>
    <w:rsid w:val="00F72E63"/>
    <w:rsid w:val="00F730BA"/>
    <w:rsid w:val="00F7311B"/>
    <w:rsid w:val="00F7313B"/>
    <w:rsid w:val="00F73E57"/>
    <w:rsid w:val="00F74184"/>
    <w:rsid w:val="00F744C0"/>
    <w:rsid w:val="00F744EE"/>
    <w:rsid w:val="00F747B6"/>
    <w:rsid w:val="00F74B2F"/>
    <w:rsid w:val="00F74F32"/>
    <w:rsid w:val="00F74F83"/>
    <w:rsid w:val="00F750DC"/>
    <w:rsid w:val="00F75DF7"/>
    <w:rsid w:val="00F75EA4"/>
    <w:rsid w:val="00F7602A"/>
    <w:rsid w:val="00F7649B"/>
    <w:rsid w:val="00F77234"/>
    <w:rsid w:val="00F77274"/>
    <w:rsid w:val="00F77544"/>
    <w:rsid w:val="00F776AC"/>
    <w:rsid w:val="00F77751"/>
    <w:rsid w:val="00F777BB"/>
    <w:rsid w:val="00F779B9"/>
    <w:rsid w:val="00F77D4A"/>
    <w:rsid w:val="00F77E62"/>
    <w:rsid w:val="00F8067D"/>
    <w:rsid w:val="00F80C0D"/>
    <w:rsid w:val="00F80D10"/>
    <w:rsid w:val="00F80D42"/>
    <w:rsid w:val="00F81289"/>
    <w:rsid w:val="00F81988"/>
    <w:rsid w:val="00F81CEB"/>
    <w:rsid w:val="00F82613"/>
    <w:rsid w:val="00F8293D"/>
    <w:rsid w:val="00F82983"/>
    <w:rsid w:val="00F82AAF"/>
    <w:rsid w:val="00F82F0A"/>
    <w:rsid w:val="00F83107"/>
    <w:rsid w:val="00F8338C"/>
    <w:rsid w:val="00F8342E"/>
    <w:rsid w:val="00F83545"/>
    <w:rsid w:val="00F837E8"/>
    <w:rsid w:val="00F83CE7"/>
    <w:rsid w:val="00F84310"/>
    <w:rsid w:val="00F84446"/>
    <w:rsid w:val="00F8444F"/>
    <w:rsid w:val="00F848C0"/>
    <w:rsid w:val="00F84B3C"/>
    <w:rsid w:val="00F853D1"/>
    <w:rsid w:val="00F85BD6"/>
    <w:rsid w:val="00F85EDE"/>
    <w:rsid w:val="00F85F11"/>
    <w:rsid w:val="00F86089"/>
    <w:rsid w:val="00F86180"/>
    <w:rsid w:val="00F86877"/>
    <w:rsid w:val="00F8756C"/>
    <w:rsid w:val="00F87584"/>
    <w:rsid w:val="00F876EA"/>
    <w:rsid w:val="00F900D7"/>
    <w:rsid w:val="00F90274"/>
    <w:rsid w:val="00F903A3"/>
    <w:rsid w:val="00F90485"/>
    <w:rsid w:val="00F90CAC"/>
    <w:rsid w:val="00F90E3B"/>
    <w:rsid w:val="00F91084"/>
    <w:rsid w:val="00F91210"/>
    <w:rsid w:val="00F919C3"/>
    <w:rsid w:val="00F91AA9"/>
    <w:rsid w:val="00F91C61"/>
    <w:rsid w:val="00F91DF4"/>
    <w:rsid w:val="00F920FD"/>
    <w:rsid w:val="00F92676"/>
    <w:rsid w:val="00F93072"/>
    <w:rsid w:val="00F935CA"/>
    <w:rsid w:val="00F941AF"/>
    <w:rsid w:val="00F9435E"/>
    <w:rsid w:val="00F9445F"/>
    <w:rsid w:val="00F94A2F"/>
    <w:rsid w:val="00F950DD"/>
    <w:rsid w:val="00F95420"/>
    <w:rsid w:val="00F95941"/>
    <w:rsid w:val="00F95DC3"/>
    <w:rsid w:val="00F95E7C"/>
    <w:rsid w:val="00F96920"/>
    <w:rsid w:val="00F97200"/>
    <w:rsid w:val="00F976A7"/>
    <w:rsid w:val="00F9796E"/>
    <w:rsid w:val="00FA0807"/>
    <w:rsid w:val="00FA0872"/>
    <w:rsid w:val="00FA0C01"/>
    <w:rsid w:val="00FA131B"/>
    <w:rsid w:val="00FA18AE"/>
    <w:rsid w:val="00FA1D99"/>
    <w:rsid w:val="00FA1E0B"/>
    <w:rsid w:val="00FA1F2B"/>
    <w:rsid w:val="00FA2095"/>
    <w:rsid w:val="00FA2DFA"/>
    <w:rsid w:val="00FA2EEE"/>
    <w:rsid w:val="00FA3629"/>
    <w:rsid w:val="00FA3C66"/>
    <w:rsid w:val="00FA3FA2"/>
    <w:rsid w:val="00FA46A5"/>
    <w:rsid w:val="00FA49C8"/>
    <w:rsid w:val="00FA507A"/>
    <w:rsid w:val="00FA5186"/>
    <w:rsid w:val="00FA56E7"/>
    <w:rsid w:val="00FA5740"/>
    <w:rsid w:val="00FA5B47"/>
    <w:rsid w:val="00FA5B64"/>
    <w:rsid w:val="00FA647C"/>
    <w:rsid w:val="00FA6516"/>
    <w:rsid w:val="00FA6875"/>
    <w:rsid w:val="00FA687D"/>
    <w:rsid w:val="00FA7135"/>
    <w:rsid w:val="00FA7519"/>
    <w:rsid w:val="00FA7BB4"/>
    <w:rsid w:val="00FA7D79"/>
    <w:rsid w:val="00FA7E0F"/>
    <w:rsid w:val="00FA7E99"/>
    <w:rsid w:val="00FA7F4D"/>
    <w:rsid w:val="00FB06BF"/>
    <w:rsid w:val="00FB093E"/>
    <w:rsid w:val="00FB0FBF"/>
    <w:rsid w:val="00FB1105"/>
    <w:rsid w:val="00FB11F7"/>
    <w:rsid w:val="00FB1335"/>
    <w:rsid w:val="00FB13B6"/>
    <w:rsid w:val="00FB1AB2"/>
    <w:rsid w:val="00FB1BFC"/>
    <w:rsid w:val="00FB1D5D"/>
    <w:rsid w:val="00FB2477"/>
    <w:rsid w:val="00FB24E0"/>
    <w:rsid w:val="00FB2D26"/>
    <w:rsid w:val="00FB2F7F"/>
    <w:rsid w:val="00FB2FB7"/>
    <w:rsid w:val="00FB316E"/>
    <w:rsid w:val="00FB32E9"/>
    <w:rsid w:val="00FB3397"/>
    <w:rsid w:val="00FB37F0"/>
    <w:rsid w:val="00FB3864"/>
    <w:rsid w:val="00FB3B6B"/>
    <w:rsid w:val="00FB3D6C"/>
    <w:rsid w:val="00FB40FF"/>
    <w:rsid w:val="00FB4432"/>
    <w:rsid w:val="00FB51CD"/>
    <w:rsid w:val="00FB586C"/>
    <w:rsid w:val="00FB5870"/>
    <w:rsid w:val="00FB5A47"/>
    <w:rsid w:val="00FB5A6D"/>
    <w:rsid w:val="00FB5C04"/>
    <w:rsid w:val="00FB6072"/>
    <w:rsid w:val="00FB6279"/>
    <w:rsid w:val="00FB6543"/>
    <w:rsid w:val="00FB66F8"/>
    <w:rsid w:val="00FB6C4F"/>
    <w:rsid w:val="00FB6C9C"/>
    <w:rsid w:val="00FB6CC6"/>
    <w:rsid w:val="00FB7139"/>
    <w:rsid w:val="00FB745B"/>
    <w:rsid w:val="00FB74B1"/>
    <w:rsid w:val="00FB762B"/>
    <w:rsid w:val="00FB7650"/>
    <w:rsid w:val="00FB7802"/>
    <w:rsid w:val="00FB7CE0"/>
    <w:rsid w:val="00FC0396"/>
    <w:rsid w:val="00FC0449"/>
    <w:rsid w:val="00FC04E8"/>
    <w:rsid w:val="00FC057F"/>
    <w:rsid w:val="00FC0848"/>
    <w:rsid w:val="00FC08EF"/>
    <w:rsid w:val="00FC0D65"/>
    <w:rsid w:val="00FC0E45"/>
    <w:rsid w:val="00FC143E"/>
    <w:rsid w:val="00FC1BF7"/>
    <w:rsid w:val="00FC1CE3"/>
    <w:rsid w:val="00FC1D2F"/>
    <w:rsid w:val="00FC1E03"/>
    <w:rsid w:val="00FC2049"/>
    <w:rsid w:val="00FC2920"/>
    <w:rsid w:val="00FC2939"/>
    <w:rsid w:val="00FC2B8B"/>
    <w:rsid w:val="00FC3000"/>
    <w:rsid w:val="00FC337B"/>
    <w:rsid w:val="00FC3527"/>
    <w:rsid w:val="00FC3C55"/>
    <w:rsid w:val="00FC3D86"/>
    <w:rsid w:val="00FC3E9E"/>
    <w:rsid w:val="00FC438B"/>
    <w:rsid w:val="00FC48ED"/>
    <w:rsid w:val="00FC4D05"/>
    <w:rsid w:val="00FC4E84"/>
    <w:rsid w:val="00FC5175"/>
    <w:rsid w:val="00FC5316"/>
    <w:rsid w:val="00FC5446"/>
    <w:rsid w:val="00FC549C"/>
    <w:rsid w:val="00FC5AE4"/>
    <w:rsid w:val="00FC5AEE"/>
    <w:rsid w:val="00FC600D"/>
    <w:rsid w:val="00FC610B"/>
    <w:rsid w:val="00FC6683"/>
    <w:rsid w:val="00FC6AB5"/>
    <w:rsid w:val="00FC6D43"/>
    <w:rsid w:val="00FC6E5C"/>
    <w:rsid w:val="00FC7B1B"/>
    <w:rsid w:val="00FC7B46"/>
    <w:rsid w:val="00FD04BD"/>
    <w:rsid w:val="00FD0509"/>
    <w:rsid w:val="00FD0B1F"/>
    <w:rsid w:val="00FD1064"/>
    <w:rsid w:val="00FD15D3"/>
    <w:rsid w:val="00FD1813"/>
    <w:rsid w:val="00FD196E"/>
    <w:rsid w:val="00FD1B3A"/>
    <w:rsid w:val="00FD1CF1"/>
    <w:rsid w:val="00FD2286"/>
    <w:rsid w:val="00FD232C"/>
    <w:rsid w:val="00FD24FA"/>
    <w:rsid w:val="00FD26AD"/>
    <w:rsid w:val="00FD2A7F"/>
    <w:rsid w:val="00FD2C5F"/>
    <w:rsid w:val="00FD2E0C"/>
    <w:rsid w:val="00FD302A"/>
    <w:rsid w:val="00FD30C6"/>
    <w:rsid w:val="00FD35AC"/>
    <w:rsid w:val="00FD3651"/>
    <w:rsid w:val="00FD39B7"/>
    <w:rsid w:val="00FD3C15"/>
    <w:rsid w:val="00FD3C6F"/>
    <w:rsid w:val="00FD3DF2"/>
    <w:rsid w:val="00FD4AD4"/>
    <w:rsid w:val="00FD4DF1"/>
    <w:rsid w:val="00FD5992"/>
    <w:rsid w:val="00FD5EB1"/>
    <w:rsid w:val="00FD6629"/>
    <w:rsid w:val="00FD6743"/>
    <w:rsid w:val="00FD6898"/>
    <w:rsid w:val="00FD69BB"/>
    <w:rsid w:val="00FD6E91"/>
    <w:rsid w:val="00FD777D"/>
    <w:rsid w:val="00FD7DB4"/>
    <w:rsid w:val="00FD7E47"/>
    <w:rsid w:val="00FE0370"/>
    <w:rsid w:val="00FE0A7E"/>
    <w:rsid w:val="00FE0C16"/>
    <w:rsid w:val="00FE11E8"/>
    <w:rsid w:val="00FE12A4"/>
    <w:rsid w:val="00FE14BA"/>
    <w:rsid w:val="00FE1967"/>
    <w:rsid w:val="00FE1ADE"/>
    <w:rsid w:val="00FE226C"/>
    <w:rsid w:val="00FE2A88"/>
    <w:rsid w:val="00FE3005"/>
    <w:rsid w:val="00FE3039"/>
    <w:rsid w:val="00FE32E2"/>
    <w:rsid w:val="00FE3318"/>
    <w:rsid w:val="00FE378F"/>
    <w:rsid w:val="00FE37FE"/>
    <w:rsid w:val="00FE3BDC"/>
    <w:rsid w:val="00FE3BF6"/>
    <w:rsid w:val="00FE3EE4"/>
    <w:rsid w:val="00FE45E8"/>
    <w:rsid w:val="00FE4730"/>
    <w:rsid w:val="00FE47FA"/>
    <w:rsid w:val="00FE49DD"/>
    <w:rsid w:val="00FE510C"/>
    <w:rsid w:val="00FE562C"/>
    <w:rsid w:val="00FE565C"/>
    <w:rsid w:val="00FE569D"/>
    <w:rsid w:val="00FE5D5E"/>
    <w:rsid w:val="00FE5E4A"/>
    <w:rsid w:val="00FE676E"/>
    <w:rsid w:val="00FE67DA"/>
    <w:rsid w:val="00FE68B8"/>
    <w:rsid w:val="00FE6DF7"/>
    <w:rsid w:val="00FE6E02"/>
    <w:rsid w:val="00FE77E7"/>
    <w:rsid w:val="00FF019C"/>
    <w:rsid w:val="00FF04B8"/>
    <w:rsid w:val="00FF0688"/>
    <w:rsid w:val="00FF092C"/>
    <w:rsid w:val="00FF0B44"/>
    <w:rsid w:val="00FF0E21"/>
    <w:rsid w:val="00FF0F21"/>
    <w:rsid w:val="00FF10D2"/>
    <w:rsid w:val="00FF1334"/>
    <w:rsid w:val="00FF155C"/>
    <w:rsid w:val="00FF1649"/>
    <w:rsid w:val="00FF1869"/>
    <w:rsid w:val="00FF1A42"/>
    <w:rsid w:val="00FF1E88"/>
    <w:rsid w:val="00FF216F"/>
    <w:rsid w:val="00FF2318"/>
    <w:rsid w:val="00FF24D6"/>
    <w:rsid w:val="00FF2845"/>
    <w:rsid w:val="00FF2D10"/>
    <w:rsid w:val="00FF315C"/>
    <w:rsid w:val="00FF321C"/>
    <w:rsid w:val="00FF3372"/>
    <w:rsid w:val="00FF3752"/>
    <w:rsid w:val="00FF382C"/>
    <w:rsid w:val="00FF39AF"/>
    <w:rsid w:val="00FF3A5C"/>
    <w:rsid w:val="00FF46C0"/>
    <w:rsid w:val="00FF4B13"/>
    <w:rsid w:val="00FF4C6A"/>
    <w:rsid w:val="00FF5B9D"/>
    <w:rsid w:val="00FF5EF2"/>
    <w:rsid w:val="00FF6438"/>
    <w:rsid w:val="00FF6443"/>
    <w:rsid w:val="00FF6521"/>
    <w:rsid w:val="00FF65D5"/>
    <w:rsid w:val="00FF683D"/>
    <w:rsid w:val="00FF7202"/>
    <w:rsid w:val="00FF725D"/>
    <w:rsid w:val="00FF740F"/>
    <w:rsid w:val="00FF787B"/>
    <w:rsid w:val="00FF7D78"/>
    <w:rsid w:val="00FF7DFC"/>
    <w:rsid w:val="020F04DE"/>
    <w:rsid w:val="03D6186F"/>
    <w:rsid w:val="04281253"/>
    <w:rsid w:val="048A748A"/>
    <w:rsid w:val="04991916"/>
    <w:rsid w:val="04C020BD"/>
    <w:rsid w:val="052CFFFD"/>
    <w:rsid w:val="05B22033"/>
    <w:rsid w:val="063CE6DB"/>
    <w:rsid w:val="065AF38F"/>
    <w:rsid w:val="069BE044"/>
    <w:rsid w:val="07680404"/>
    <w:rsid w:val="07A0CAEE"/>
    <w:rsid w:val="07EBED26"/>
    <w:rsid w:val="0934734D"/>
    <w:rsid w:val="09770625"/>
    <w:rsid w:val="09819EB0"/>
    <w:rsid w:val="0B0951A1"/>
    <w:rsid w:val="0B0E3452"/>
    <w:rsid w:val="0B4081CF"/>
    <w:rsid w:val="0BBAE3B7"/>
    <w:rsid w:val="0CBF643B"/>
    <w:rsid w:val="0CE21C4B"/>
    <w:rsid w:val="0D5385F2"/>
    <w:rsid w:val="0DA8A253"/>
    <w:rsid w:val="0DB414B9"/>
    <w:rsid w:val="0DC01739"/>
    <w:rsid w:val="0ED1F9D9"/>
    <w:rsid w:val="0EDEDCF5"/>
    <w:rsid w:val="1140EB1A"/>
    <w:rsid w:val="11B7C91C"/>
    <w:rsid w:val="12BAA0F9"/>
    <w:rsid w:val="12F573CC"/>
    <w:rsid w:val="137A067E"/>
    <w:rsid w:val="13C7F20C"/>
    <w:rsid w:val="147501B7"/>
    <w:rsid w:val="1510CDC3"/>
    <w:rsid w:val="15831812"/>
    <w:rsid w:val="167ACF0F"/>
    <w:rsid w:val="1683B2B9"/>
    <w:rsid w:val="173C0123"/>
    <w:rsid w:val="173F6D4D"/>
    <w:rsid w:val="18612793"/>
    <w:rsid w:val="18EF3DB1"/>
    <w:rsid w:val="190E6C6F"/>
    <w:rsid w:val="194202B8"/>
    <w:rsid w:val="197E1198"/>
    <w:rsid w:val="199457BB"/>
    <w:rsid w:val="1A8534A4"/>
    <w:rsid w:val="1B26389D"/>
    <w:rsid w:val="1C2A1906"/>
    <w:rsid w:val="1CF15ED9"/>
    <w:rsid w:val="1D1F7091"/>
    <w:rsid w:val="1D49AFA9"/>
    <w:rsid w:val="1DEFC0FF"/>
    <w:rsid w:val="1E0965E0"/>
    <w:rsid w:val="1E4693B5"/>
    <w:rsid w:val="1E4FAC65"/>
    <w:rsid w:val="1E54C793"/>
    <w:rsid w:val="1F001BD7"/>
    <w:rsid w:val="1F008F81"/>
    <w:rsid w:val="1FD65D68"/>
    <w:rsid w:val="206124C7"/>
    <w:rsid w:val="2124A0F5"/>
    <w:rsid w:val="2141910E"/>
    <w:rsid w:val="21D4C654"/>
    <w:rsid w:val="22CE8781"/>
    <w:rsid w:val="235003E6"/>
    <w:rsid w:val="24183349"/>
    <w:rsid w:val="24256ECD"/>
    <w:rsid w:val="24265B99"/>
    <w:rsid w:val="249DC5A2"/>
    <w:rsid w:val="24B17893"/>
    <w:rsid w:val="24EDAD77"/>
    <w:rsid w:val="25A76845"/>
    <w:rsid w:val="25AD4CD8"/>
    <w:rsid w:val="262E9214"/>
    <w:rsid w:val="2633E1ED"/>
    <w:rsid w:val="265C985F"/>
    <w:rsid w:val="27DA3CD3"/>
    <w:rsid w:val="28964252"/>
    <w:rsid w:val="295228EB"/>
    <w:rsid w:val="296447C5"/>
    <w:rsid w:val="29A475B9"/>
    <w:rsid w:val="2A470EA5"/>
    <w:rsid w:val="2AF62558"/>
    <w:rsid w:val="2B84A60D"/>
    <w:rsid w:val="2BE08181"/>
    <w:rsid w:val="2C1F4B69"/>
    <w:rsid w:val="2C3CD88C"/>
    <w:rsid w:val="2C7BA086"/>
    <w:rsid w:val="2CDADCD0"/>
    <w:rsid w:val="2D4AEC0D"/>
    <w:rsid w:val="2DF00727"/>
    <w:rsid w:val="2E3BCAED"/>
    <w:rsid w:val="2E7BB6B5"/>
    <w:rsid w:val="2F20E3A1"/>
    <w:rsid w:val="2FF14F96"/>
    <w:rsid w:val="314693CC"/>
    <w:rsid w:val="31A681FB"/>
    <w:rsid w:val="31CA8687"/>
    <w:rsid w:val="344C87A8"/>
    <w:rsid w:val="34A26EA7"/>
    <w:rsid w:val="34AEC2E8"/>
    <w:rsid w:val="34CA7579"/>
    <w:rsid w:val="3584762C"/>
    <w:rsid w:val="360143DE"/>
    <w:rsid w:val="362DD2C5"/>
    <w:rsid w:val="3631CB01"/>
    <w:rsid w:val="366DEA8E"/>
    <w:rsid w:val="374DF296"/>
    <w:rsid w:val="376A1884"/>
    <w:rsid w:val="38614EA4"/>
    <w:rsid w:val="386F380C"/>
    <w:rsid w:val="391E7742"/>
    <w:rsid w:val="3946BC7B"/>
    <w:rsid w:val="39A348EA"/>
    <w:rsid w:val="39F3C487"/>
    <w:rsid w:val="3B978732"/>
    <w:rsid w:val="3BC1CA6C"/>
    <w:rsid w:val="3BCF5B88"/>
    <w:rsid w:val="3C133D67"/>
    <w:rsid w:val="3C3BA628"/>
    <w:rsid w:val="3C4DE4FB"/>
    <w:rsid w:val="3CFAB671"/>
    <w:rsid w:val="3D65C537"/>
    <w:rsid w:val="3E03E27C"/>
    <w:rsid w:val="3F682EDF"/>
    <w:rsid w:val="3FDF07DE"/>
    <w:rsid w:val="40967D4D"/>
    <w:rsid w:val="40B55B13"/>
    <w:rsid w:val="40D33DA0"/>
    <w:rsid w:val="415522BB"/>
    <w:rsid w:val="41FB7B9E"/>
    <w:rsid w:val="42CDE416"/>
    <w:rsid w:val="42E2C7FF"/>
    <w:rsid w:val="431AC7F7"/>
    <w:rsid w:val="435D4E99"/>
    <w:rsid w:val="450CD0BD"/>
    <w:rsid w:val="455F705F"/>
    <w:rsid w:val="467C1E35"/>
    <w:rsid w:val="46B0637D"/>
    <w:rsid w:val="4830C978"/>
    <w:rsid w:val="4851C690"/>
    <w:rsid w:val="486B161F"/>
    <w:rsid w:val="48C86646"/>
    <w:rsid w:val="48F46E31"/>
    <w:rsid w:val="49545009"/>
    <w:rsid w:val="498750C7"/>
    <w:rsid w:val="4A9C0380"/>
    <w:rsid w:val="4ACF26E2"/>
    <w:rsid w:val="4AD59F8D"/>
    <w:rsid w:val="4BDB806A"/>
    <w:rsid w:val="4C41F5DF"/>
    <w:rsid w:val="505BCC0D"/>
    <w:rsid w:val="51483212"/>
    <w:rsid w:val="5274BF0A"/>
    <w:rsid w:val="53492098"/>
    <w:rsid w:val="539C77F3"/>
    <w:rsid w:val="550F7B92"/>
    <w:rsid w:val="551302FB"/>
    <w:rsid w:val="554B3FC8"/>
    <w:rsid w:val="5562D0F3"/>
    <w:rsid w:val="55C03D23"/>
    <w:rsid w:val="56B03256"/>
    <w:rsid w:val="5715EC20"/>
    <w:rsid w:val="57975F30"/>
    <w:rsid w:val="5816C4D4"/>
    <w:rsid w:val="58527A9D"/>
    <w:rsid w:val="58CEDDAA"/>
    <w:rsid w:val="59261994"/>
    <w:rsid w:val="59C0E90A"/>
    <w:rsid w:val="5A237A5B"/>
    <w:rsid w:val="5ACBC6D5"/>
    <w:rsid w:val="5AE41014"/>
    <w:rsid w:val="5B679DC8"/>
    <w:rsid w:val="5B694259"/>
    <w:rsid w:val="5BEDB029"/>
    <w:rsid w:val="5CD996D9"/>
    <w:rsid w:val="5CF80A04"/>
    <w:rsid w:val="5D641722"/>
    <w:rsid w:val="5F2C0B4C"/>
    <w:rsid w:val="5F99D8A2"/>
    <w:rsid w:val="5FB2FB71"/>
    <w:rsid w:val="6030C4C3"/>
    <w:rsid w:val="60749515"/>
    <w:rsid w:val="61123F28"/>
    <w:rsid w:val="611D3756"/>
    <w:rsid w:val="6173E013"/>
    <w:rsid w:val="6176981E"/>
    <w:rsid w:val="61871347"/>
    <w:rsid w:val="6218ACD4"/>
    <w:rsid w:val="63119D10"/>
    <w:rsid w:val="632ABAEA"/>
    <w:rsid w:val="64657DFC"/>
    <w:rsid w:val="64BF528D"/>
    <w:rsid w:val="650085A2"/>
    <w:rsid w:val="650E99DF"/>
    <w:rsid w:val="6543D6F9"/>
    <w:rsid w:val="6553AFF9"/>
    <w:rsid w:val="6570A6A0"/>
    <w:rsid w:val="664D4D32"/>
    <w:rsid w:val="67059926"/>
    <w:rsid w:val="671ED0E9"/>
    <w:rsid w:val="6784E2F6"/>
    <w:rsid w:val="680A31EB"/>
    <w:rsid w:val="6813FF10"/>
    <w:rsid w:val="6818B9E6"/>
    <w:rsid w:val="6826F5F1"/>
    <w:rsid w:val="685C895E"/>
    <w:rsid w:val="690C3F86"/>
    <w:rsid w:val="6922FB5C"/>
    <w:rsid w:val="69F16803"/>
    <w:rsid w:val="6AE6C738"/>
    <w:rsid w:val="6B933427"/>
    <w:rsid w:val="6C7327A2"/>
    <w:rsid w:val="6D2AF412"/>
    <w:rsid w:val="6D627BC7"/>
    <w:rsid w:val="6D8F7509"/>
    <w:rsid w:val="6DFF3885"/>
    <w:rsid w:val="6EBA38F8"/>
    <w:rsid w:val="6F5BF4EE"/>
    <w:rsid w:val="6F9E702B"/>
    <w:rsid w:val="7039507C"/>
    <w:rsid w:val="70F13D64"/>
    <w:rsid w:val="71D5A244"/>
    <w:rsid w:val="71F18F85"/>
    <w:rsid w:val="72549B3E"/>
    <w:rsid w:val="725F7C5B"/>
    <w:rsid w:val="72A98C18"/>
    <w:rsid w:val="72E71D1B"/>
    <w:rsid w:val="72EEE028"/>
    <w:rsid w:val="73174CBD"/>
    <w:rsid w:val="733E995A"/>
    <w:rsid w:val="7367424E"/>
    <w:rsid w:val="73EC51D4"/>
    <w:rsid w:val="73F98589"/>
    <w:rsid w:val="741D3522"/>
    <w:rsid w:val="746B323F"/>
    <w:rsid w:val="7616204B"/>
    <w:rsid w:val="76187093"/>
    <w:rsid w:val="762D3A32"/>
    <w:rsid w:val="773F91B9"/>
    <w:rsid w:val="783B563A"/>
    <w:rsid w:val="78CA15AA"/>
    <w:rsid w:val="78FE9581"/>
    <w:rsid w:val="7A8AF8F7"/>
    <w:rsid w:val="7BCF7D6D"/>
    <w:rsid w:val="7CB062CF"/>
    <w:rsid w:val="7D6FF470"/>
    <w:rsid w:val="7D9F4737"/>
    <w:rsid w:val="7DAC39E9"/>
    <w:rsid w:val="7DCBDDD7"/>
    <w:rsid w:val="7ED410C8"/>
    <w:rsid w:val="7ED43CA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7AA3FAB"/>
  <w15:docId w15:val="{BFB3EC36-0C34-4FDD-B7FA-A8EC828B1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4" w:lineRule="auto"/>
      </w:pPr>
    </w:pPrDefault>
  </w:docDefaults>
  <w:latentStyles w:defLockedState="0" w:defUIPriority="99" w:defSemiHidden="0" w:defUnhideWhenUsed="0" w:defQFormat="0" w:count="376">
    <w:lsdException w:name="Normal" w:uiPriority="0"/>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0"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rsid w:val="00D9292B"/>
    <w:pPr>
      <w:spacing w:line="240" w:lineRule="auto"/>
    </w:pPr>
    <w:rPr>
      <w:rFonts w:ascii="Arial Narrow" w:hAnsi="Arial Narrow"/>
      <w:sz w:val="24"/>
    </w:rPr>
  </w:style>
  <w:style w:type="paragraph" w:styleId="Heading1">
    <w:name w:val="heading 1"/>
    <w:basedOn w:val="BodyText"/>
    <w:next w:val="BodyText"/>
    <w:link w:val="Heading1Char"/>
    <w:qFormat/>
    <w:rsid w:val="001C5E0C"/>
    <w:pPr>
      <w:keepNext/>
      <w:keepLines/>
      <w:tabs>
        <w:tab w:val="left" w:pos="900"/>
      </w:tabs>
      <w:spacing w:before="120" w:after="40"/>
      <w:outlineLvl w:val="0"/>
    </w:pPr>
    <w:rPr>
      <w:rFonts w:eastAsiaTheme="majorEastAsia" w:cstheme="majorBidi"/>
      <w:b/>
      <w:bCs/>
      <w:color w:val="005587"/>
      <w:sz w:val="28"/>
      <w:szCs w:val="28"/>
    </w:rPr>
  </w:style>
  <w:style w:type="paragraph" w:styleId="Heading2">
    <w:name w:val="heading 2"/>
    <w:basedOn w:val="BodyText"/>
    <w:next w:val="BodyText"/>
    <w:link w:val="Heading2Char"/>
    <w:qFormat/>
    <w:rsid w:val="00775B30"/>
    <w:pPr>
      <w:keepNext/>
      <w:keepLines/>
      <w:numPr>
        <w:ilvl w:val="1"/>
      </w:numPr>
      <w:spacing w:after="80"/>
      <w:ind w:left="907" w:hanging="907"/>
      <w:outlineLvl w:val="1"/>
    </w:pPr>
    <w:rPr>
      <w:rFonts w:eastAsiaTheme="majorEastAsia" w:cstheme="majorBidi"/>
      <w:b/>
      <w:color w:val="00B0F0"/>
      <w:sz w:val="26"/>
      <w:szCs w:val="26"/>
    </w:rPr>
  </w:style>
  <w:style w:type="paragraph" w:styleId="Heading3">
    <w:name w:val="heading 3"/>
    <w:basedOn w:val="Heading2"/>
    <w:next w:val="BodyText"/>
    <w:link w:val="Heading3Char"/>
    <w:unhideWhenUsed/>
    <w:qFormat/>
    <w:rsid w:val="00775B30"/>
    <w:pPr>
      <w:numPr>
        <w:ilvl w:val="2"/>
      </w:numPr>
      <w:ind w:left="907" w:hanging="907"/>
      <w:textboxTightWrap w:val="none"/>
      <w:outlineLvl w:val="2"/>
    </w:pPr>
    <w:rPr>
      <w:bCs/>
      <w:color w:val="000000" w:themeColor="text1"/>
      <w:sz w:val="24"/>
    </w:rPr>
  </w:style>
  <w:style w:type="paragraph" w:styleId="Heading4">
    <w:name w:val="heading 4"/>
    <w:basedOn w:val="Heading3"/>
    <w:next w:val="BodyText"/>
    <w:link w:val="Heading4Char"/>
    <w:unhideWhenUsed/>
    <w:rsid w:val="006160AE"/>
    <w:pPr>
      <w:numPr>
        <w:ilvl w:val="3"/>
      </w:numPr>
      <w:ind w:left="907" w:hanging="907"/>
      <w:outlineLvl w:val="3"/>
    </w:pPr>
    <w:rPr>
      <w:b w:val="0"/>
      <w:i/>
    </w:rPr>
  </w:style>
  <w:style w:type="paragraph" w:styleId="Heading5">
    <w:name w:val="heading 5"/>
    <w:basedOn w:val="Heading4"/>
    <w:next w:val="BodyText"/>
    <w:link w:val="Heading5Char"/>
    <w:unhideWhenUsed/>
    <w:rsid w:val="00775B30"/>
    <w:pPr>
      <w:numPr>
        <w:ilvl w:val="4"/>
      </w:numPr>
      <w:tabs>
        <w:tab w:val="left" w:pos="1170"/>
      </w:tabs>
      <w:ind w:left="1170" w:hanging="1170"/>
      <w:outlineLvl w:val="4"/>
    </w:pPr>
  </w:style>
  <w:style w:type="paragraph" w:styleId="Heading6">
    <w:name w:val="heading 6"/>
    <w:basedOn w:val="Heading5"/>
    <w:next w:val="BodyText"/>
    <w:link w:val="Heading6Char"/>
    <w:unhideWhenUsed/>
    <w:rsid w:val="00001E2A"/>
    <w:pPr>
      <w:numPr>
        <w:ilvl w:val="5"/>
      </w:numPr>
      <w:tabs>
        <w:tab w:val="clear" w:pos="1170"/>
        <w:tab w:val="left" w:pos="1260"/>
        <w:tab w:val="left" w:pos="1800"/>
      </w:tabs>
      <w:ind w:left="1800" w:hanging="1800"/>
      <w:outlineLvl w:val="5"/>
    </w:pPr>
    <w:rPr>
      <w:i w:val="0"/>
      <w:color w:val="53565A"/>
    </w:rPr>
  </w:style>
  <w:style w:type="paragraph" w:styleId="Heading7">
    <w:name w:val="heading 7"/>
    <w:basedOn w:val="Heading6"/>
    <w:next w:val="BodyText"/>
    <w:link w:val="Heading7Char"/>
    <w:unhideWhenUsed/>
    <w:rsid w:val="004B7C97"/>
    <w:pPr>
      <w:numPr>
        <w:ilvl w:val="6"/>
      </w:numPr>
      <w:tabs>
        <w:tab w:val="clear" w:pos="1800"/>
        <w:tab w:val="left" w:pos="14400"/>
      </w:tabs>
      <w:ind w:left="1440" w:hanging="1440"/>
      <w:outlineLvl w:val="6"/>
    </w:pPr>
    <w:rPr>
      <w:color w:val="404040" w:themeColor="text1" w:themeTint="BF"/>
    </w:rPr>
  </w:style>
  <w:style w:type="paragraph" w:styleId="Heading8">
    <w:name w:val="heading 8"/>
    <w:basedOn w:val="Heading7"/>
    <w:next w:val="BodyText"/>
    <w:link w:val="Heading8Char"/>
    <w:unhideWhenUsed/>
    <w:rsid w:val="004B7C97"/>
    <w:pPr>
      <w:numPr>
        <w:ilvl w:val="7"/>
      </w:numPr>
      <w:tabs>
        <w:tab w:val="left" w:pos="15840"/>
      </w:tabs>
      <w:ind w:left="1584" w:hanging="1584"/>
      <w:outlineLvl w:val="7"/>
    </w:pPr>
    <w:rPr>
      <w:color w:val="262626" w:themeColor="text1" w:themeTint="D9"/>
    </w:rPr>
  </w:style>
  <w:style w:type="paragraph" w:styleId="Heading9">
    <w:name w:val="heading 9"/>
    <w:basedOn w:val="Heading8"/>
    <w:next w:val="BodyText"/>
    <w:link w:val="Heading9Char"/>
    <w:unhideWhenUsed/>
    <w:rsid w:val="00001E2A"/>
    <w:pPr>
      <w:numPr>
        <w:ilvl w:val="8"/>
      </w:numPr>
      <w:tabs>
        <w:tab w:val="left" w:pos="17280"/>
      </w:tabs>
      <w:ind w:left="1800" w:hanging="1800"/>
      <w:outlineLvl w:val="8"/>
    </w:pPr>
    <w:rPr>
      <w:color w:val="0D0D0D" w:themeColor="text1" w:themeTint="F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qFormat/>
    <w:rsid w:val="00B5103A"/>
    <w:pPr>
      <w:spacing w:after="240" w:line="240" w:lineRule="auto"/>
      <w:textboxTightWrap w:val="allLines"/>
    </w:pPr>
    <w:rPr>
      <w:rFonts w:ascii="Arial Narrow" w:hAnsi="Arial Narrow"/>
      <w:sz w:val="24"/>
    </w:rPr>
  </w:style>
  <w:style w:type="character" w:customStyle="1" w:styleId="BodyTextChar">
    <w:name w:val="Body Text Char"/>
    <w:basedOn w:val="DefaultParagraphFont"/>
    <w:link w:val="BodyText"/>
    <w:rsid w:val="00B5103A"/>
    <w:rPr>
      <w:rFonts w:ascii="Arial Narrow" w:hAnsi="Arial Narrow"/>
      <w:sz w:val="24"/>
    </w:rPr>
  </w:style>
  <w:style w:type="character" w:customStyle="1" w:styleId="Heading1Char">
    <w:name w:val="Heading 1 Char"/>
    <w:basedOn w:val="DefaultParagraphFont"/>
    <w:link w:val="Heading1"/>
    <w:rsid w:val="001C5E0C"/>
    <w:rPr>
      <w:rFonts w:ascii="Arial Narrow" w:eastAsiaTheme="majorEastAsia" w:hAnsi="Arial Narrow" w:cstheme="majorBidi"/>
      <w:b/>
      <w:bCs/>
      <w:color w:val="005587"/>
      <w:sz w:val="28"/>
      <w:szCs w:val="28"/>
    </w:rPr>
  </w:style>
  <w:style w:type="character" w:customStyle="1" w:styleId="Heading2Char">
    <w:name w:val="Heading 2 Char"/>
    <w:basedOn w:val="DefaultParagraphFont"/>
    <w:link w:val="Heading2"/>
    <w:rsid w:val="00775B30"/>
    <w:rPr>
      <w:rFonts w:ascii="Arial Narrow" w:eastAsiaTheme="majorEastAsia" w:hAnsi="Arial Narrow" w:cstheme="majorBidi"/>
      <w:b/>
      <w:color w:val="00B0F0"/>
      <w:sz w:val="26"/>
      <w:szCs w:val="26"/>
    </w:rPr>
  </w:style>
  <w:style w:type="character" w:customStyle="1" w:styleId="Heading3Char">
    <w:name w:val="Heading 3 Char"/>
    <w:basedOn w:val="DefaultParagraphFont"/>
    <w:link w:val="Heading3"/>
    <w:rsid w:val="00775B30"/>
    <w:rPr>
      <w:rFonts w:ascii="Arial Narrow" w:eastAsiaTheme="majorEastAsia" w:hAnsi="Arial Narrow" w:cstheme="majorBidi"/>
      <w:b/>
      <w:bCs/>
      <w:color w:val="000000" w:themeColor="text1"/>
      <w:sz w:val="24"/>
      <w:szCs w:val="26"/>
    </w:rPr>
  </w:style>
  <w:style w:type="character" w:customStyle="1" w:styleId="Heading4Char">
    <w:name w:val="Heading 4 Char"/>
    <w:basedOn w:val="DefaultParagraphFont"/>
    <w:link w:val="Heading4"/>
    <w:rsid w:val="006160AE"/>
    <w:rPr>
      <w:rFonts w:ascii="Arial Narrow" w:eastAsiaTheme="majorEastAsia" w:hAnsi="Arial Narrow" w:cstheme="majorBidi"/>
      <w:bCs/>
      <w:i/>
      <w:color w:val="000000" w:themeColor="text1"/>
      <w:sz w:val="24"/>
      <w:szCs w:val="26"/>
    </w:rPr>
  </w:style>
  <w:style w:type="character" w:customStyle="1" w:styleId="Heading5Char">
    <w:name w:val="Heading 5 Char"/>
    <w:basedOn w:val="DefaultParagraphFont"/>
    <w:link w:val="Heading5"/>
    <w:rsid w:val="00775B30"/>
    <w:rPr>
      <w:rFonts w:ascii="Arial Narrow" w:eastAsiaTheme="majorEastAsia" w:hAnsi="Arial Narrow" w:cstheme="majorBidi"/>
      <w:b/>
      <w:bCs/>
      <w:color w:val="000000" w:themeColor="text1"/>
      <w:sz w:val="24"/>
      <w:szCs w:val="26"/>
    </w:rPr>
  </w:style>
  <w:style w:type="character" w:customStyle="1" w:styleId="Heading6Char">
    <w:name w:val="Heading 6 Char"/>
    <w:basedOn w:val="DefaultParagraphFont"/>
    <w:link w:val="Heading6"/>
    <w:rsid w:val="00001E2A"/>
    <w:rPr>
      <w:rFonts w:ascii="Arial" w:eastAsiaTheme="majorEastAsia" w:hAnsi="Arial" w:cstheme="majorBidi"/>
      <w:b/>
      <w:bCs/>
      <w:i/>
      <w:color w:val="53565A"/>
      <w:sz w:val="24"/>
      <w:szCs w:val="26"/>
    </w:rPr>
  </w:style>
  <w:style w:type="character" w:customStyle="1" w:styleId="Heading7Char">
    <w:name w:val="Heading 7 Char"/>
    <w:basedOn w:val="DefaultParagraphFont"/>
    <w:link w:val="Heading7"/>
    <w:rsid w:val="004B7C97"/>
    <w:rPr>
      <w:rFonts w:ascii="Arial Narrow" w:eastAsiaTheme="majorEastAsia" w:hAnsi="Arial Narrow" w:cstheme="majorBidi"/>
      <w:b/>
      <w:bCs/>
      <w:i/>
      <w:color w:val="404040" w:themeColor="text1" w:themeTint="BF"/>
      <w:sz w:val="24"/>
      <w:szCs w:val="26"/>
    </w:rPr>
  </w:style>
  <w:style w:type="character" w:customStyle="1" w:styleId="Heading8Char">
    <w:name w:val="Heading 8 Char"/>
    <w:basedOn w:val="DefaultParagraphFont"/>
    <w:link w:val="Heading8"/>
    <w:rsid w:val="004B7C97"/>
    <w:rPr>
      <w:rFonts w:ascii="Arial Narrow" w:eastAsiaTheme="majorEastAsia" w:hAnsi="Arial Narrow" w:cstheme="majorBidi"/>
      <w:b/>
      <w:bCs/>
      <w:i/>
      <w:color w:val="262626" w:themeColor="text1" w:themeTint="D9"/>
      <w:sz w:val="24"/>
      <w:szCs w:val="26"/>
    </w:rPr>
  </w:style>
  <w:style w:type="character" w:customStyle="1" w:styleId="Heading9Char">
    <w:name w:val="Heading 9 Char"/>
    <w:basedOn w:val="DefaultParagraphFont"/>
    <w:link w:val="Heading9"/>
    <w:rsid w:val="00001E2A"/>
    <w:rPr>
      <w:rFonts w:ascii="Arial" w:eastAsiaTheme="majorEastAsia" w:hAnsi="Arial" w:cstheme="majorBidi"/>
      <w:b/>
      <w:bCs/>
      <w:i/>
      <w:color w:val="0D0D0D" w:themeColor="text1" w:themeTint="F2"/>
      <w:sz w:val="24"/>
      <w:szCs w:val="26"/>
    </w:rPr>
  </w:style>
  <w:style w:type="paragraph" w:styleId="Header">
    <w:name w:val="header"/>
    <w:basedOn w:val="BodyText"/>
    <w:link w:val="HeaderChar"/>
    <w:uiPriority w:val="99"/>
    <w:semiHidden/>
    <w:rsid w:val="00A83F98"/>
    <w:pPr>
      <w:tabs>
        <w:tab w:val="right" w:pos="9360"/>
      </w:tabs>
      <w:spacing w:after="0"/>
      <w:jc w:val="right"/>
    </w:pPr>
    <w:rPr>
      <w:sz w:val="16"/>
    </w:rPr>
  </w:style>
  <w:style w:type="character" w:customStyle="1" w:styleId="HeaderChar">
    <w:name w:val="Header Char"/>
    <w:basedOn w:val="DefaultParagraphFont"/>
    <w:link w:val="Header"/>
    <w:uiPriority w:val="99"/>
    <w:semiHidden/>
    <w:rsid w:val="00A357F8"/>
    <w:rPr>
      <w:rFonts w:ascii="Arial Narrow" w:hAnsi="Arial Narrow"/>
      <w:sz w:val="16"/>
    </w:rPr>
  </w:style>
  <w:style w:type="paragraph" w:styleId="Footer">
    <w:name w:val="footer"/>
    <w:basedOn w:val="BodyText"/>
    <w:link w:val="FooterChar"/>
    <w:uiPriority w:val="99"/>
    <w:semiHidden/>
    <w:rsid w:val="001641CB"/>
    <w:pPr>
      <w:pBdr>
        <w:top w:val="single" w:sz="4" w:space="2" w:color="808080" w:themeColor="background1" w:themeShade="80"/>
      </w:pBdr>
      <w:tabs>
        <w:tab w:val="center" w:pos="4680"/>
        <w:tab w:val="right" w:pos="9360"/>
      </w:tabs>
      <w:spacing w:after="60"/>
    </w:pPr>
    <w:rPr>
      <w:sz w:val="16"/>
    </w:rPr>
  </w:style>
  <w:style w:type="character" w:customStyle="1" w:styleId="FooterChar">
    <w:name w:val="Footer Char"/>
    <w:basedOn w:val="DefaultParagraphFont"/>
    <w:link w:val="Footer"/>
    <w:uiPriority w:val="99"/>
    <w:semiHidden/>
    <w:rsid w:val="00A357F8"/>
    <w:rPr>
      <w:rFonts w:ascii="Arial Narrow" w:hAnsi="Arial Narrow"/>
      <w:sz w:val="16"/>
    </w:rPr>
  </w:style>
  <w:style w:type="table" w:customStyle="1" w:styleId="DeloitteTable1">
    <w:name w:val="Deloitte Table1"/>
    <w:basedOn w:val="TableNormal"/>
    <w:uiPriority w:val="99"/>
    <w:rsid w:val="00760B19"/>
    <w:pPr>
      <w:spacing w:after="0" w:line="240" w:lineRule="auto"/>
    </w:pPr>
    <w:rPr>
      <w:rFonts w:ascii="Arial Narrow" w:hAnsi="Arial Narrow"/>
    </w:rPr>
    <w:tblPr>
      <w:tblStyleRowBandSize w:val="1"/>
      <w:tblStyleColBandSize w:val="1"/>
      <w:tblBorders>
        <w:top w:val="single" w:sz="4" w:space="0" w:color="53565A"/>
        <w:left w:val="single" w:sz="4" w:space="0" w:color="53565A"/>
        <w:bottom w:val="single" w:sz="4" w:space="0" w:color="53565A"/>
        <w:right w:val="single" w:sz="4" w:space="0" w:color="53565A"/>
        <w:insideH w:val="single" w:sz="4" w:space="0" w:color="53565A"/>
        <w:insideV w:val="single" w:sz="4" w:space="0" w:color="53565A"/>
      </w:tblBorders>
      <w:tblCellMar>
        <w:top w:w="14" w:type="dxa"/>
        <w:left w:w="115" w:type="dxa"/>
        <w:right w:w="115" w:type="dxa"/>
      </w:tblCellMar>
    </w:tblPr>
    <w:tcPr>
      <w:shd w:val="clear" w:color="auto" w:fill="auto"/>
      <w:tcMar>
        <w:top w:w="0" w:type="dxa"/>
      </w:tcMar>
    </w:tcPr>
    <w:tblStylePr w:type="firstRow">
      <w:pPr>
        <w:keepNext w:val="0"/>
        <w:keepLines w:val="0"/>
        <w:pageBreakBefore w:val="0"/>
        <w:suppressLineNumbers w:val="0"/>
        <w:suppressAutoHyphens w:val="0"/>
        <w:wordWrap/>
        <w:spacing w:line="240" w:lineRule="auto"/>
        <w:contextualSpacing w:val="0"/>
        <w:mirrorIndents w:val="0"/>
        <w:jc w:val="center"/>
      </w:pPr>
      <w:tblPr/>
      <w:trPr>
        <w:tblHeader/>
      </w:trPr>
      <w:tcPr>
        <w:tcBorders>
          <w:bottom w:val="single" w:sz="18" w:space="0" w:color="A6A6A6" w:themeColor="background1" w:themeShade="A6"/>
        </w:tcBorders>
        <w:shd w:val="clear" w:color="auto" w:fill="046A38" w:themeFill="accent4"/>
      </w:tcPr>
    </w:tblStylePr>
    <w:tblStylePr w:type="lastRow">
      <w:tblPr/>
      <w:tcPr>
        <w:tcBorders>
          <w:top w:val="single" w:sz="18" w:space="0" w:color="53565A"/>
          <w:left w:val="single" w:sz="4" w:space="0" w:color="53565A"/>
          <w:bottom w:val="single" w:sz="18" w:space="0" w:color="53565A"/>
          <w:right w:val="single" w:sz="4" w:space="0" w:color="53565A"/>
          <w:insideH w:val="single" w:sz="12" w:space="0" w:color="53565A"/>
          <w:insideV w:val="single" w:sz="4" w:space="0" w:color="53565A"/>
          <w:tl2br w:val="nil"/>
          <w:tr2bl w:val="nil"/>
        </w:tcBorders>
        <w:shd w:val="clear" w:color="auto" w:fill="D0D0CE"/>
      </w:tcPr>
    </w:tblStylePr>
    <w:tblStylePr w:type="firstCol">
      <w:tblPr/>
      <w:tcPr>
        <w:shd w:val="clear" w:color="auto" w:fill="F2F2F2" w:themeFill="background1" w:themeFillShade="F2"/>
      </w:tcPr>
    </w:tblStylePr>
    <w:tblStylePr w:type="lastCol">
      <w:tblPr/>
      <w:tcPr>
        <w:shd w:val="clear" w:color="auto" w:fill="F2F2F2" w:themeFill="background1" w:themeFillShade="F2"/>
      </w:tcPr>
    </w:tblStylePr>
    <w:tblStylePr w:type="band1Vert">
      <w:tblPr/>
      <w:tcPr>
        <w:tcBorders>
          <w:top w:val="single" w:sz="4" w:space="0" w:color="auto"/>
          <w:left w:val="nil"/>
          <w:bottom w:val="single" w:sz="4" w:space="0" w:color="auto"/>
          <w:right w:val="nil"/>
          <w:insideH w:val="single" w:sz="4" w:space="0" w:color="auto"/>
          <w:insideV w:val="single" w:sz="4" w:space="0" w:color="auto"/>
          <w:tl2br w:val="nil"/>
          <w:tr2bl w:val="nil"/>
        </w:tcBorders>
        <w:shd w:val="clear" w:color="auto" w:fill="auto"/>
      </w:tcPr>
    </w:tblStylePr>
    <w:tblStylePr w:type="band2Vert">
      <w:tblPr/>
      <w:tcPr>
        <w:shd w:val="clear" w:color="auto" w:fill="F2F2F2" w:themeFill="background1" w:themeFillShade="F2"/>
      </w:tcPr>
    </w:tblStylePr>
    <w:tblStylePr w:type="band2Horz">
      <w:tblPr/>
      <w:tcPr>
        <w:shd w:val="clear" w:color="auto" w:fill="F2F2F2" w:themeFill="background1" w:themeFillShade="F2"/>
      </w:tcPr>
    </w:tblStylePr>
  </w:style>
  <w:style w:type="paragraph" w:customStyle="1" w:styleId="Footer2">
    <w:name w:val="Footer 2"/>
    <w:basedOn w:val="Footer"/>
    <w:semiHidden/>
    <w:qFormat/>
    <w:rsid w:val="00482B49"/>
    <w:pPr>
      <w:jc w:val="center"/>
    </w:pPr>
    <w:rPr>
      <w:rFonts w:cs="Arial Narrow"/>
      <w:szCs w:val="16"/>
    </w:rPr>
  </w:style>
  <w:style w:type="paragraph" w:customStyle="1" w:styleId="Cover2Disclosure">
    <w:name w:val="Cover 2_Disclosure"/>
    <w:basedOn w:val="CoverTitle"/>
    <w:semiHidden/>
    <w:rsid w:val="00FF4B13"/>
    <w:pPr>
      <w:spacing w:before="180" w:after="0" w:line="180" w:lineRule="exact"/>
    </w:pPr>
    <w:rPr>
      <w:rFonts w:cs="Arial Narrow"/>
      <w:b w:val="0"/>
      <w:color w:val="000000" w:themeColor="text1"/>
      <w:sz w:val="14"/>
      <w:szCs w:val="16"/>
    </w:rPr>
  </w:style>
  <w:style w:type="paragraph" w:customStyle="1" w:styleId="CoverVolumeNumber">
    <w:name w:val="Cover Volume Number"/>
    <w:basedOn w:val="CoverTitle"/>
    <w:rsid w:val="00C4149E"/>
    <w:pPr>
      <w:spacing w:before="0"/>
    </w:pPr>
    <w:rPr>
      <w:b w:val="0"/>
      <w:bCs/>
      <w:color w:val="000000" w:themeColor="text1"/>
      <w:sz w:val="24"/>
    </w:rPr>
  </w:style>
  <w:style w:type="paragraph" w:customStyle="1" w:styleId="CoverDate">
    <w:name w:val="Cover Date"/>
    <w:basedOn w:val="CoverTitle"/>
    <w:next w:val="CoverText"/>
    <w:semiHidden/>
    <w:rsid w:val="00C4149E"/>
    <w:pPr>
      <w:spacing w:before="0"/>
    </w:pPr>
    <w:rPr>
      <w:b w:val="0"/>
      <w:color w:val="000000" w:themeColor="text1"/>
      <w:sz w:val="24"/>
    </w:rPr>
  </w:style>
  <w:style w:type="paragraph" w:customStyle="1" w:styleId="CoverRFPNumber">
    <w:name w:val="Cover RFP Number"/>
    <w:basedOn w:val="CoverTitle"/>
    <w:rsid w:val="00C4149E"/>
    <w:pPr>
      <w:spacing w:before="0"/>
    </w:pPr>
    <w:rPr>
      <w:b w:val="0"/>
      <w:color w:val="000000" w:themeColor="text1"/>
      <w:sz w:val="24"/>
    </w:rPr>
  </w:style>
  <w:style w:type="paragraph" w:customStyle="1" w:styleId="CoverTitle">
    <w:name w:val="Cover Title"/>
    <w:basedOn w:val="BodyText"/>
    <w:next w:val="Coversubhead"/>
    <w:semiHidden/>
    <w:qFormat/>
    <w:rsid w:val="008C3979"/>
    <w:pPr>
      <w:spacing w:before="800"/>
    </w:pPr>
    <w:rPr>
      <w:b/>
      <w:color w:val="005587"/>
      <w:sz w:val="28"/>
      <w:szCs w:val="48"/>
    </w:rPr>
  </w:style>
  <w:style w:type="paragraph" w:customStyle="1" w:styleId="Coversubhead">
    <w:name w:val="Cover subhead"/>
    <w:basedOn w:val="CoverTitle"/>
    <w:next w:val="Cover2DeloitteAddress"/>
    <w:semiHidden/>
    <w:qFormat/>
    <w:rsid w:val="00C4149E"/>
    <w:pPr>
      <w:spacing w:before="0" w:after="100" w:afterAutospacing="1"/>
    </w:pPr>
    <w:rPr>
      <w:color w:val="00B0F0"/>
      <w:sz w:val="24"/>
    </w:rPr>
  </w:style>
  <w:style w:type="paragraph" w:customStyle="1" w:styleId="Cover2DeloitteAddress">
    <w:name w:val="Cover 2_Deloitte Address"/>
    <w:basedOn w:val="CoverTitle"/>
    <w:semiHidden/>
    <w:rsid w:val="00775B30"/>
    <w:pPr>
      <w:spacing w:before="0" w:after="0"/>
    </w:pPr>
    <w:rPr>
      <w:b w:val="0"/>
      <w:color w:val="000000" w:themeColor="text1"/>
      <w:sz w:val="24"/>
    </w:rPr>
  </w:style>
  <w:style w:type="paragraph" w:customStyle="1" w:styleId="LetterheadAddress">
    <w:name w:val="Letterhead_Address"/>
    <w:semiHidden/>
    <w:rsid w:val="00906928"/>
    <w:pPr>
      <w:spacing w:after="0" w:line="240" w:lineRule="auto"/>
      <w:ind w:right="630"/>
      <w:jc w:val="right"/>
    </w:pPr>
    <w:rPr>
      <w:rFonts w:ascii="Arial" w:eastAsia="Arial Narrow" w:hAnsi="Arial" w:cs="Arial"/>
      <w:sz w:val="16"/>
      <w:szCs w:val="16"/>
      <w:lang w:val="fr-FR"/>
    </w:rPr>
  </w:style>
  <w:style w:type="paragraph" w:customStyle="1" w:styleId="xCoverEntityName">
    <w:name w:val="x_Cover_Entity Name"/>
    <w:basedOn w:val="Cover2DeloitteAddress"/>
    <w:semiHidden/>
    <w:qFormat/>
    <w:rsid w:val="00EE3AF5"/>
  </w:style>
  <w:style w:type="table" w:styleId="TableGrid">
    <w:name w:val="Table Grid"/>
    <w:basedOn w:val="TableNormal"/>
    <w:qFormat/>
    <w:rsid w:val="00FE331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Letterdate">
    <w:name w:val="Letter date"/>
    <w:basedOn w:val="Lettertext"/>
    <w:uiPriority w:val="99"/>
    <w:rsid w:val="001E0F00"/>
    <w:pPr>
      <w:spacing w:before="1080" w:line="240" w:lineRule="exact"/>
    </w:pPr>
  </w:style>
  <w:style w:type="paragraph" w:customStyle="1" w:styleId="LetterContractingOfficerAddress">
    <w:name w:val="Letter Contracting Officer Address"/>
    <w:basedOn w:val="Lettertext"/>
    <w:semiHidden/>
    <w:qFormat/>
    <w:rsid w:val="001641CB"/>
    <w:pPr>
      <w:spacing w:after="0"/>
    </w:pPr>
  </w:style>
  <w:style w:type="paragraph" w:customStyle="1" w:styleId="Lettertext">
    <w:name w:val="Letter text"/>
    <w:basedOn w:val="BodyText"/>
    <w:link w:val="LettertextChar"/>
    <w:uiPriority w:val="99"/>
    <w:rsid w:val="00BF6C8D"/>
  </w:style>
  <w:style w:type="character" w:customStyle="1" w:styleId="LettertextChar">
    <w:name w:val="Letter text Char"/>
    <w:basedOn w:val="DefaultParagraphFont"/>
    <w:link w:val="Lettertext"/>
    <w:uiPriority w:val="99"/>
    <w:rsid w:val="0091455B"/>
    <w:rPr>
      <w:rFonts w:ascii="Arial Narrow" w:hAnsi="Arial Narrow"/>
      <w:sz w:val="24"/>
    </w:rPr>
  </w:style>
  <w:style w:type="paragraph" w:customStyle="1" w:styleId="HeadingNoTOC">
    <w:name w:val="Heading (No TOC)"/>
    <w:basedOn w:val="BodyText"/>
    <w:next w:val="BodyText"/>
    <w:rsid w:val="008C3979"/>
    <w:pPr>
      <w:keepNext/>
    </w:pPr>
    <w:rPr>
      <w:rFonts w:eastAsia="Arial Narrow" w:cs="Arial Narrow"/>
      <w:b/>
      <w:color w:val="005587"/>
      <w:sz w:val="28"/>
      <w:szCs w:val="48"/>
    </w:rPr>
  </w:style>
  <w:style w:type="character" w:styleId="PageNumber">
    <w:name w:val="page number"/>
    <w:basedOn w:val="DefaultParagraphFont"/>
    <w:semiHidden/>
    <w:rsid w:val="002105BC"/>
  </w:style>
  <w:style w:type="paragraph" w:styleId="TableofFigures">
    <w:name w:val="table of figures"/>
    <w:basedOn w:val="BodyText"/>
    <w:next w:val="BodyText"/>
    <w:uiPriority w:val="99"/>
    <w:rsid w:val="00BF6C8D"/>
    <w:pPr>
      <w:spacing w:after="0"/>
    </w:pPr>
    <w:rPr>
      <w:rFonts w:eastAsia="Arial Narrow" w:cs="Arial Narrow"/>
      <w:noProof/>
      <w:szCs w:val="24"/>
    </w:rPr>
  </w:style>
  <w:style w:type="paragraph" w:styleId="TOC1">
    <w:name w:val="toc 1"/>
    <w:basedOn w:val="BodyText"/>
    <w:next w:val="TOC2"/>
    <w:uiPriority w:val="39"/>
    <w:rsid w:val="003F2BA2"/>
    <w:pPr>
      <w:tabs>
        <w:tab w:val="right" w:leader="dot" w:pos="9350"/>
      </w:tabs>
      <w:spacing w:after="0"/>
      <w:ind w:left="547" w:hanging="547"/>
    </w:pPr>
    <w:rPr>
      <w:rFonts w:eastAsia="Arial Narrow" w:cs="Arial Narrow"/>
      <w:noProof/>
      <w:szCs w:val="24"/>
    </w:rPr>
  </w:style>
  <w:style w:type="paragraph" w:styleId="TOC2">
    <w:name w:val="toc 2"/>
    <w:basedOn w:val="TOC1"/>
    <w:uiPriority w:val="39"/>
    <w:rsid w:val="003F2BA2"/>
    <w:pPr>
      <w:ind w:left="1094"/>
    </w:pPr>
  </w:style>
  <w:style w:type="paragraph" w:styleId="TOC3">
    <w:name w:val="toc 3"/>
    <w:basedOn w:val="TOC2"/>
    <w:next w:val="BodyText"/>
    <w:uiPriority w:val="39"/>
    <w:rsid w:val="003F2BA2"/>
    <w:pPr>
      <w:ind w:left="1800" w:hanging="720"/>
    </w:pPr>
  </w:style>
  <w:style w:type="paragraph" w:customStyle="1" w:styleId="xCoverLine">
    <w:name w:val="x_Cover Line"/>
    <w:basedOn w:val="CoverDate"/>
    <w:semiHidden/>
    <w:qFormat/>
    <w:rsid w:val="00476012"/>
  </w:style>
  <w:style w:type="paragraph" w:customStyle="1" w:styleId="Bulletlevel1">
    <w:name w:val="Bullet level 1"/>
    <w:basedOn w:val="BodyText"/>
    <w:qFormat/>
    <w:rsid w:val="009D4F60"/>
    <w:pPr>
      <w:numPr>
        <w:numId w:val="7"/>
      </w:numPr>
      <w:tabs>
        <w:tab w:val="left" w:pos="360"/>
      </w:tabs>
      <w:ind w:left="360"/>
      <w:contextualSpacing/>
    </w:pPr>
  </w:style>
  <w:style w:type="paragraph" w:customStyle="1" w:styleId="BodyTextkeepwithnext">
    <w:name w:val="Body Text (keep with next)"/>
    <w:basedOn w:val="BodyText"/>
    <w:next w:val="BodyText"/>
    <w:rsid w:val="00E65438"/>
    <w:pPr>
      <w:keepNext/>
    </w:pPr>
  </w:style>
  <w:style w:type="paragraph" w:customStyle="1" w:styleId="Bulletlevel1-indent">
    <w:name w:val="Bullet level 1 - indent"/>
    <w:basedOn w:val="BodyText"/>
    <w:rsid w:val="000F7385"/>
    <w:pPr>
      <w:ind w:left="360"/>
    </w:pPr>
  </w:style>
  <w:style w:type="paragraph" w:customStyle="1" w:styleId="Bulletlevel2">
    <w:name w:val="Bullet level 2"/>
    <w:basedOn w:val="Bulletlevel1"/>
    <w:qFormat/>
    <w:rsid w:val="009D4F60"/>
    <w:pPr>
      <w:numPr>
        <w:numId w:val="1"/>
      </w:numPr>
      <w:tabs>
        <w:tab w:val="clear" w:pos="360"/>
        <w:tab w:val="left" w:pos="720"/>
      </w:tabs>
    </w:pPr>
  </w:style>
  <w:style w:type="paragraph" w:customStyle="1" w:styleId="Bulletlevel2-end">
    <w:name w:val="Bullet level 2 - end"/>
    <w:basedOn w:val="BodyText"/>
    <w:next w:val="BodyText"/>
    <w:semiHidden/>
    <w:rsid w:val="00811844"/>
    <w:pPr>
      <w:numPr>
        <w:numId w:val="4"/>
      </w:numPr>
    </w:pPr>
  </w:style>
  <w:style w:type="paragraph" w:customStyle="1" w:styleId="Bulletlevel2-indent">
    <w:name w:val="Bullet level 2 - indent"/>
    <w:basedOn w:val="BodyText"/>
    <w:unhideWhenUsed/>
    <w:rsid w:val="00811844"/>
    <w:pPr>
      <w:ind w:left="720"/>
    </w:pPr>
  </w:style>
  <w:style w:type="paragraph" w:customStyle="1" w:styleId="Bulletlevel3">
    <w:name w:val="Bullet level 3"/>
    <w:basedOn w:val="Bulletlevel1"/>
    <w:qFormat/>
    <w:rsid w:val="009D4F60"/>
    <w:pPr>
      <w:tabs>
        <w:tab w:val="clear" w:pos="360"/>
        <w:tab w:val="left" w:pos="1080"/>
      </w:tabs>
      <w:ind w:left="1080"/>
    </w:pPr>
  </w:style>
  <w:style w:type="character" w:customStyle="1" w:styleId="CharacterUnderlineBoldItalic">
    <w:name w:val="Character Underline+Bold+Italic"/>
    <w:basedOn w:val="DefaultParagraphFont"/>
    <w:uiPriority w:val="1"/>
    <w:rsid w:val="00F84B3C"/>
    <w:rPr>
      <w:b/>
      <w:i/>
      <w:u w:val="single"/>
    </w:rPr>
  </w:style>
  <w:style w:type="paragraph" w:customStyle="1" w:styleId="Bulletlevel3-indent">
    <w:name w:val="Bullet level 3 - indent"/>
    <w:basedOn w:val="BodyText"/>
    <w:unhideWhenUsed/>
    <w:rsid w:val="00811844"/>
    <w:pPr>
      <w:ind w:left="1080"/>
    </w:pPr>
  </w:style>
  <w:style w:type="paragraph" w:customStyle="1" w:styleId="Cover2Agency">
    <w:name w:val="Cover 2_Agency"/>
    <w:basedOn w:val="CoverTitle"/>
    <w:semiHidden/>
    <w:rsid w:val="008C3979"/>
    <w:pPr>
      <w:spacing w:before="0" w:after="360"/>
    </w:pPr>
    <w:rPr>
      <w:rFonts w:eastAsia="Arial Narrow" w:cs="Arial Narrow"/>
      <w:szCs w:val="32"/>
    </w:rPr>
  </w:style>
  <w:style w:type="paragraph" w:customStyle="1" w:styleId="Cover2ProjectDescription">
    <w:name w:val="Cover2_Project Description"/>
    <w:basedOn w:val="CoverTitle"/>
    <w:semiHidden/>
    <w:rsid w:val="00C76534"/>
    <w:pPr>
      <w:spacing w:before="0" w:after="0"/>
    </w:pPr>
    <w:rPr>
      <w:rFonts w:eastAsia="Arial Narrow" w:cs="Arial Narrow"/>
      <w:bCs/>
      <w:noProof/>
      <w:color w:val="00B0F0"/>
      <w:sz w:val="24"/>
      <w:szCs w:val="24"/>
    </w:rPr>
  </w:style>
  <w:style w:type="paragraph" w:customStyle="1" w:styleId="Cover2Solicitation">
    <w:name w:val="Cover 2_Solicitation #"/>
    <w:basedOn w:val="CoverTitle"/>
    <w:semiHidden/>
    <w:rsid w:val="00775B30"/>
    <w:pPr>
      <w:spacing w:before="0" w:after="360"/>
    </w:pPr>
    <w:rPr>
      <w:rFonts w:eastAsia="Arial Narrow" w:cs="Arial Narrow"/>
      <w:b w:val="0"/>
      <w:color w:val="000000" w:themeColor="text1"/>
      <w:sz w:val="24"/>
      <w:szCs w:val="24"/>
    </w:rPr>
  </w:style>
  <w:style w:type="paragraph" w:customStyle="1" w:styleId="Cover2EntityName">
    <w:name w:val="Cover 2_Entity Name"/>
    <w:basedOn w:val="CoverTitle"/>
    <w:semiHidden/>
    <w:rsid w:val="008341E6"/>
    <w:pPr>
      <w:spacing w:before="240"/>
      <w:jc w:val="center"/>
    </w:pPr>
    <w:rPr>
      <w:rFonts w:eastAsia="Arial Narrow" w:cs="Arial Narrow"/>
      <w:sz w:val="24"/>
      <w:szCs w:val="24"/>
    </w:rPr>
  </w:style>
  <w:style w:type="paragraph" w:customStyle="1" w:styleId="CoverTitleSubmission">
    <w:name w:val="Cover Title Submission"/>
    <w:basedOn w:val="CoverTitle"/>
    <w:semiHidden/>
    <w:rsid w:val="008341E6"/>
    <w:pPr>
      <w:spacing w:before="0" w:after="0"/>
      <w:jc w:val="center"/>
    </w:pPr>
    <w:rPr>
      <w:rFonts w:eastAsia="Arial Narrow" w:cs="Arial Narrow"/>
      <w:sz w:val="24"/>
      <w:szCs w:val="24"/>
    </w:rPr>
  </w:style>
  <w:style w:type="paragraph" w:customStyle="1" w:styleId="Cover2RFQNumber">
    <w:name w:val="Cover2_RFQ Number"/>
    <w:basedOn w:val="Cover2ProjectDescription"/>
    <w:semiHidden/>
    <w:rsid w:val="00C76534"/>
    <w:rPr>
      <w:rFonts w:cs="Arial"/>
      <w:b w:val="0"/>
      <w:color w:val="auto"/>
    </w:rPr>
  </w:style>
  <w:style w:type="paragraph" w:customStyle="1" w:styleId="Cover2Presentedby">
    <w:name w:val="Cover2_Presented by"/>
    <w:basedOn w:val="CoverTitle"/>
    <w:semiHidden/>
    <w:rsid w:val="00775B30"/>
    <w:pPr>
      <w:spacing w:before="0" w:after="0"/>
    </w:pPr>
    <w:rPr>
      <w:rFonts w:eastAsia="Arial Narrow" w:cs="Arial Narrow"/>
      <w:color w:val="000000" w:themeColor="text1"/>
      <w:szCs w:val="24"/>
    </w:rPr>
  </w:style>
  <w:style w:type="paragraph" w:customStyle="1" w:styleId="Cover2Date">
    <w:name w:val="Cover2_Date"/>
    <w:basedOn w:val="CoverTitle"/>
    <w:semiHidden/>
    <w:rsid w:val="00775B30"/>
    <w:pPr>
      <w:spacing w:before="0"/>
    </w:pPr>
    <w:rPr>
      <w:rFonts w:eastAsia="Arial Narrow" w:cs="Arial Narrow"/>
      <w:b w:val="0"/>
      <w:color w:val="000000" w:themeColor="text1"/>
      <w:sz w:val="24"/>
      <w:szCs w:val="24"/>
    </w:rPr>
  </w:style>
  <w:style w:type="character" w:customStyle="1" w:styleId="CharacterSuperscript">
    <w:name w:val="Character Superscript"/>
    <w:uiPriority w:val="1"/>
    <w:rsid w:val="007D635A"/>
    <w:rPr>
      <w:vertAlign w:val="superscript"/>
    </w:rPr>
  </w:style>
  <w:style w:type="paragraph" w:styleId="FootnoteText">
    <w:name w:val="footnote text"/>
    <w:basedOn w:val="BodyText"/>
    <w:link w:val="FootnoteTextChar"/>
    <w:uiPriority w:val="99"/>
    <w:semiHidden/>
    <w:rsid w:val="00F022D5"/>
    <w:pPr>
      <w:spacing w:after="40"/>
    </w:pPr>
    <w:rPr>
      <w:sz w:val="16"/>
      <w:szCs w:val="20"/>
    </w:rPr>
  </w:style>
  <w:style w:type="character" w:customStyle="1" w:styleId="FootnoteTextChar">
    <w:name w:val="Footnote Text Char"/>
    <w:basedOn w:val="DefaultParagraphFont"/>
    <w:link w:val="FootnoteText"/>
    <w:uiPriority w:val="99"/>
    <w:semiHidden/>
    <w:rsid w:val="0091455B"/>
    <w:rPr>
      <w:rFonts w:ascii="Arial Narrow" w:hAnsi="Arial Narrow"/>
      <w:sz w:val="16"/>
      <w:szCs w:val="20"/>
    </w:rPr>
  </w:style>
  <w:style w:type="character" w:styleId="FootnoteReference">
    <w:name w:val="footnote reference"/>
    <w:basedOn w:val="DefaultParagraphFont"/>
    <w:uiPriority w:val="99"/>
    <w:semiHidden/>
    <w:rsid w:val="00FC5446"/>
    <w:rPr>
      <w:vertAlign w:val="superscript"/>
    </w:rPr>
  </w:style>
  <w:style w:type="paragraph" w:customStyle="1" w:styleId="TableBody">
    <w:name w:val="Table Body"/>
    <w:basedOn w:val="BodyText"/>
    <w:link w:val="TableBodyChar"/>
    <w:qFormat/>
    <w:rsid w:val="00B5103A"/>
    <w:pPr>
      <w:tabs>
        <w:tab w:val="left" w:pos="180"/>
      </w:tabs>
    </w:pPr>
    <w:rPr>
      <w:sz w:val="20"/>
    </w:rPr>
  </w:style>
  <w:style w:type="paragraph" w:customStyle="1" w:styleId="ParagraphSpacer">
    <w:name w:val="Paragraph Spacer"/>
    <w:basedOn w:val="BodyText"/>
    <w:next w:val="BodyText"/>
    <w:uiPriority w:val="9"/>
    <w:rsid w:val="003B1EC7"/>
    <w:pPr>
      <w:spacing w:line="20" w:lineRule="exact"/>
    </w:pPr>
    <w:rPr>
      <w:color w:val="FF0000"/>
    </w:rPr>
  </w:style>
  <w:style w:type="paragraph" w:customStyle="1" w:styleId="TableHeading">
    <w:name w:val="Table Heading"/>
    <w:basedOn w:val="TableBody"/>
    <w:link w:val="TableHeadingChar"/>
    <w:qFormat/>
    <w:rsid w:val="00D7448C"/>
    <w:pPr>
      <w:keepNext/>
      <w:keepLines/>
      <w:spacing w:after="0"/>
      <w:jc w:val="center"/>
    </w:pPr>
    <w:rPr>
      <w:b/>
      <w:color w:val="FFFFFF"/>
    </w:rPr>
  </w:style>
  <w:style w:type="paragraph" w:customStyle="1" w:styleId="TableRowHeading">
    <w:name w:val="Table Row Heading"/>
    <w:basedOn w:val="TableBody"/>
    <w:next w:val="TableBody"/>
    <w:qFormat/>
    <w:rsid w:val="007967B9"/>
    <w:rPr>
      <w:b/>
    </w:rPr>
  </w:style>
  <w:style w:type="paragraph" w:customStyle="1" w:styleId="TableTitle">
    <w:name w:val="Table Title"/>
    <w:basedOn w:val="FigureTitle"/>
    <w:next w:val="ActionCaption"/>
    <w:unhideWhenUsed/>
    <w:rsid w:val="008E2DFB"/>
  </w:style>
  <w:style w:type="paragraph" w:customStyle="1" w:styleId="FigureTitle">
    <w:name w:val="Figure Title"/>
    <w:basedOn w:val="BodyText"/>
    <w:next w:val="FigureGraphic"/>
    <w:rsid w:val="00A06BD8"/>
    <w:pPr>
      <w:keepNext/>
      <w:spacing w:after="0"/>
    </w:pPr>
    <w:rPr>
      <w:b/>
    </w:rPr>
  </w:style>
  <w:style w:type="paragraph" w:customStyle="1" w:styleId="FigureGraphic">
    <w:name w:val="Figure Graphic"/>
    <w:next w:val="BodyText"/>
    <w:rsid w:val="002C2F76"/>
    <w:pPr>
      <w:spacing w:after="120" w:line="240" w:lineRule="auto"/>
      <w:jc w:val="center"/>
    </w:pPr>
    <w:rPr>
      <w:rFonts w:ascii="Arial" w:hAnsi="Arial"/>
      <w:sz w:val="20"/>
    </w:rPr>
  </w:style>
  <w:style w:type="paragraph" w:customStyle="1" w:styleId="ActionCaption">
    <w:name w:val="Action Caption"/>
    <w:basedOn w:val="FigureTitle"/>
    <w:next w:val="FigureGraphic"/>
    <w:rsid w:val="008E2DFB"/>
    <w:rPr>
      <w:b w:val="0"/>
      <w:i/>
    </w:rPr>
  </w:style>
  <w:style w:type="paragraph" w:customStyle="1" w:styleId="TableHeadingalignleft">
    <w:name w:val="Table Heading (align left)"/>
    <w:basedOn w:val="TableHeading"/>
    <w:qFormat/>
    <w:rsid w:val="002F523B"/>
    <w:pPr>
      <w:jc w:val="left"/>
    </w:pPr>
  </w:style>
  <w:style w:type="paragraph" w:customStyle="1" w:styleId="TableBodyCentered">
    <w:name w:val="Table Body Centered"/>
    <w:basedOn w:val="TableBody"/>
    <w:rsid w:val="00A50414"/>
    <w:pPr>
      <w:tabs>
        <w:tab w:val="clear" w:pos="180"/>
      </w:tabs>
      <w:jc w:val="center"/>
    </w:pPr>
  </w:style>
  <w:style w:type="paragraph" w:customStyle="1" w:styleId="Callout1CheckmarkBullet">
    <w:name w:val="Callout1 Checkmark Bullet"/>
    <w:basedOn w:val="Callout1Body"/>
    <w:rsid w:val="006343AB"/>
    <w:pPr>
      <w:framePr w:hSpace="187" w:wrap="auto" w:hAnchor="text" w:y="1"/>
      <w:numPr>
        <w:numId w:val="9"/>
      </w:numPr>
      <w:tabs>
        <w:tab w:val="clear" w:pos="180"/>
        <w:tab w:val="left" w:pos="216"/>
      </w:tabs>
      <w:ind w:left="216" w:hanging="216"/>
    </w:pPr>
  </w:style>
  <w:style w:type="paragraph" w:customStyle="1" w:styleId="Callout1Body">
    <w:name w:val="Callout1 Body"/>
    <w:basedOn w:val="TableBody"/>
    <w:rsid w:val="00A63A82"/>
    <w:rPr>
      <w:color w:val="FFFFFF" w:themeColor="background1"/>
    </w:rPr>
  </w:style>
  <w:style w:type="paragraph" w:customStyle="1" w:styleId="TableBullet1">
    <w:name w:val="Table Bullet 1"/>
    <w:basedOn w:val="TableBody"/>
    <w:link w:val="TableBullet1Char"/>
    <w:qFormat/>
    <w:rsid w:val="00D7448C"/>
    <w:pPr>
      <w:numPr>
        <w:numId w:val="2"/>
      </w:numPr>
      <w:tabs>
        <w:tab w:val="clear" w:pos="180"/>
        <w:tab w:val="left" w:pos="216"/>
      </w:tabs>
      <w:ind w:left="216" w:hanging="216"/>
      <w:contextualSpacing/>
    </w:pPr>
  </w:style>
  <w:style w:type="paragraph" w:customStyle="1" w:styleId="TableBullet2">
    <w:name w:val="Table Bullet 2"/>
    <w:basedOn w:val="TableBullet1"/>
    <w:rsid w:val="00584D72"/>
    <w:pPr>
      <w:numPr>
        <w:numId w:val="3"/>
      </w:numPr>
      <w:tabs>
        <w:tab w:val="clear" w:pos="216"/>
        <w:tab w:val="left" w:pos="432"/>
      </w:tabs>
      <w:ind w:left="432" w:hanging="216"/>
    </w:pPr>
  </w:style>
  <w:style w:type="paragraph" w:customStyle="1" w:styleId="List1">
    <w:name w:val="#_List 1"/>
    <w:basedOn w:val="ListLast"/>
    <w:uiPriority w:val="1"/>
    <w:rsid w:val="008F1B60"/>
    <w:pPr>
      <w:contextualSpacing/>
    </w:pPr>
  </w:style>
  <w:style w:type="paragraph" w:customStyle="1" w:styleId="ListLast">
    <w:name w:val="#_List_Last"/>
    <w:basedOn w:val="BodyText"/>
    <w:next w:val="BodyText"/>
    <w:uiPriority w:val="1"/>
    <w:semiHidden/>
    <w:rsid w:val="00180A96"/>
    <w:pPr>
      <w:ind w:left="360" w:hanging="360"/>
    </w:pPr>
  </w:style>
  <w:style w:type="paragraph" w:customStyle="1" w:styleId="List2">
    <w:name w:val="#_List (2)"/>
    <w:basedOn w:val="List1"/>
    <w:uiPriority w:val="2"/>
    <w:semiHidden/>
    <w:unhideWhenUsed/>
    <w:rsid w:val="00180A96"/>
    <w:pPr>
      <w:ind w:left="720"/>
    </w:pPr>
  </w:style>
  <w:style w:type="paragraph" w:customStyle="1" w:styleId="List2Last">
    <w:name w:val="#_List (2)_Last"/>
    <w:basedOn w:val="ListLast"/>
    <w:next w:val="BodyText"/>
    <w:uiPriority w:val="2"/>
    <w:semiHidden/>
    <w:unhideWhenUsed/>
    <w:rsid w:val="00180A96"/>
    <w:pPr>
      <w:ind w:left="720"/>
    </w:pPr>
  </w:style>
  <w:style w:type="paragraph" w:customStyle="1" w:styleId="List3Last">
    <w:name w:val="#_List (3)_Last"/>
    <w:basedOn w:val="List1"/>
    <w:next w:val="BodyText"/>
    <w:uiPriority w:val="3"/>
    <w:semiHidden/>
    <w:unhideWhenUsed/>
    <w:rsid w:val="00180A96"/>
    <w:pPr>
      <w:ind w:left="1080"/>
    </w:pPr>
  </w:style>
  <w:style w:type="paragraph" w:customStyle="1" w:styleId="List3">
    <w:name w:val="#_List (3)"/>
    <w:basedOn w:val="List1"/>
    <w:uiPriority w:val="3"/>
    <w:semiHidden/>
    <w:unhideWhenUsed/>
    <w:rsid w:val="00180A96"/>
    <w:pPr>
      <w:ind w:left="1080"/>
    </w:pPr>
  </w:style>
  <w:style w:type="paragraph" w:customStyle="1" w:styleId="PageBreak">
    <w:name w:val="Page Break"/>
    <w:next w:val="BodyText"/>
    <w:uiPriority w:val="9"/>
    <w:rsid w:val="00B03540"/>
    <w:pPr>
      <w:pageBreakBefore/>
      <w:spacing w:after="0" w:line="20" w:lineRule="exact"/>
    </w:pPr>
    <w:rPr>
      <w:rFonts w:ascii="Arial" w:hAnsi="Arial"/>
      <w:color w:val="FF0000"/>
      <w:sz w:val="24"/>
    </w:rPr>
  </w:style>
  <w:style w:type="paragraph" w:customStyle="1" w:styleId="Subheading1">
    <w:name w:val="Subheading 1"/>
    <w:basedOn w:val="BodyText"/>
    <w:next w:val="BodyText"/>
    <w:qFormat/>
    <w:rsid w:val="00775B30"/>
    <w:pPr>
      <w:keepNext/>
      <w:keepLines/>
      <w:spacing w:after="0"/>
    </w:pPr>
    <w:rPr>
      <w:b/>
      <w:color w:val="00B0F0"/>
    </w:rPr>
  </w:style>
  <w:style w:type="paragraph" w:customStyle="1" w:styleId="Subheading2">
    <w:name w:val="Subheading 2"/>
    <w:basedOn w:val="Subheading1"/>
    <w:next w:val="BodyText"/>
    <w:qFormat/>
    <w:rsid w:val="00137DCB"/>
    <w:rPr>
      <w:i/>
    </w:rPr>
  </w:style>
  <w:style w:type="character" w:customStyle="1" w:styleId="CharacterBold">
    <w:name w:val="Character Bold"/>
    <w:uiPriority w:val="1"/>
    <w:qFormat/>
    <w:rsid w:val="0097552B"/>
    <w:rPr>
      <w:b/>
    </w:rPr>
  </w:style>
  <w:style w:type="character" w:customStyle="1" w:styleId="CharacterBoldItalics">
    <w:name w:val="Character Bold+Italics"/>
    <w:uiPriority w:val="1"/>
    <w:rsid w:val="0097552B"/>
    <w:rPr>
      <w:b/>
      <w:i/>
    </w:rPr>
  </w:style>
  <w:style w:type="character" w:customStyle="1" w:styleId="CharacterItalics">
    <w:name w:val="Character Italics"/>
    <w:uiPriority w:val="1"/>
    <w:rsid w:val="0097552B"/>
    <w:rPr>
      <w:i/>
    </w:rPr>
  </w:style>
  <w:style w:type="character" w:customStyle="1" w:styleId="CharacterUnderline">
    <w:name w:val="Character Underline"/>
    <w:uiPriority w:val="1"/>
    <w:rsid w:val="0097552B"/>
    <w:rPr>
      <w:u w:val="single"/>
    </w:rPr>
  </w:style>
  <w:style w:type="character" w:customStyle="1" w:styleId="CharacterUnderlineItalic">
    <w:name w:val="Character Underline+Italic"/>
    <w:uiPriority w:val="1"/>
    <w:rsid w:val="00B6009D"/>
    <w:rPr>
      <w:i/>
      <w:u w:val="single"/>
    </w:rPr>
  </w:style>
  <w:style w:type="paragraph" w:customStyle="1" w:styleId="Note1">
    <w:name w:val="Note 1"/>
    <w:basedOn w:val="BodyText"/>
    <w:next w:val="BodyText"/>
    <w:uiPriority w:val="9"/>
    <w:rsid w:val="002A3231"/>
    <w:pPr>
      <w:pBdr>
        <w:top w:val="single" w:sz="4" w:space="1" w:color="000000" w:themeColor="text1"/>
        <w:bottom w:val="single" w:sz="4" w:space="1" w:color="000000" w:themeColor="text1"/>
      </w:pBdr>
      <w:shd w:val="clear" w:color="auto" w:fill="BCEBFF"/>
      <w:tabs>
        <w:tab w:val="left" w:pos="360"/>
        <w:tab w:val="left" w:pos="720"/>
        <w:tab w:val="left" w:pos="1080"/>
      </w:tabs>
    </w:pPr>
    <w:rPr>
      <w:sz w:val="20"/>
    </w:rPr>
  </w:style>
  <w:style w:type="paragraph" w:customStyle="1" w:styleId="Note2">
    <w:name w:val="Note 2"/>
    <w:basedOn w:val="BodyText"/>
    <w:next w:val="BodyText"/>
    <w:uiPriority w:val="9"/>
    <w:rsid w:val="000A4F96"/>
    <w:pPr>
      <w:pBdr>
        <w:top w:val="single" w:sz="4" w:space="1" w:color="auto"/>
        <w:bottom w:val="single" w:sz="4" w:space="1" w:color="auto"/>
      </w:pBdr>
      <w:shd w:val="clear" w:color="auto" w:fill="62B5E5"/>
    </w:pPr>
    <w:rPr>
      <w:sz w:val="20"/>
    </w:rPr>
  </w:style>
  <w:style w:type="paragraph" w:customStyle="1" w:styleId="ResumeNameEntity">
    <w:name w:val="Resume Name &amp; Entity"/>
    <w:basedOn w:val="BodyText"/>
    <w:next w:val="ResumeProposedRole"/>
    <w:unhideWhenUsed/>
    <w:rsid w:val="005A6B0A"/>
    <w:pPr>
      <w:keepNext/>
      <w:keepLines/>
      <w:tabs>
        <w:tab w:val="right" w:pos="9360"/>
      </w:tabs>
      <w:spacing w:after="60"/>
    </w:pPr>
    <w:rPr>
      <w:i/>
    </w:rPr>
  </w:style>
  <w:style w:type="paragraph" w:customStyle="1" w:styleId="ResumeProposedRole">
    <w:name w:val="Resume Proposed Role"/>
    <w:basedOn w:val="BodyText"/>
    <w:next w:val="ResumeHeading"/>
    <w:unhideWhenUsed/>
    <w:rsid w:val="001C5E0C"/>
    <w:pPr>
      <w:keepNext/>
      <w:keepLines/>
      <w:pBdr>
        <w:bottom w:val="single" w:sz="4" w:space="1" w:color="0070C0"/>
      </w:pBdr>
      <w:spacing w:before="40" w:after="0"/>
    </w:pPr>
    <w:rPr>
      <w:b/>
      <w:color w:val="005587"/>
    </w:rPr>
  </w:style>
  <w:style w:type="paragraph" w:customStyle="1" w:styleId="ResumeHeading">
    <w:name w:val="Resume Heading"/>
    <w:basedOn w:val="BodyText"/>
    <w:next w:val="BodyText"/>
    <w:unhideWhenUsed/>
    <w:rsid w:val="001C5E0C"/>
    <w:pPr>
      <w:keepNext/>
      <w:keepLines/>
      <w:pBdr>
        <w:bottom w:val="single" w:sz="4" w:space="1" w:color="005587"/>
      </w:pBdr>
      <w:spacing w:before="120" w:after="40"/>
    </w:pPr>
    <w:rPr>
      <w:b/>
    </w:rPr>
  </w:style>
  <w:style w:type="character" w:customStyle="1" w:styleId="ResumeName14pts">
    <w:name w:val="Resume Name (14 pts)"/>
    <w:unhideWhenUsed/>
    <w:rsid w:val="00781919"/>
    <w:rPr>
      <w:b/>
      <w:iCs/>
      <w:sz w:val="28"/>
    </w:rPr>
  </w:style>
  <w:style w:type="paragraph" w:customStyle="1" w:styleId="TableList1">
    <w:name w:val="Table #_List 1"/>
    <w:basedOn w:val="TableBody"/>
    <w:rsid w:val="00584D72"/>
    <w:pPr>
      <w:tabs>
        <w:tab w:val="clear" w:pos="180"/>
        <w:tab w:val="left" w:pos="216"/>
      </w:tabs>
      <w:ind w:left="216" w:hanging="216"/>
    </w:pPr>
  </w:style>
  <w:style w:type="paragraph" w:styleId="TOC5">
    <w:name w:val="toc 5"/>
    <w:basedOn w:val="TOC4"/>
    <w:next w:val="BodyText"/>
    <w:uiPriority w:val="39"/>
    <w:semiHidden/>
    <w:unhideWhenUsed/>
    <w:rsid w:val="009E48D7"/>
    <w:pPr>
      <w:tabs>
        <w:tab w:val="left" w:pos="3960"/>
      </w:tabs>
      <w:ind w:left="3960" w:hanging="1260"/>
    </w:pPr>
  </w:style>
  <w:style w:type="paragraph" w:styleId="TOC4">
    <w:name w:val="toc 4"/>
    <w:basedOn w:val="TOC3"/>
    <w:next w:val="BodyText"/>
    <w:uiPriority w:val="39"/>
    <w:semiHidden/>
    <w:unhideWhenUsed/>
    <w:rsid w:val="009E48D7"/>
    <w:pPr>
      <w:ind w:left="2700" w:hanging="900"/>
    </w:pPr>
  </w:style>
  <w:style w:type="paragraph" w:styleId="Caption">
    <w:name w:val="caption"/>
    <w:basedOn w:val="Normal"/>
    <w:next w:val="Normal"/>
    <w:uiPriority w:val="35"/>
    <w:semiHidden/>
    <w:qFormat/>
    <w:rsid w:val="00524B8E"/>
    <w:rPr>
      <w:b/>
      <w:bCs/>
      <w:color w:val="86BC25" w:themeColor="accent1"/>
      <w:sz w:val="18"/>
      <w:szCs w:val="18"/>
    </w:rPr>
  </w:style>
  <w:style w:type="paragraph" w:customStyle="1" w:styleId="Callout1Bullet">
    <w:name w:val="Callout1 Bullet"/>
    <w:basedOn w:val="Callout1Body"/>
    <w:rsid w:val="00D7448C"/>
    <w:pPr>
      <w:numPr>
        <w:numId w:val="5"/>
      </w:numPr>
      <w:tabs>
        <w:tab w:val="clear" w:pos="180"/>
        <w:tab w:val="left" w:pos="216"/>
      </w:tabs>
      <w:ind w:left="216" w:hanging="216"/>
      <w:contextualSpacing/>
    </w:pPr>
  </w:style>
  <w:style w:type="paragraph" w:customStyle="1" w:styleId="CalloutTitle">
    <w:name w:val="Callout Title"/>
    <w:basedOn w:val="TableHeading"/>
    <w:next w:val="Callout1Body"/>
    <w:rsid w:val="00C03046"/>
  </w:style>
  <w:style w:type="character" w:styleId="Hyperlink">
    <w:name w:val="Hyperlink"/>
    <w:basedOn w:val="DefaultParagraphFont"/>
    <w:uiPriority w:val="99"/>
    <w:rsid w:val="000F7385"/>
    <w:rPr>
      <w:b/>
      <w:color w:val="0076A8"/>
      <w:u w:val="single"/>
    </w:rPr>
  </w:style>
  <w:style w:type="paragraph" w:styleId="TableofAuthorities">
    <w:name w:val="table of authorities"/>
    <w:basedOn w:val="TOC1"/>
    <w:next w:val="BodyText"/>
    <w:uiPriority w:val="99"/>
    <w:semiHidden/>
    <w:rsid w:val="00301898"/>
    <w:pPr>
      <w:tabs>
        <w:tab w:val="right" w:pos="12960"/>
        <w:tab w:val="right" w:pos="14400"/>
      </w:tabs>
    </w:pPr>
    <w:rPr>
      <w:rFonts w:cs="Arial"/>
    </w:rPr>
  </w:style>
  <w:style w:type="paragraph" w:customStyle="1" w:styleId="BodyTextBulletIntro">
    <w:name w:val="Body Text Bullet Intro"/>
    <w:basedOn w:val="BodyText"/>
    <w:next w:val="Bulletlevel1"/>
    <w:rsid w:val="00AD5D23"/>
    <w:pPr>
      <w:keepNext/>
      <w:spacing w:after="0"/>
    </w:pPr>
  </w:style>
  <w:style w:type="paragraph" w:customStyle="1" w:styleId="XCoverLetterBodyText">
    <w:name w:val="X_Cover Letter Body Text"/>
    <w:link w:val="XCoverLetterBodyTextCharChar"/>
    <w:semiHidden/>
    <w:qFormat/>
    <w:rsid w:val="00F23396"/>
    <w:pPr>
      <w:spacing w:after="240" w:line="240" w:lineRule="auto"/>
    </w:pPr>
    <w:rPr>
      <w:rFonts w:ascii="Arial Narrow" w:hAnsi="Arial Narrow"/>
      <w:sz w:val="24"/>
    </w:rPr>
  </w:style>
  <w:style w:type="character" w:customStyle="1" w:styleId="XCoverLetterBodyTextCharChar">
    <w:name w:val="X_Cover Letter Body Text Char Char"/>
    <w:basedOn w:val="DefaultParagraphFont"/>
    <w:link w:val="XCoverLetterBodyText"/>
    <w:semiHidden/>
    <w:rsid w:val="00F23396"/>
    <w:rPr>
      <w:rFonts w:ascii="Arial Narrow" w:hAnsi="Arial Narrow"/>
      <w:sz w:val="24"/>
    </w:rPr>
  </w:style>
  <w:style w:type="paragraph" w:customStyle="1" w:styleId="Letterbullet">
    <w:name w:val="Letter bullet"/>
    <w:basedOn w:val="Lettertext"/>
    <w:next w:val="Lettertext"/>
    <w:uiPriority w:val="99"/>
    <w:rsid w:val="00BF6C8D"/>
    <w:pPr>
      <w:numPr>
        <w:numId w:val="6"/>
      </w:numPr>
      <w:contextualSpacing/>
    </w:pPr>
  </w:style>
  <w:style w:type="paragraph" w:customStyle="1" w:styleId="BulletCheckmark">
    <w:name w:val="Bullet Checkmark"/>
    <w:basedOn w:val="Bulletlevel1"/>
    <w:rsid w:val="00CB3D98"/>
    <w:pPr>
      <w:numPr>
        <w:numId w:val="12"/>
      </w:numPr>
    </w:pPr>
    <w:rPr>
      <w:noProof/>
    </w:rPr>
  </w:style>
  <w:style w:type="paragraph" w:customStyle="1" w:styleId="PastPerfTableHeadingLeft">
    <w:name w:val="Past Perf Table Heading (Left)"/>
    <w:basedOn w:val="PastPerfTableBody"/>
    <w:next w:val="PastPerfTableBody"/>
    <w:rsid w:val="00D67ED8"/>
    <w:rPr>
      <w:b/>
      <w:color w:val="FFFFFF" w:themeColor="background1"/>
    </w:rPr>
  </w:style>
  <w:style w:type="paragraph" w:customStyle="1" w:styleId="PastPerfTableBody">
    <w:name w:val="Past Perf Table Body"/>
    <w:basedOn w:val="TableBody"/>
    <w:rsid w:val="00A362A4"/>
    <w:pPr>
      <w:tabs>
        <w:tab w:val="clear" w:pos="180"/>
      </w:tabs>
    </w:pPr>
    <w:rPr>
      <w:szCs w:val="18"/>
    </w:rPr>
  </w:style>
  <w:style w:type="character" w:customStyle="1" w:styleId="WordSearch">
    <w:name w:val="Word Search"/>
    <w:uiPriority w:val="99"/>
    <w:semiHidden/>
    <w:rsid w:val="00394C31"/>
    <w:rPr>
      <w:color w:val="auto"/>
      <w:u w:val="double" w:color="FF0000"/>
    </w:rPr>
  </w:style>
  <w:style w:type="character" w:customStyle="1" w:styleId="HighlightYellow">
    <w:name w:val="Highlight Yellow"/>
    <w:uiPriority w:val="99"/>
    <w:semiHidden/>
    <w:rsid w:val="00C41482"/>
    <w:rPr>
      <w:bdr w:val="none" w:sz="0" w:space="0" w:color="auto"/>
      <w:shd w:val="clear" w:color="auto" w:fill="FFFF00"/>
    </w:rPr>
  </w:style>
  <w:style w:type="character" w:customStyle="1" w:styleId="ComplianceTag">
    <w:name w:val="Compliance Tag"/>
    <w:uiPriority w:val="9"/>
    <w:unhideWhenUsed/>
    <w:rsid w:val="00372935"/>
    <w:rPr>
      <w:rFonts w:ascii="Arial Narrow" w:hAnsi="Arial Narrow"/>
      <w:color w:val="auto"/>
      <w:vertAlign w:val="superscript"/>
    </w:rPr>
  </w:style>
  <w:style w:type="paragraph" w:customStyle="1" w:styleId="Callout1Bullet2">
    <w:name w:val="Callout1 Bullet 2"/>
    <w:basedOn w:val="Callout1Bullet"/>
    <w:rsid w:val="006343AB"/>
    <w:pPr>
      <w:numPr>
        <w:numId w:val="8"/>
      </w:numPr>
      <w:tabs>
        <w:tab w:val="clear" w:pos="216"/>
        <w:tab w:val="left" w:pos="432"/>
      </w:tabs>
      <w:ind w:left="432"/>
    </w:pPr>
  </w:style>
  <w:style w:type="character" w:styleId="PlaceholderText">
    <w:name w:val="Placeholder Text"/>
    <w:basedOn w:val="DefaultParagraphFont"/>
    <w:uiPriority w:val="99"/>
    <w:semiHidden/>
    <w:rsid w:val="00701573"/>
    <w:rPr>
      <w:color w:val="808080"/>
    </w:rPr>
  </w:style>
  <w:style w:type="table" w:styleId="LightShading">
    <w:name w:val="Light Shading"/>
    <w:basedOn w:val="TableNormal"/>
    <w:uiPriority w:val="60"/>
    <w:rsid w:val="005F5A4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Footnote">
    <w:name w:val="Footnote"/>
    <w:basedOn w:val="TableBody"/>
    <w:rsid w:val="001E0F00"/>
  </w:style>
  <w:style w:type="character" w:customStyle="1" w:styleId="CoverFSSEntityName">
    <w:name w:val="Cover FSS Entity Name"/>
    <w:basedOn w:val="DefaultParagraphFont"/>
    <w:uiPriority w:val="1"/>
    <w:rsid w:val="00383C4F"/>
    <w:rPr>
      <w:rFonts w:ascii="Arial" w:hAnsi="Arial" w:cs="Arial"/>
      <w:color w:val="000000" w:themeColor="text1"/>
      <w:sz w:val="24"/>
      <w:szCs w:val="20"/>
    </w:rPr>
  </w:style>
  <w:style w:type="paragraph" w:customStyle="1" w:styleId="CoverText">
    <w:name w:val="Cover Text"/>
    <w:basedOn w:val="CoverTitle"/>
    <w:rsid w:val="00C4149E"/>
    <w:pPr>
      <w:spacing w:before="0" w:after="0"/>
    </w:pPr>
    <w:rPr>
      <w:b w:val="0"/>
      <w:color w:val="000000" w:themeColor="text1"/>
      <w:sz w:val="24"/>
    </w:rPr>
  </w:style>
  <w:style w:type="paragraph" w:customStyle="1" w:styleId="Callout2BodyItalic">
    <w:name w:val="Callout2 Body Italic"/>
    <w:basedOn w:val="Callout2Body"/>
    <w:rsid w:val="00296F28"/>
    <w:pPr>
      <w:framePr w:hSpace="288" w:wrap="around" w:y="-10"/>
    </w:pPr>
    <w:rPr>
      <w:i/>
    </w:rPr>
  </w:style>
  <w:style w:type="paragraph" w:customStyle="1" w:styleId="Callout2Body">
    <w:name w:val="Callout2 Body"/>
    <w:basedOn w:val="TableBody"/>
    <w:next w:val="Callout2Bullet"/>
    <w:rsid w:val="00A63A82"/>
    <w:pPr>
      <w:framePr w:hSpace="180" w:wrap="around" w:vAnchor="text" w:hAnchor="margin" w:xAlign="right" w:y="-14"/>
      <w:suppressOverlap/>
    </w:pPr>
  </w:style>
  <w:style w:type="paragraph" w:customStyle="1" w:styleId="Callout2Bullet">
    <w:name w:val="Callout2 Bullet"/>
    <w:basedOn w:val="Callout2Body"/>
    <w:rsid w:val="00D7448C"/>
    <w:pPr>
      <w:framePr w:wrap="around"/>
      <w:numPr>
        <w:numId w:val="10"/>
      </w:numPr>
      <w:tabs>
        <w:tab w:val="clear" w:pos="180"/>
        <w:tab w:val="left" w:pos="216"/>
      </w:tabs>
      <w:ind w:left="216" w:hanging="216"/>
      <w:contextualSpacing/>
    </w:pPr>
  </w:style>
  <w:style w:type="paragraph" w:customStyle="1" w:styleId="Callout2Bullet2">
    <w:name w:val="Callout2 Bullet 2"/>
    <w:basedOn w:val="Callout2Bullet"/>
    <w:next w:val="Callout2Bullet"/>
    <w:rsid w:val="00DA1DAA"/>
    <w:pPr>
      <w:framePr w:wrap="around"/>
      <w:numPr>
        <w:numId w:val="11"/>
      </w:numPr>
      <w:tabs>
        <w:tab w:val="clear" w:pos="216"/>
        <w:tab w:val="left" w:pos="432"/>
      </w:tabs>
      <w:ind w:left="432" w:hanging="216"/>
    </w:pPr>
  </w:style>
  <w:style w:type="character" w:customStyle="1" w:styleId="CharacterBoldGreenItalics">
    <w:name w:val="Character Bold Green Italics"/>
    <w:basedOn w:val="DefaultParagraphFont"/>
    <w:uiPriority w:val="1"/>
    <w:rsid w:val="00A64BD8"/>
    <w:rPr>
      <w:b w:val="0"/>
      <w:i/>
      <w:color w:val="86BC25"/>
    </w:rPr>
  </w:style>
  <w:style w:type="paragraph" w:styleId="TOC6">
    <w:name w:val="toc 6"/>
    <w:basedOn w:val="TOC5"/>
    <w:next w:val="BodyText"/>
    <w:uiPriority w:val="39"/>
    <w:semiHidden/>
    <w:unhideWhenUsed/>
    <w:rsid w:val="009E48D7"/>
    <w:pPr>
      <w:spacing w:after="100"/>
      <w:ind w:left="1200"/>
    </w:pPr>
  </w:style>
  <w:style w:type="character" w:customStyle="1" w:styleId="Cover2PPD">
    <w:name w:val="Cover 2_PPD"/>
    <w:basedOn w:val="DefaultParagraphFont"/>
    <w:uiPriority w:val="1"/>
    <w:rsid w:val="00CF19CE"/>
  </w:style>
  <w:style w:type="paragraph" w:customStyle="1" w:styleId="TableCheckmark">
    <w:name w:val="Table Checkmark"/>
    <w:basedOn w:val="TableBullet1"/>
    <w:rsid w:val="00A02B3D"/>
    <w:pPr>
      <w:numPr>
        <w:numId w:val="13"/>
      </w:numPr>
      <w:ind w:left="216" w:hanging="216"/>
      <w:textboxTightWrap w:val="none"/>
    </w:pPr>
  </w:style>
  <w:style w:type="paragraph" w:styleId="TOC7">
    <w:name w:val="toc 7"/>
    <w:basedOn w:val="TOC6"/>
    <w:next w:val="BodyText"/>
    <w:uiPriority w:val="39"/>
    <w:semiHidden/>
    <w:unhideWhenUsed/>
    <w:rsid w:val="009E48D7"/>
    <w:pPr>
      <w:ind w:left="1440"/>
    </w:pPr>
  </w:style>
  <w:style w:type="paragraph" w:customStyle="1" w:styleId="ResumeJobTitle">
    <w:name w:val="Resume Job Title"/>
    <w:basedOn w:val="BodyText"/>
    <w:next w:val="BodyText"/>
    <w:rsid w:val="00C84CE7"/>
    <w:pPr>
      <w:tabs>
        <w:tab w:val="right" w:pos="9360"/>
      </w:tabs>
      <w:spacing w:after="0"/>
    </w:pPr>
    <w:rPr>
      <w:b/>
    </w:rPr>
  </w:style>
  <w:style w:type="paragraph" w:customStyle="1" w:styleId="List20">
    <w:name w:val="#_List 2"/>
    <w:basedOn w:val="List1"/>
    <w:rsid w:val="00FC6683"/>
    <w:pPr>
      <w:ind w:left="720"/>
    </w:pPr>
    <w:rPr>
      <w:noProof/>
    </w:rPr>
  </w:style>
  <w:style w:type="paragraph" w:styleId="TOC8">
    <w:name w:val="toc 8"/>
    <w:basedOn w:val="TOC7"/>
    <w:next w:val="BodyText"/>
    <w:uiPriority w:val="39"/>
    <w:semiHidden/>
    <w:unhideWhenUsed/>
    <w:rsid w:val="009E48D7"/>
    <w:pPr>
      <w:ind w:left="1680"/>
    </w:pPr>
  </w:style>
  <w:style w:type="paragraph" w:styleId="TOC9">
    <w:name w:val="toc 9"/>
    <w:basedOn w:val="TOC8"/>
    <w:next w:val="BodyText"/>
    <w:uiPriority w:val="39"/>
    <w:semiHidden/>
    <w:unhideWhenUsed/>
    <w:rsid w:val="009E48D7"/>
    <w:pPr>
      <w:ind w:left="1920"/>
    </w:pPr>
  </w:style>
  <w:style w:type="paragraph" w:customStyle="1" w:styleId="Callout2CheckmarkBullet">
    <w:name w:val="Callout2 Checkmark Bullet"/>
    <w:basedOn w:val="Callout2Body"/>
    <w:next w:val="Callout2Bullet"/>
    <w:rsid w:val="00743F21"/>
    <w:pPr>
      <w:framePr w:wrap="around" w:vAnchor="margin" w:hAnchor="text"/>
      <w:numPr>
        <w:numId w:val="14"/>
      </w:numPr>
      <w:ind w:left="216" w:hanging="216"/>
    </w:pPr>
  </w:style>
  <w:style w:type="paragraph" w:customStyle="1" w:styleId="PastPerfTableBullet1">
    <w:name w:val="Past Perf Table Bullet 1"/>
    <w:basedOn w:val="PastPerfTableBody"/>
    <w:rsid w:val="00604D82"/>
    <w:pPr>
      <w:numPr>
        <w:numId w:val="15"/>
      </w:numPr>
    </w:pPr>
  </w:style>
  <w:style w:type="paragraph" w:customStyle="1" w:styleId="PastPerfTableSubheading">
    <w:name w:val="Past Perf Table Subheading"/>
    <w:basedOn w:val="PastPerfTableBody"/>
    <w:next w:val="Normal"/>
    <w:rsid w:val="00957B03"/>
    <w:pPr>
      <w:spacing w:after="0"/>
    </w:pPr>
    <w:rPr>
      <w:b/>
    </w:rPr>
  </w:style>
  <w:style w:type="paragraph" w:customStyle="1" w:styleId="PastPerfTableHeadingCenter">
    <w:name w:val="Past Perf Table Heading (Center)"/>
    <w:basedOn w:val="PastPerfTableHeadingLeft"/>
    <w:rsid w:val="00D67ED8"/>
    <w:pPr>
      <w:jc w:val="center"/>
    </w:pPr>
  </w:style>
  <w:style w:type="paragraph" w:customStyle="1" w:styleId="PastPerfTableBullet2">
    <w:name w:val="Past Perf Table Bullet 2"/>
    <w:basedOn w:val="PastPerfTableBullet1"/>
    <w:rsid w:val="00D76916"/>
    <w:pPr>
      <w:numPr>
        <w:numId w:val="16"/>
      </w:numPr>
      <w:tabs>
        <w:tab w:val="left" w:pos="374"/>
      </w:tabs>
      <w:ind w:left="374" w:hanging="187"/>
    </w:pPr>
  </w:style>
  <w:style w:type="paragraph" w:customStyle="1" w:styleId="PastPerfTable-List">
    <w:name w:val="Past Perf Table #-List"/>
    <w:basedOn w:val="PastPerfTableBody"/>
    <w:rsid w:val="008378F4"/>
    <w:pPr>
      <w:tabs>
        <w:tab w:val="left" w:pos="288"/>
      </w:tabs>
    </w:pPr>
  </w:style>
  <w:style w:type="paragraph" w:customStyle="1" w:styleId="PastPerfTableBodyCentered">
    <w:name w:val="Past Perf Table Body Centered"/>
    <w:basedOn w:val="PastPerfTableBody"/>
    <w:rsid w:val="00E43025"/>
    <w:pPr>
      <w:jc w:val="center"/>
    </w:pPr>
  </w:style>
  <w:style w:type="paragraph" w:customStyle="1" w:styleId="PastPerfTableCheckmark">
    <w:name w:val="Past Perf Table Checkmark"/>
    <w:basedOn w:val="PastPerfTableBullet1"/>
    <w:rsid w:val="005D5F05"/>
    <w:pPr>
      <w:numPr>
        <w:numId w:val="17"/>
      </w:numPr>
      <w:ind w:left="187" w:hanging="187"/>
    </w:pPr>
  </w:style>
  <w:style w:type="paragraph" w:customStyle="1" w:styleId="ClassifiedHeaderFooter">
    <w:name w:val="Classified Header/Footer"/>
    <w:basedOn w:val="Header"/>
    <w:rsid w:val="000A0FFF"/>
    <w:pPr>
      <w:jc w:val="center"/>
    </w:pPr>
    <w:rPr>
      <w:sz w:val="20"/>
    </w:rPr>
  </w:style>
  <w:style w:type="paragraph" w:customStyle="1" w:styleId="TableColumnHeading">
    <w:name w:val="Table Column Heading"/>
    <w:basedOn w:val="TableRowHeading"/>
    <w:rsid w:val="00B4625C"/>
    <w:pPr>
      <w:jc w:val="center"/>
    </w:pPr>
  </w:style>
  <w:style w:type="paragraph" w:customStyle="1" w:styleId="TableBullet3">
    <w:name w:val="Table Bullet 3"/>
    <w:basedOn w:val="TableBullet1"/>
    <w:rsid w:val="00A02B3D"/>
    <w:pPr>
      <w:tabs>
        <w:tab w:val="clear" w:pos="216"/>
        <w:tab w:val="left" w:pos="648"/>
      </w:tabs>
      <w:ind w:left="648"/>
    </w:pPr>
  </w:style>
  <w:style w:type="paragraph" w:customStyle="1" w:styleId="PastPerfTableBullet3">
    <w:name w:val="Past Perf Table Bullet 3"/>
    <w:basedOn w:val="PastPerfTableBullet2"/>
    <w:rsid w:val="00CA4D3F"/>
    <w:pPr>
      <w:numPr>
        <w:numId w:val="18"/>
      </w:numPr>
      <w:tabs>
        <w:tab w:val="clear" w:pos="374"/>
        <w:tab w:val="left" w:pos="547"/>
      </w:tabs>
      <w:ind w:left="561" w:hanging="187"/>
    </w:pPr>
  </w:style>
  <w:style w:type="paragraph" w:customStyle="1" w:styleId="TableList2">
    <w:name w:val="Table #_List 2"/>
    <w:basedOn w:val="TableList1"/>
    <w:rsid w:val="00584D72"/>
    <w:pPr>
      <w:tabs>
        <w:tab w:val="clear" w:pos="216"/>
        <w:tab w:val="left" w:pos="432"/>
      </w:tabs>
      <w:ind w:left="432"/>
    </w:pPr>
  </w:style>
  <w:style w:type="character" w:customStyle="1" w:styleId="CharacterHighlight">
    <w:name w:val="Character Highlight"/>
    <w:basedOn w:val="BodyTextChar"/>
    <w:uiPriority w:val="1"/>
    <w:rsid w:val="00764102"/>
    <w:rPr>
      <w:rFonts w:ascii="Arial Narrow" w:hAnsi="Arial Narrow"/>
      <w:sz w:val="24"/>
      <w:bdr w:val="none" w:sz="0" w:space="0" w:color="auto"/>
      <w:shd w:val="clear" w:color="auto" w:fill="FFFF00"/>
    </w:rPr>
  </w:style>
  <w:style w:type="character" w:customStyle="1" w:styleId="CharacterUnderlineBold">
    <w:name w:val="Character Underline+Bold"/>
    <w:basedOn w:val="CharacterUnderline"/>
    <w:uiPriority w:val="1"/>
    <w:rsid w:val="006601C3"/>
    <w:rPr>
      <w:b/>
      <w:u w:val="single"/>
    </w:rPr>
  </w:style>
  <w:style w:type="table" w:customStyle="1" w:styleId="DeloitteTable2">
    <w:name w:val="Deloitte Table2"/>
    <w:basedOn w:val="TableNormal"/>
    <w:uiPriority w:val="99"/>
    <w:rsid w:val="00C76534"/>
    <w:pPr>
      <w:spacing w:after="0" w:line="240" w:lineRule="auto"/>
    </w:pPr>
    <w:rPr>
      <w:rFonts w:ascii="Arial Narrow" w:hAnsi="Arial Narrow"/>
      <w:sz w:val="18"/>
    </w:rPr>
    <w:tblPr>
      <w:tblStyleRowBandSize w:val="1"/>
      <w:tblStyleColBandSize w:val="1"/>
      <w:tblBorders>
        <w:top w:val="single" w:sz="4" w:space="0" w:color="53565A" w:themeColor="background2"/>
        <w:left w:val="single" w:sz="4" w:space="0" w:color="53565A" w:themeColor="background2"/>
        <w:bottom w:val="single" w:sz="4" w:space="0" w:color="53565A" w:themeColor="background2"/>
        <w:right w:val="single" w:sz="4" w:space="0" w:color="53565A" w:themeColor="background2"/>
        <w:insideH w:val="single" w:sz="4" w:space="0" w:color="A6A6A6" w:themeColor="background1" w:themeShade="A6"/>
        <w:insideV w:val="single" w:sz="4" w:space="0" w:color="A6A6A6" w:themeColor="background1" w:themeShade="A6"/>
      </w:tblBorders>
    </w:tblPr>
    <w:tblStylePr w:type="firstRow">
      <w:pPr>
        <w:jc w:val="center"/>
      </w:pPr>
      <w:rPr>
        <w:b w:val="0"/>
      </w:rPr>
      <w:tblPr/>
      <w:tcPr>
        <w:shd w:val="clear" w:color="auto" w:fill="005587"/>
      </w:tcPr>
    </w:tblStylePr>
    <w:tblStylePr w:type="lastRow">
      <w:tblPr/>
      <w:tcPr>
        <w:tcBorders>
          <w:top w:val="single" w:sz="12" w:space="0" w:color="53565A"/>
          <w:bottom w:val="single" w:sz="12" w:space="0" w:color="53565A"/>
        </w:tcBorders>
        <w:shd w:val="clear" w:color="auto" w:fill="D9D9D9" w:themeFill="background1" w:themeFillShade="D9"/>
      </w:tcPr>
    </w:tblStylePr>
    <w:tblStylePr w:type="firstCol">
      <w:tblPr/>
      <w:tcPr>
        <w:shd w:val="clear" w:color="auto" w:fill="F2F2F2" w:themeFill="background1" w:themeFillShade="F2"/>
      </w:tcPr>
    </w:tblStylePr>
    <w:tblStylePr w:type="lastCol">
      <w:tblPr/>
      <w:tcPr>
        <w:shd w:val="clear" w:color="auto" w:fill="F2F2F2" w:themeFill="background1" w:themeFillShade="F2"/>
      </w:tcPr>
    </w:tblStylePr>
    <w:tblStylePr w:type="band1Vert">
      <w:tblPr/>
      <w:tcPr>
        <w:shd w:val="clear" w:color="auto" w:fill="F2F2F2" w:themeFill="background1" w:themeFillShade="F2"/>
      </w:tcPr>
    </w:tblStylePr>
    <w:tblStylePr w:type="band2Horz">
      <w:tblPr/>
      <w:tcPr>
        <w:shd w:val="clear" w:color="auto" w:fill="F2F2F2" w:themeFill="background1" w:themeFillShade="F2"/>
      </w:tcPr>
    </w:tblStylePr>
  </w:style>
  <w:style w:type="paragraph" w:customStyle="1" w:styleId="CalloutTitleBlue">
    <w:name w:val="Callout Title Blue"/>
    <w:basedOn w:val="CalloutTitle"/>
    <w:rsid w:val="008C3979"/>
    <w:rPr>
      <w:color w:val="005587"/>
    </w:rPr>
  </w:style>
  <w:style w:type="paragraph" w:customStyle="1" w:styleId="CalloutTitle12pt">
    <w:name w:val="Callout Title 12pt"/>
    <w:basedOn w:val="CalloutTitle"/>
    <w:rsid w:val="008C3979"/>
    <w:pPr>
      <w:framePr w:hSpace="288" w:wrap="around" w:vAnchor="text" w:hAnchor="margin" w:y="59"/>
      <w:suppressOverlap/>
      <w:jc w:val="left"/>
    </w:pPr>
    <w:rPr>
      <w:color w:val="005587"/>
      <w:sz w:val="24"/>
    </w:rPr>
  </w:style>
  <w:style w:type="table" w:styleId="ListTable3-Accent6">
    <w:name w:val="List Table 3 Accent 6"/>
    <w:basedOn w:val="TableNormal"/>
    <w:uiPriority w:val="48"/>
    <w:rsid w:val="00217C0B"/>
    <w:pPr>
      <w:spacing w:after="0" w:line="240" w:lineRule="auto"/>
    </w:pPr>
    <w:tblPr>
      <w:tblStyleRowBandSize w:val="1"/>
      <w:tblStyleColBandSize w:val="1"/>
      <w:tblBorders>
        <w:top w:val="single" w:sz="4" w:space="0" w:color="007CB0" w:themeColor="accent6"/>
        <w:left w:val="single" w:sz="4" w:space="0" w:color="007CB0" w:themeColor="accent6"/>
        <w:bottom w:val="single" w:sz="4" w:space="0" w:color="007CB0" w:themeColor="accent6"/>
        <w:right w:val="single" w:sz="4" w:space="0" w:color="007CB0" w:themeColor="accent6"/>
      </w:tblBorders>
    </w:tblPr>
    <w:tblStylePr w:type="firstRow">
      <w:rPr>
        <w:b/>
        <w:bCs/>
        <w:color w:val="FFFFFF" w:themeColor="background1"/>
      </w:rPr>
      <w:tblPr/>
      <w:tcPr>
        <w:shd w:val="clear" w:color="auto" w:fill="007CB0" w:themeFill="accent6"/>
      </w:tcPr>
    </w:tblStylePr>
    <w:tblStylePr w:type="lastRow">
      <w:rPr>
        <w:b/>
        <w:bCs/>
      </w:rPr>
      <w:tblPr/>
      <w:tcPr>
        <w:tcBorders>
          <w:top w:val="double" w:sz="4" w:space="0" w:color="007CB0"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7CB0" w:themeColor="accent6"/>
          <w:right w:val="single" w:sz="4" w:space="0" w:color="007CB0" w:themeColor="accent6"/>
        </w:tcBorders>
      </w:tcPr>
    </w:tblStylePr>
    <w:tblStylePr w:type="band1Horz">
      <w:tblPr/>
      <w:tcPr>
        <w:tcBorders>
          <w:top w:val="single" w:sz="4" w:space="0" w:color="007CB0" w:themeColor="accent6"/>
          <w:bottom w:val="single" w:sz="4" w:space="0" w:color="007CB0"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7CB0" w:themeColor="accent6"/>
          <w:left w:val="nil"/>
        </w:tcBorders>
      </w:tcPr>
    </w:tblStylePr>
    <w:tblStylePr w:type="swCell">
      <w:tblPr/>
      <w:tcPr>
        <w:tcBorders>
          <w:top w:val="double" w:sz="4" w:space="0" w:color="007CB0" w:themeColor="accent6"/>
          <w:right w:val="nil"/>
        </w:tcBorders>
      </w:tcPr>
    </w:tblStylePr>
  </w:style>
  <w:style w:type="paragraph" w:styleId="BodyText2">
    <w:name w:val="Body Text 2"/>
    <w:basedOn w:val="Normal"/>
    <w:link w:val="BodyText2Char"/>
    <w:uiPriority w:val="99"/>
    <w:semiHidden/>
    <w:unhideWhenUsed/>
    <w:rsid w:val="000A4F96"/>
    <w:pPr>
      <w:spacing w:after="120" w:line="480" w:lineRule="auto"/>
    </w:pPr>
    <w:rPr>
      <w:rFonts w:ascii="Arial" w:hAnsi="Arial"/>
    </w:rPr>
  </w:style>
  <w:style w:type="character" w:customStyle="1" w:styleId="BodyText2Char">
    <w:name w:val="Body Text 2 Char"/>
    <w:basedOn w:val="DefaultParagraphFont"/>
    <w:link w:val="BodyText2"/>
    <w:uiPriority w:val="99"/>
    <w:semiHidden/>
    <w:rsid w:val="000A4F96"/>
    <w:rPr>
      <w:rFonts w:ascii="Arial" w:hAnsi="Arial"/>
      <w:sz w:val="24"/>
    </w:rPr>
  </w:style>
  <w:style w:type="paragraph" w:styleId="BodyText3">
    <w:name w:val="Body Text 3"/>
    <w:basedOn w:val="Normal"/>
    <w:link w:val="BodyText3Char"/>
    <w:uiPriority w:val="99"/>
    <w:semiHidden/>
    <w:unhideWhenUsed/>
    <w:rsid w:val="000A4F96"/>
    <w:pPr>
      <w:spacing w:after="120"/>
    </w:pPr>
    <w:rPr>
      <w:rFonts w:ascii="Arial" w:hAnsi="Arial"/>
      <w:sz w:val="16"/>
      <w:szCs w:val="16"/>
    </w:rPr>
  </w:style>
  <w:style w:type="character" w:customStyle="1" w:styleId="BodyText3Char">
    <w:name w:val="Body Text 3 Char"/>
    <w:basedOn w:val="DefaultParagraphFont"/>
    <w:link w:val="BodyText3"/>
    <w:uiPriority w:val="99"/>
    <w:semiHidden/>
    <w:rsid w:val="000A4F96"/>
    <w:rPr>
      <w:rFonts w:ascii="Arial" w:hAnsi="Arial"/>
      <w:sz w:val="16"/>
      <w:szCs w:val="16"/>
    </w:rPr>
  </w:style>
  <w:style w:type="paragraph" w:styleId="BodyTextFirstIndent">
    <w:name w:val="Body Text First Indent"/>
    <w:basedOn w:val="BodyText"/>
    <w:link w:val="BodyTextFirstIndentChar"/>
    <w:uiPriority w:val="99"/>
    <w:semiHidden/>
    <w:rsid w:val="000A4F96"/>
    <w:pPr>
      <w:spacing w:after="200"/>
      <w:ind w:firstLine="360"/>
      <w:textboxTightWrap w:val="none"/>
    </w:pPr>
  </w:style>
  <w:style w:type="character" w:customStyle="1" w:styleId="BodyTextFirstIndentChar">
    <w:name w:val="Body Text First Indent Char"/>
    <w:basedOn w:val="BodyTextChar"/>
    <w:link w:val="BodyTextFirstIndent"/>
    <w:uiPriority w:val="99"/>
    <w:semiHidden/>
    <w:rsid w:val="000A4F96"/>
    <w:rPr>
      <w:rFonts w:ascii="Arial" w:hAnsi="Arial"/>
      <w:sz w:val="24"/>
    </w:rPr>
  </w:style>
  <w:style w:type="paragraph" w:styleId="BodyTextIndent">
    <w:name w:val="Body Text Indent"/>
    <w:basedOn w:val="Normal"/>
    <w:link w:val="BodyTextIndentChar"/>
    <w:uiPriority w:val="99"/>
    <w:semiHidden/>
    <w:unhideWhenUsed/>
    <w:rsid w:val="000A4F96"/>
    <w:pPr>
      <w:spacing w:after="120"/>
      <w:ind w:left="360"/>
    </w:pPr>
    <w:rPr>
      <w:rFonts w:ascii="Arial" w:hAnsi="Arial"/>
    </w:rPr>
  </w:style>
  <w:style w:type="character" w:customStyle="1" w:styleId="BodyTextIndentChar">
    <w:name w:val="Body Text Indent Char"/>
    <w:basedOn w:val="DefaultParagraphFont"/>
    <w:link w:val="BodyTextIndent"/>
    <w:uiPriority w:val="99"/>
    <w:semiHidden/>
    <w:rsid w:val="000A4F96"/>
    <w:rPr>
      <w:rFonts w:ascii="Arial" w:hAnsi="Arial"/>
      <w:sz w:val="24"/>
    </w:rPr>
  </w:style>
  <w:style w:type="paragraph" w:styleId="BodyTextFirstIndent2">
    <w:name w:val="Body Text First Indent 2"/>
    <w:basedOn w:val="BodyTextIndent"/>
    <w:link w:val="BodyTextFirstIndent2Char"/>
    <w:uiPriority w:val="99"/>
    <w:semiHidden/>
    <w:unhideWhenUsed/>
    <w:rsid w:val="000A4F96"/>
    <w:pPr>
      <w:spacing w:after="200"/>
      <w:ind w:firstLine="360"/>
    </w:pPr>
  </w:style>
  <w:style w:type="character" w:customStyle="1" w:styleId="BodyTextFirstIndent2Char">
    <w:name w:val="Body Text First Indent 2 Char"/>
    <w:basedOn w:val="BodyTextIndentChar"/>
    <w:link w:val="BodyTextFirstIndent2"/>
    <w:uiPriority w:val="99"/>
    <w:semiHidden/>
    <w:rsid w:val="000A4F96"/>
    <w:rPr>
      <w:rFonts w:ascii="Arial" w:hAnsi="Arial"/>
      <w:sz w:val="24"/>
    </w:rPr>
  </w:style>
  <w:style w:type="paragraph" w:styleId="BodyTextIndent2">
    <w:name w:val="Body Text Indent 2"/>
    <w:basedOn w:val="Normal"/>
    <w:link w:val="BodyTextIndent2Char"/>
    <w:uiPriority w:val="99"/>
    <w:semiHidden/>
    <w:unhideWhenUsed/>
    <w:rsid w:val="000A4F96"/>
    <w:pPr>
      <w:spacing w:after="120" w:line="480" w:lineRule="auto"/>
      <w:ind w:left="360"/>
    </w:pPr>
    <w:rPr>
      <w:rFonts w:ascii="Arial" w:hAnsi="Arial"/>
    </w:rPr>
  </w:style>
  <w:style w:type="character" w:customStyle="1" w:styleId="BodyTextIndent2Char">
    <w:name w:val="Body Text Indent 2 Char"/>
    <w:basedOn w:val="DefaultParagraphFont"/>
    <w:link w:val="BodyTextIndent2"/>
    <w:uiPriority w:val="99"/>
    <w:semiHidden/>
    <w:rsid w:val="000A4F96"/>
    <w:rPr>
      <w:rFonts w:ascii="Arial" w:hAnsi="Arial"/>
      <w:sz w:val="24"/>
    </w:rPr>
  </w:style>
  <w:style w:type="paragraph" w:styleId="BodyTextIndent3">
    <w:name w:val="Body Text Indent 3"/>
    <w:basedOn w:val="Normal"/>
    <w:link w:val="BodyTextIndent3Char"/>
    <w:uiPriority w:val="99"/>
    <w:semiHidden/>
    <w:unhideWhenUsed/>
    <w:rsid w:val="000A4F96"/>
    <w:pPr>
      <w:spacing w:after="120"/>
      <w:ind w:left="360"/>
    </w:pPr>
    <w:rPr>
      <w:rFonts w:ascii="Arial" w:hAnsi="Arial"/>
      <w:sz w:val="16"/>
      <w:szCs w:val="16"/>
    </w:rPr>
  </w:style>
  <w:style w:type="character" w:customStyle="1" w:styleId="BodyTextIndent3Char">
    <w:name w:val="Body Text Indent 3 Char"/>
    <w:basedOn w:val="DefaultParagraphFont"/>
    <w:link w:val="BodyTextIndent3"/>
    <w:uiPriority w:val="99"/>
    <w:semiHidden/>
    <w:rsid w:val="000A4F96"/>
    <w:rPr>
      <w:rFonts w:ascii="Arial" w:hAnsi="Arial"/>
      <w:sz w:val="16"/>
      <w:szCs w:val="16"/>
    </w:rPr>
  </w:style>
  <w:style w:type="character" w:styleId="UnresolvedMention">
    <w:name w:val="Unresolved Mention"/>
    <w:basedOn w:val="DefaultParagraphFont"/>
    <w:uiPriority w:val="99"/>
    <w:semiHidden/>
    <w:unhideWhenUsed/>
    <w:rsid w:val="00E779D3"/>
    <w:rPr>
      <w:color w:val="605E5C"/>
      <w:shd w:val="clear" w:color="auto" w:fill="E1DFDD"/>
    </w:rPr>
  </w:style>
  <w:style w:type="character" w:styleId="CommentReference">
    <w:name w:val="annotation reference"/>
    <w:basedOn w:val="DefaultParagraphFont"/>
    <w:uiPriority w:val="99"/>
    <w:semiHidden/>
    <w:unhideWhenUsed/>
    <w:rsid w:val="00486D0C"/>
    <w:rPr>
      <w:sz w:val="16"/>
      <w:szCs w:val="16"/>
    </w:rPr>
  </w:style>
  <w:style w:type="paragraph" w:styleId="CommentText">
    <w:name w:val="annotation text"/>
    <w:basedOn w:val="Normal"/>
    <w:link w:val="CommentTextChar"/>
    <w:uiPriority w:val="99"/>
    <w:unhideWhenUsed/>
    <w:rsid w:val="00486D0C"/>
    <w:rPr>
      <w:sz w:val="20"/>
      <w:szCs w:val="20"/>
    </w:rPr>
  </w:style>
  <w:style w:type="character" w:customStyle="1" w:styleId="CommentTextChar">
    <w:name w:val="Comment Text Char"/>
    <w:basedOn w:val="DefaultParagraphFont"/>
    <w:link w:val="CommentText"/>
    <w:uiPriority w:val="99"/>
    <w:rsid w:val="00486D0C"/>
    <w:rPr>
      <w:rFonts w:ascii="Arial Narrow" w:hAnsi="Arial Narrow"/>
      <w:sz w:val="20"/>
      <w:szCs w:val="20"/>
    </w:rPr>
  </w:style>
  <w:style w:type="paragraph" w:styleId="CommentSubject">
    <w:name w:val="annotation subject"/>
    <w:basedOn w:val="CommentText"/>
    <w:next w:val="CommentText"/>
    <w:link w:val="CommentSubjectChar"/>
    <w:uiPriority w:val="99"/>
    <w:semiHidden/>
    <w:unhideWhenUsed/>
    <w:rsid w:val="00486D0C"/>
    <w:rPr>
      <w:b/>
      <w:bCs/>
    </w:rPr>
  </w:style>
  <w:style w:type="character" w:customStyle="1" w:styleId="CommentSubjectChar">
    <w:name w:val="Comment Subject Char"/>
    <w:basedOn w:val="CommentTextChar"/>
    <w:link w:val="CommentSubject"/>
    <w:uiPriority w:val="99"/>
    <w:semiHidden/>
    <w:rsid w:val="00486D0C"/>
    <w:rPr>
      <w:rFonts w:ascii="Arial Narrow" w:hAnsi="Arial Narrow"/>
      <w:b/>
      <w:bCs/>
      <w:sz w:val="20"/>
      <w:szCs w:val="20"/>
    </w:rPr>
  </w:style>
  <w:style w:type="paragraph" w:styleId="ListParagraph">
    <w:name w:val="List Paragraph"/>
    <w:basedOn w:val="Normal"/>
    <w:unhideWhenUsed/>
    <w:qFormat/>
    <w:rsid w:val="00EE084E"/>
    <w:pPr>
      <w:ind w:left="720"/>
      <w:contextualSpacing/>
    </w:pPr>
  </w:style>
  <w:style w:type="character" w:styleId="Strong">
    <w:name w:val="Strong"/>
    <w:basedOn w:val="DefaultParagraphFont"/>
    <w:uiPriority w:val="22"/>
    <w:qFormat/>
    <w:rsid w:val="00F16696"/>
    <w:rPr>
      <w:b/>
      <w:bCs/>
    </w:rPr>
  </w:style>
  <w:style w:type="character" w:customStyle="1" w:styleId="TableBodyChar">
    <w:name w:val="Table Body Char"/>
    <w:aliases w:val="Table Text Char,table Body Text Char,tt Char,table text Char,t2 Char Char,table text Char Char,Table Title Char,table titles Char,Table Titles Char,table title Char,tx Char,t Char,Table Title Char Char,table tex Char,tt Ch,table Ch"/>
    <w:basedOn w:val="DefaultParagraphFont"/>
    <w:link w:val="TableBody"/>
    <w:locked/>
    <w:rsid w:val="00E03F67"/>
    <w:rPr>
      <w:rFonts w:ascii="Arial Narrow" w:hAnsi="Arial Narrow"/>
      <w:sz w:val="20"/>
    </w:rPr>
  </w:style>
  <w:style w:type="character" w:customStyle="1" w:styleId="TableBullet1Char">
    <w:name w:val="Table Bullet 1 Char"/>
    <w:basedOn w:val="DefaultParagraphFont"/>
    <w:link w:val="TableBullet1"/>
    <w:rsid w:val="00E03F67"/>
    <w:rPr>
      <w:rFonts w:ascii="Arial Narrow" w:hAnsi="Arial Narrow"/>
      <w:sz w:val="20"/>
    </w:rPr>
  </w:style>
  <w:style w:type="character" w:customStyle="1" w:styleId="TableHeadingChar">
    <w:name w:val="Table Heading Char"/>
    <w:basedOn w:val="DefaultParagraphFont"/>
    <w:link w:val="TableHeading"/>
    <w:locked/>
    <w:rsid w:val="00E03F67"/>
    <w:rPr>
      <w:rFonts w:ascii="Arial Narrow" w:hAnsi="Arial Narrow"/>
      <w:b/>
      <w:color w:val="FFFFFF"/>
      <w:sz w:val="20"/>
    </w:rPr>
  </w:style>
  <w:style w:type="paragraph" w:styleId="NormalWeb">
    <w:name w:val="Normal (Web)"/>
    <w:basedOn w:val="Normal"/>
    <w:uiPriority w:val="99"/>
    <w:unhideWhenUsed/>
    <w:rsid w:val="007D2F58"/>
    <w:pPr>
      <w:spacing w:before="100" w:beforeAutospacing="1" w:after="100" w:afterAutospacing="1"/>
    </w:pPr>
    <w:rPr>
      <w:rFonts w:eastAsia="Arial Narrow" w:cs="Arial Narrow"/>
      <w:szCs w:val="24"/>
    </w:rPr>
  </w:style>
  <w:style w:type="character" w:styleId="Mention">
    <w:name w:val="Mention"/>
    <w:basedOn w:val="DefaultParagraphFont"/>
    <w:uiPriority w:val="99"/>
    <w:unhideWhenUsed/>
    <w:rsid w:val="00D93F37"/>
    <w:rPr>
      <w:color w:val="2B579A"/>
      <w:shd w:val="clear" w:color="auto" w:fill="E1DFDD"/>
    </w:rPr>
  </w:style>
  <w:style w:type="paragraph" w:customStyle="1" w:styleId="DCalloutbullet">
    <w:name w:val="D_Callout bullet"/>
    <w:basedOn w:val="Normal"/>
    <w:uiPriority w:val="2"/>
    <w:qFormat/>
    <w:rsid w:val="00422FA8"/>
    <w:pPr>
      <w:numPr>
        <w:numId w:val="40"/>
      </w:numPr>
      <w:spacing w:before="60" w:after="60" w:line="200" w:lineRule="atLeast"/>
    </w:pPr>
    <w:rPr>
      <w:rFonts w:ascii="Arial" w:eastAsia="Times" w:hAnsi="Arial" w:cs="Arial"/>
      <w:color w:val="75787B"/>
      <w:sz w:val="20"/>
      <w:szCs w:val="18"/>
    </w:rPr>
  </w:style>
  <w:style w:type="paragraph" w:customStyle="1" w:styleId="DBulletlevel1">
    <w:name w:val="D_Bullet level 1"/>
    <w:uiPriority w:val="1"/>
    <w:qFormat/>
    <w:rsid w:val="00422FA8"/>
    <w:pPr>
      <w:numPr>
        <w:numId w:val="39"/>
      </w:numPr>
      <w:spacing w:before="120" w:after="120" w:line="280" w:lineRule="atLeast"/>
    </w:pPr>
    <w:rPr>
      <w:rFonts w:ascii="Arial" w:eastAsia="Times" w:hAnsi="Arial" w:cs="Arial"/>
      <w:color w:val="000000"/>
      <w:sz w:val="24"/>
      <w:szCs w:val="24"/>
    </w:rPr>
  </w:style>
  <w:style w:type="paragraph" w:styleId="Revision">
    <w:name w:val="Revision"/>
    <w:hidden/>
    <w:uiPriority w:val="99"/>
    <w:semiHidden/>
    <w:rsid w:val="00900157"/>
    <w:pPr>
      <w:spacing w:after="0" w:line="240" w:lineRule="auto"/>
    </w:pPr>
    <w:rPr>
      <w:rFonts w:ascii="Arial Narrow" w:hAnsi="Arial Narrow"/>
      <w:sz w:val="24"/>
    </w:rPr>
  </w:style>
  <w:style w:type="paragraph" w:customStyle="1" w:styleId="paragraph">
    <w:name w:val="paragraph"/>
    <w:basedOn w:val="Normal"/>
    <w:rsid w:val="00900157"/>
    <w:pPr>
      <w:spacing w:before="100" w:beforeAutospacing="1" w:after="100" w:afterAutospacing="1"/>
    </w:pPr>
    <w:rPr>
      <w:rFonts w:eastAsia="Arial Narrow" w:cs="Arial Narrow"/>
      <w:szCs w:val="24"/>
    </w:rPr>
  </w:style>
  <w:style w:type="character" w:customStyle="1" w:styleId="eop">
    <w:name w:val="eop"/>
    <w:basedOn w:val="DefaultParagraphFont"/>
    <w:rsid w:val="00900157"/>
  </w:style>
  <w:style w:type="paragraph" w:customStyle="1" w:styleId="font-claude-response-body">
    <w:name w:val="font-claude-response-body"/>
    <w:basedOn w:val="Normal"/>
    <w:rsid w:val="00900157"/>
    <w:pPr>
      <w:spacing w:before="100" w:beforeAutospacing="1" w:after="100" w:afterAutospacing="1"/>
    </w:pPr>
    <w:rPr>
      <w:rFonts w:eastAsia="Arial Narrow" w:cs="Arial Narrow"/>
      <w:szCs w:val="24"/>
    </w:rPr>
  </w:style>
  <w:style w:type="character" w:customStyle="1" w:styleId="CharacterBoldBlue">
    <w:name w:val="Character Bold Blue"/>
    <w:uiPriority w:val="1"/>
    <w:rsid w:val="00534E15"/>
    <w:rPr>
      <w:b/>
      <w:color w:val="00558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61541">
      <w:bodyDiv w:val="1"/>
      <w:marLeft w:val="0"/>
      <w:marRight w:val="0"/>
      <w:marTop w:val="0"/>
      <w:marBottom w:val="0"/>
      <w:divBdr>
        <w:top w:val="none" w:sz="0" w:space="0" w:color="auto"/>
        <w:left w:val="none" w:sz="0" w:space="0" w:color="auto"/>
        <w:bottom w:val="none" w:sz="0" w:space="0" w:color="auto"/>
        <w:right w:val="none" w:sz="0" w:space="0" w:color="auto"/>
      </w:divBdr>
    </w:div>
    <w:div w:id="45690794">
      <w:bodyDiv w:val="1"/>
      <w:marLeft w:val="0"/>
      <w:marRight w:val="0"/>
      <w:marTop w:val="0"/>
      <w:marBottom w:val="0"/>
      <w:divBdr>
        <w:top w:val="none" w:sz="0" w:space="0" w:color="auto"/>
        <w:left w:val="none" w:sz="0" w:space="0" w:color="auto"/>
        <w:bottom w:val="none" w:sz="0" w:space="0" w:color="auto"/>
        <w:right w:val="none" w:sz="0" w:space="0" w:color="auto"/>
      </w:divBdr>
    </w:div>
    <w:div w:id="75321901">
      <w:bodyDiv w:val="1"/>
      <w:marLeft w:val="0"/>
      <w:marRight w:val="0"/>
      <w:marTop w:val="0"/>
      <w:marBottom w:val="0"/>
      <w:divBdr>
        <w:top w:val="none" w:sz="0" w:space="0" w:color="auto"/>
        <w:left w:val="none" w:sz="0" w:space="0" w:color="auto"/>
        <w:bottom w:val="none" w:sz="0" w:space="0" w:color="auto"/>
        <w:right w:val="none" w:sz="0" w:space="0" w:color="auto"/>
      </w:divBdr>
    </w:div>
    <w:div w:id="86659627">
      <w:bodyDiv w:val="1"/>
      <w:marLeft w:val="0"/>
      <w:marRight w:val="0"/>
      <w:marTop w:val="0"/>
      <w:marBottom w:val="0"/>
      <w:divBdr>
        <w:top w:val="none" w:sz="0" w:space="0" w:color="auto"/>
        <w:left w:val="none" w:sz="0" w:space="0" w:color="auto"/>
        <w:bottom w:val="none" w:sz="0" w:space="0" w:color="auto"/>
        <w:right w:val="none" w:sz="0" w:space="0" w:color="auto"/>
      </w:divBdr>
    </w:div>
    <w:div w:id="94400659">
      <w:bodyDiv w:val="1"/>
      <w:marLeft w:val="0"/>
      <w:marRight w:val="0"/>
      <w:marTop w:val="0"/>
      <w:marBottom w:val="0"/>
      <w:divBdr>
        <w:top w:val="none" w:sz="0" w:space="0" w:color="auto"/>
        <w:left w:val="none" w:sz="0" w:space="0" w:color="auto"/>
        <w:bottom w:val="none" w:sz="0" w:space="0" w:color="auto"/>
        <w:right w:val="none" w:sz="0" w:space="0" w:color="auto"/>
      </w:divBdr>
    </w:div>
    <w:div w:id="145979964">
      <w:bodyDiv w:val="1"/>
      <w:marLeft w:val="0"/>
      <w:marRight w:val="0"/>
      <w:marTop w:val="0"/>
      <w:marBottom w:val="0"/>
      <w:divBdr>
        <w:top w:val="none" w:sz="0" w:space="0" w:color="auto"/>
        <w:left w:val="none" w:sz="0" w:space="0" w:color="auto"/>
        <w:bottom w:val="none" w:sz="0" w:space="0" w:color="auto"/>
        <w:right w:val="none" w:sz="0" w:space="0" w:color="auto"/>
      </w:divBdr>
    </w:div>
    <w:div w:id="166795172">
      <w:bodyDiv w:val="1"/>
      <w:marLeft w:val="0"/>
      <w:marRight w:val="0"/>
      <w:marTop w:val="0"/>
      <w:marBottom w:val="0"/>
      <w:divBdr>
        <w:top w:val="none" w:sz="0" w:space="0" w:color="auto"/>
        <w:left w:val="none" w:sz="0" w:space="0" w:color="auto"/>
        <w:bottom w:val="none" w:sz="0" w:space="0" w:color="auto"/>
        <w:right w:val="none" w:sz="0" w:space="0" w:color="auto"/>
      </w:divBdr>
    </w:div>
    <w:div w:id="582568419">
      <w:bodyDiv w:val="1"/>
      <w:marLeft w:val="0"/>
      <w:marRight w:val="0"/>
      <w:marTop w:val="0"/>
      <w:marBottom w:val="0"/>
      <w:divBdr>
        <w:top w:val="none" w:sz="0" w:space="0" w:color="auto"/>
        <w:left w:val="none" w:sz="0" w:space="0" w:color="auto"/>
        <w:bottom w:val="none" w:sz="0" w:space="0" w:color="auto"/>
        <w:right w:val="none" w:sz="0" w:space="0" w:color="auto"/>
      </w:divBdr>
    </w:div>
    <w:div w:id="602305238">
      <w:bodyDiv w:val="1"/>
      <w:marLeft w:val="0"/>
      <w:marRight w:val="0"/>
      <w:marTop w:val="0"/>
      <w:marBottom w:val="0"/>
      <w:divBdr>
        <w:top w:val="none" w:sz="0" w:space="0" w:color="auto"/>
        <w:left w:val="none" w:sz="0" w:space="0" w:color="auto"/>
        <w:bottom w:val="none" w:sz="0" w:space="0" w:color="auto"/>
        <w:right w:val="none" w:sz="0" w:space="0" w:color="auto"/>
      </w:divBdr>
    </w:div>
    <w:div w:id="604775983">
      <w:bodyDiv w:val="1"/>
      <w:marLeft w:val="0"/>
      <w:marRight w:val="0"/>
      <w:marTop w:val="0"/>
      <w:marBottom w:val="0"/>
      <w:divBdr>
        <w:top w:val="none" w:sz="0" w:space="0" w:color="auto"/>
        <w:left w:val="none" w:sz="0" w:space="0" w:color="auto"/>
        <w:bottom w:val="none" w:sz="0" w:space="0" w:color="auto"/>
        <w:right w:val="none" w:sz="0" w:space="0" w:color="auto"/>
      </w:divBdr>
    </w:div>
    <w:div w:id="606813245">
      <w:bodyDiv w:val="1"/>
      <w:marLeft w:val="0"/>
      <w:marRight w:val="0"/>
      <w:marTop w:val="0"/>
      <w:marBottom w:val="0"/>
      <w:divBdr>
        <w:top w:val="none" w:sz="0" w:space="0" w:color="auto"/>
        <w:left w:val="none" w:sz="0" w:space="0" w:color="auto"/>
        <w:bottom w:val="none" w:sz="0" w:space="0" w:color="auto"/>
        <w:right w:val="none" w:sz="0" w:space="0" w:color="auto"/>
      </w:divBdr>
    </w:div>
    <w:div w:id="617686074">
      <w:bodyDiv w:val="1"/>
      <w:marLeft w:val="0"/>
      <w:marRight w:val="0"/>
      <w:marTop w:val="0"/>
      <w:marBottom w:val="0"/>
      <w:divBdr>
        <w:top w:val="none" w:sz="0" w:space="0" w:color="auto"/>
        <w:left w:val="none" w:sz="0" w:space="0" w:color="auto"/>
        <w:bottom w:val="none" w:sz="0" w:space="0" w:color="auto"/>
        <w:right w:val="none" w:sz="0" w:space="0" w:color="auto"/>
      </w:divBdr>
    </w:div>
    <w:div w:id="728262796">
      <w:bodyDiv w:val="1"/>
      <w:marLeft w:val="0"/>
      <w:marRight w:val="0"/>
      <w:marTop w:val="0"/>
      <w:marBottom w:val="0"/>
      <w:divBdr>
        <w:top w:val="none" w:sz="0" w:space="0" w:color="auto"/>
        <w:left w:val="none" w:sz="0" w:space="0" w:color="auto"/>
        <w:bottom w:val="none" w:sz="0" w:space="0" w:color="auto"/>
        <w:right w:val="none" w:sz="0" w:space="0" w:color="auto"/>
      </w:divBdr>
    </w:div>
    <w:div w:id="731654709">
      <w:bodyDiv w:val="1"/>
      <w:marLeft w:val="0"/>
      <w:marRight w:val="0"/>
      <w:marTop w:val="0"/>
      <w:marBottom w:val="0"/>
      <w:divBdr>
        <w:top w:val="none" w:sz="0" w:space="0" w:color="auto"/>
        <w:left w:val="none" w:sz="0" w:space="0" w:color="auto"/>
        <w:bottom w:val="none" w:sz="0" w:space="0" w:color="auto"/>
        <w:right w:val="none" w:sz="0" w:space="0" w:color="auto"/>
      </w:divBdr>
    </w:div>
    <w:div w:id="735009047">
      <w:bodyDiv w:val="1"/>
      <w:marLeft w:val="0"/>
      <w:marRight w:val="0"/>
      <w:marTop w:val="0"/>
      <w:marBottom w:val="0"/>
      <w:divBdr>
        <w:top w:val="none" w:sz="0" w:space="0" w:color="auto"/>
        <w:left w:val="none" w:sz="0" w:space="0" w:color="auto"/>
        <w:bottom w:val="none" w:sz="0" w:space="0" w:color="auto"/>
        <w:right w:val="none" w:sz="0" w:space="0" w:color="auto"/>
      </w:divBdr>
    </w:div>
    <w:div w:id="747314655">
      <w:bodyDiv w:val="1"/>
      <w:marLeft w:val="0"/>
      <w:marRight w:val="0"/>
      <w:marTop w:val="0"/>
      <w:marBottom w:val="0"/>
      <w:divBdr>
        <w:top w:val="none" w:sz="0" w:space="0" w:color="auto"/>
        <w:left w:val="none" w:sz="0" w:space="0" w:color="auto"/>
        <w:bottom w:val="none" w:sz="0" w:space="0" w:color="auto"/>
        <w:right w:val="none" w:sz="0" w:space="0" w:color="auto"/>
      </w:divBdr>
    </w:div>
    <w:div w:id="752512386">
      <w:bodyDiv w:val="1"/>
      <w:marLeft w:val="0"/>
      <w:marRight w:val="0"/>
      <w:marTop w:val="0"/>
      <w:marBottom w:val="0"/>
      <w:divBdr>
        <w:top w:val="none" w:sz="0" w:space="0" w:color="auto"/>
        <w:left w:val="none" w:sz="0" w:space="0" w:color="auto"/>
        <w:bottom w:val="none" w:sz="0" w:space="0" w:color="auto"/>
        <w:right w:val="none" w:sz="0" w:space="0" w:color="auto"/>
      </w:divBdr>
    </w:div>
    <w:div w:id="808862370">
      <w:bodyDiv w:val="1"/>
      <w:marLeft w:val="0"/>
      <w:marRight w:val="0"/>
      <w:marTop w:val="0"/>
      <w:marBottom w:val="0"/>
      <w:divBdr>
        <w:top w:val="none" w:sz="0" w:space="0" w:color="auto"/>
        <w:left w:val="none" w:sz="0" w:space="0" w:color="auto"/>
        <w:bottom w:val="none" w:sz="0" w:space="0" w:color="auto"/>
        <w:right w:val="none" w:sz="0" w:space="0" w:color="auto"/>
      </w:divBdr>
    </w:div>
    <w:div w:id="817376865">
      <w:bodyDiv w:val="1"/>
      <w:marLeft w:val="0"/>
      <w:marRight w:val="0"/>
      <w:marTop w:val="0"/>
      <w:marBottom w:val="0"/>
      <w:divBdr>
        <w:top w:val="none" w:sz="0" w:space="0" w:color="auto"/>
        <w:left w:val="none" w:sz="0" w:space="0" w:color="auto"/>
        <w:bottom w:val="none" w:sz="0" w:space="0" w:color="auto"/>
        <w:right w:val="none" w:sz="0" w:space="0" w:color="auto"/>
      </w:divBdr>
    </w:div>
    <w:div w:id="1053819477">
      <w:bodyDiv w:val="1"/>
      <w:marLeft w:val="0"/>
      <w:marRight w:val="0"/>
      <w:marTop w:val="0"/>
      <w:marBottom w:val="0"/>
      <w:divBdr>
        <w:top w:val="none" w:sz="0" w:space="0" w:color="auto"/>
        <w:left w:val="none" w:sz="0" w:space="0" w:color="auto"/>
        <w:bottom w:val="none" w:sz="0" w:space="0" w:color="auto"/>
        <w:right w:val="none" w:sz="0" w:space="0" w:color="auto"/>
      </w:divBdr>
    </w:div>
    <w:div w:id="1229921680">
      <w:bodyDiv w:val="1"/>
      <w:marLeft w:val="0"/>
      <w:marRight w:val="0"/>
      <w:marTop w:val="0"/>
      <w:marBottom w:val="0"/>
      <w:divBdr>
        <w:top w:val="none" w:sz="0" w:space="0" w:color="auto"/>
        <w:left w:val="none" w:sz="0" w:space="0" w:color="auto"/>
        <w:bottom w:val="none" w:sz="0" w:space="0" w:color="auto"/>
        <w:right w:val="none" w:sz="0" w:space="0" w:color="auto"/>
      </w:divBdr>
    </w:div>
    <w:div w:id="1289891357">
      <w:bodyDiv w:val="1"/>
      <w:marLeft w:val="0"/>
      <w:marRight w:val="0"/>
      <w:marTop w:val="0"/>
      <w:marBottom w:val="0"/>
      <w:divBdr>
        <w:top w:val="none" w:sz="0" w:space="0" w:color="auto"/>
        <w:left w:val="none" w:sz="0" w:space="0" w:color="auto"/>
        <w:bottom w:val="none" w:sz="0" w:space="0" w:color="auto"/>
        <w:right w:val="none" w:sz="0" w:space="0" w:color="auto"/>
      </w:divBdr>
    </w:div>
    <w:div w:id="1440756864">
      <w:bodyDiv w:val="1"/>
      <w:marLeft w:val="0"/>
      <w:marRight w:val="0"/>
      <w:marTop w:val="0"/>
      <w:marBottom w:val="0"/>
      <w:divBdr>
        <w:top w:val="none" w:sz="0" w:space="0" w:color="auto"/>
        <w:left w:val="none" w:sz="0" w:space="0" w:color="auto"/>
        <w:bottom w:val="none" w:sz="0" w:space="0" w:color="auto"/>
        <w:right w:val="none" w:sz="0" w:space="0" w:color="auto"/>
      </w:divBdr>
    </w:div>
    <w:div w:id="1441951325">
      <w:bodyDiv w:val="1"/>
      <w:marLeft w:val="0"/>
      <w:marRight w:val="0"/>
      <w:marTop w:val="0"/>
      <w:marBottom w:val="0"/>
      <w:divBdr>
        <w:top w:val="none" w:sz="0" w:space="0" w:color="auto"/>
        <w:left w:val="none" w:sz="0" w:space="0" w:color="auto"/>
        <w:bottom w:val="none" w:sz="0" w:space="0" w:color="auto"/>
        <w:right w:val="none" w:sz="0" w:space="0" w:color="auto"/>
      </w:divBdr>
    </w:div>
    <w:div w:id="1531380004">
      <w:bodyDiv w:val="1"/>
      <w:marLeft w:val="0"/>
      <w:marRight w:val="0"/>
      <w:marTop w:val="0"/>
      <w:marBottom w:val="0"/>
      <w:divBdr>
        <w:top w:val="none" w:sz="0" w:space="0" w:color="auto"/>
        <w:left w:val="none" w:sz="0" w:space="0" w:color="auto"/>
        <w:bottom w:val="none" w:sz="0" w:space="0" w:color="auto"/>
        <w:right w:val="none" w:sz="0" w:space="0" w:color="auto"/>
      </w:divBdr>
    </w:div>
    <w:div w:id="1531607177">
      <w:bodyDiv w:val="1"/>
      <w:marLeft w:val="0"/>
      <w:marRight w:val="0"/>
      <w:marTop w:val="0"/>
      <w:marBottom w:val="0"/>
      <w:divBdr>
        <w:top w:val="none" w:sz="0" w:space="0" w:color="auto"/>
        <w:left w:val="none" w:sz="0" w:space="0" w:color="auto"/>
        <w:bottom w:val="none" w:sz="0" w:space="0" w:color="auto"/>
        <w:right w:val="none" w:sz="0" w:space="0" w:color="auto"/>
      </w:divBdr>
    </w:div>
    <w:div w:id="1696883866">
      <w:bodyDiv w:val="1"/>
      <w:marLeft w:val="0"/>
      <w:marRight w:val="0"/>
      <w:marTop w:val="0"/>
      <w:marBottom w:val="0"/>
      <w:divBdr>
        <w:top w:val="none" w:sz="0" w:space="0" w:color="auto"/>
        <w:left w:val="none" w:sz="0" w:space="0" w:color="auto"/>
        <w:bottom w:val="none" w:sz="0" w:space="0" w:color="auto"/>
        <w:right w:val="none" w:sz="0" w:space="0" w:color="auto"/>
      </w:divBdr>
    </w:div>
    <w:div w:id="1703820329">
      <w:bodyDiv w:val="1"/>
      <w:marLeft w:val="0"/>
      <w:marRight w:val="0"/>
      <w:marTop w:val="0"/>
      <w:marBottom w:val="0"/>
      <w:divBdr>
        <w:top w:val="none" w:sz="0" w:space="0" w:color="auto"/>
        <w:left w:val="none" w:sz="0" w:space="0" w:color="auto"/>
        <w:bottom w:val="none" w:sz="0" w:space="0" w:color="auto"/>
        <w:right w:val="none" w:sz="0" w:space="0" w:color="auto"/>
      </w:divBdr>
    </w:div>
    <w:div w:id="1919436522">
      <w:bodyDiv w:val="1"/>
      <w:marLeft w:val="0"/>
      <w:marRight w:val="0"/>
      <w:marTop w:val="0"/>
      <w:marBottom w:val="0"/>
      <w:divBdr>
        <w:top w:val="none" w:sz="0" w:space="0" w:color="auto"/>
        <w:left w:val="none" w:sz="0" w:space="0" w:color="auto"/>
        <w:bottom w:val="none" w:sz="0" w:space="0" w:color="auto"/>
        <w:right w:val="none" w:sz="0" w:space="0" w:color="auto"/>
      </w:divBdr>
    </w:div>
    <w:div w:id="2090882580">
      <w:bodyDiv w:val="1"/>
      <w:marLeft w:val="0"/>
      <w:marRight w:val="0"/>
      <w:marTop w:val="0"/>
      <w:marBottom w:val="0"/>
      <w:divBdr>
        <w:top w:val="none" w:sz="0" w:space="0" w:color="auto"/>
        <w:left w:val="none" w:sz="0" w:space="0" w:color="auto"/>
        <w:bottom w:val="none" w:sz="0" w:space="0" w:color="auto"/>
        <w:right w:val="none" w:sz="0" w:space="0" w:color="auto"/>
      </w:divBdr>
    </w:div>
    <w:div w:id="2114279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4.png"/><Relationship Id="rId26" Type="http://schemas.openxmlformats.org/officeDocument/2006/relationships/image" Target="media/image8.png"/><Relationship Id="rId39" Type="http://schemas.openxmlformats.org/officeDocument/2006/relationships/footer" Target="footer7.xml"/><Relationship Id="rId21" Type="http://schemas.openxmlformats.org/officeDocument/2006/relationships/header" Target="header5.xml"/><Relationship Id="rId34" Type="http://schemas.openxmlformats.org/officeDocument/2006/relationships/image" Target="media/image16.png"/><Relationship Id="rId42" Type="http://schemas.openxmlformats.org/officeDocument/2006/relationships/footer" Target="footer9.xml"/><Relationship Id="rId47" Type="http://schemas.microsoft.com/office/2019/05/relationships/documenttasks" Target="documenttasks/documenttasks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header" Target="header6.xml"/><Relationship Id="rId40" Type="http://schemas.openxmlformats.org/officeDocument/2006/relationships/header" Target="header7.xml"/><Relationship Id="rId45"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header" Target="header4.xml"/><Relationship Id="rId31" Type="http://schemas.openxmlformats.org/officeDocument/2006/relationships/image" Target="media/image13.png"/><Relationship Id="rId44" Type="http://schemas.openxmlformats.org/officeDocument/2006/relationships/image" Target="media/image19.jp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oter" Target="footer5.xml"/><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footer" Target="footer10.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eader" Target="header3.xm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footer" Target="footer6.xml"/><Relationship Id="rId46" Type="http://schemas.openxmlformats.org/officeDocument/2006/relationships/theme" Target="theme/theme1.xml"/><Relationship Id="rId20" Type="http://schemas.openxmlformats.org/officeDocument/2006/relationships/footer" Target="footer4.xml"/><Relationship Id="rId41" Type="http://schemas.openxmlformats.org/officeDocument/2006/relationships/footer" Target="footer8.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4.xml.rels><?xml version="1.0" encoding="UTF-8" standalone="yes"?>
<Relationships xmlns="http://schemas.openxmlformats.org/package/2006/relationships"><Relationship Id="rId1" Type="http://schemas.openxmlformats.org/officeDocument/2006/relationships/image" Target="media/image3.png"/></Relationships>
</file>

<file path=word/_rels/footer5.xml.rels><?xml version="1.0" encoding="UTF-8" standalone="yes"?>
<Relationships xmlns="http://schemas.openxmlformats.org/package/2006/relationships"><Relationship Id="rId1" Type="http://schemas.openxmlformats.org/officeDocument/2006/relationships/image" Target="media/image3.png"/></Relationships>
</file>

<file path=word/_rels/footer7.xml.rels><?xml version="1.0" encoding="UTF-8" standalone="yes"?>
<Relationships xmlns="http://schemas.openxmlformats.org/package/2006/relationships"><Relationship Id="rId1" Type="http://schemas.openxmlformats.org/officeDocument/2006/relationships/image" Target="media/image3.png"/></Relationships>
</file>

<file path=word/_rels/footer8.xml.rels><?xml version="1.0" encoding="UTF-8" standalone="yes"?>
<Relationships xmlns="http://schemas.openxmlformats.org/package/2006/relationships"><Relationship Id="rId1" Type="http://schemas.openxmlformats.org/officeDocument/2006/relationships/image" Target="media/image3.png"/></Relationships>
</file>

<file path=word/_rels/footer9.xml.rels><?xml version="1.0" encoding="UTF-8" standalone="yes"?>
<Relationships xmlns="http://schemas.openxmlformats.org/package/2006/relationships"><Relationship Id="rId1" Type="http://schemas.openxmlformats.org/officeDocument/2006/relationships/image" Target="media/image3.png"/></Relationships>
</file>

<file path=word/_rels/footer10.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8B2A19DC-9CBA-4EF2-94CB-0D1CD9E78845}">
    <t:Anchor>
      <t:Comment id="1889709923"/>
    </t:Anchor>
    <t:History>
      <t:Event id="{0A5D298B-AAC8-4A8F-AB0F-212D28D877C2}" time="2026-04-26T02:05:01.882Z">
        <t:Attribution userId="S::sseibert@deloitte.com::3a1e2893-0e6b-486a-9b9f-fb8dc1b78bc5" userProvider="AD" userName="Seibert, Samuel"/>
        <t:Anchor>
          <t:Comment id="1889709923"/>
        </t:Anchor>
        <t:Create/>
      </t:Event>
      <t:Event id="{24EE9F17-5956-4124-847E-1087A9DAB6D6}" time="2026-04-26T02:05:01.882Z">
        <t:Attribution userId="S::sseibert@deloitte.com::3a1e2893-0e6b-486a-9b9f-fb8dc1b78bc5" userProvider="AD" userName="Seibert, Samuel"/>
        <t:Anchor>
          <t:Comment id="1889709923"/>
        </t:Anchor>
        <t:Assign userId="S::ngummo@deloitte.com::9bedb943-8149-43d8-8cd9-c2c4886beb20" userProvider="AD" userName="Gummo, Nick"/>
      </t:Event>
      <t:Event id="{9E291DC5-0CC0-4949-A267-1FCF075FB1ED}" time="2026-04-26T02:05:01.882Z">
        <t:Attribution userId="S::sseibert@deloitte.com::3a1e2893-0e6b-486a-9b9f-fb8dc1b78bc5" userProvider="AD" userName="Seibert, Samuel"/>
        <t:Anchor>
          <t:Comment id="1889709923"/>
        </t:Anchor>
        <t:SetTitle title="@Gummo, Nick "/>
      </t:Event>
      <t:Event id="{149AF97A-69B2-49DA-A96A-AFB4BB6D3744}" time="2026-04-26T15:21:46.193Z">
        <t:Attribution userId="S::ngummo@deloitte.com::9bedb943-8149-43d8-8cd9-c2c4886beb20" userProvider="AD" userName="Gummo, Nick"/>
        <t:Progress percentComplete="100"/>
      </t:Event>
    </t:History>
  </t:Task>
  <t:Task id="{CCBF8F2B-DF2C-42C4-8F21-4B794CF8DF29}">
    <t:Anchor>
      <t:Comment id="836069300"/>
    </t:Anchor>
    <t:History>
      <t:Event id="{80995CD5-9249-42ED-A508-2C4AF202CC35}" time="2026-04-26T00:57:20.889Z">
        <t:Attribution userId="S::pkrauseschmidt@deloitte.com::294c8113-155f-48a4-b102-0ad46e5653f0" userProvider="AD" userName="Krause Schmidt, Phil"/>
        <t:Anchor>
          <t:Comment id="318752527"/>
        </t:Anchor>
        <t:Create/>
      </t:Event>
      <t:Event id="{100661CD-A7D9-47E6-AC71-633F5476AB63}" time="2026-04-26T00:57:20.889Z">
        <t:Attribution userId="S::pkrauseschmidt@deloitte.com::294c8113-155f-48a4-b102-0ad46e5653f0" userProvider="AD" userName="Krause Schmidt, Phil"/>
        <t:Anchor>
          <t:Comment id="318752527"/>
        </t:Anchor>
        <t:Assign userId="S::gkelley@deloitte.com::338627c0-0d71-4a47-9eeb-337f606c9a28" userProvider="AD" userName="Kelley, Gabrielle"/>
      </t:Event>
      <t:Event id="{058B946C-FEE2-4104-9A6D-8DBC1AD73FCB}" time="2026-04-26T00:57:20.889Z">
        <t:Attribution userId="S::pkrauseschmidt@deloitte.com::294c8113-155f-48a4-b102-0ad46e5653f0" userProvider="AD" userName="Krause Schmidt, Phil"/>
        <t:Anchor>
          <t:Comment id="318752527"/>
        </t:Anchor>
        <t:SetTitle title="@Kelley, Gabrielle - any standout suggestions?"/>
      </t:Event>
    </t:History>
  </t:Task>
</t:Tasks>
</file>

<file path=word/theme/theme1.xml><?xml version="1.0" encoding="utf-8"?>
<a:theme xmlns:a="http://schemas.openxmlformats.org/drawingml/2006/main" name="Deloitte Brand Theme">
  <a:themeElements>
    <a:clrScheme name="Custom 1">
      <a:dk1>
        <a:sysClr val="windowText" lastClr="000000"/>
      </a:dk1>
      <a:lt1>
        <a:sysClr val="window" lastClr="FFFFFF"/>
      </a:lt1>
      <a:dk2>
        <a:srgbClr val="D0D0CE"/>
      </a:dk2>
      <a:lt2>
        <a:srgbClr val="53565A"/>
      </a:lt2>
      <a:accent1>
        <a:srgbClr val="86BC25"/>
      </a:accent1>
      <a:accent2>
        <a:srgbClr val="43B02A"/>
      </a:accent2>
      <a:accent3>
        <a:srgbClr val="26890D"/>
      </a:accent3>
      <a:accent4>
        <a:srgbClr val="046A38"/>
      </a:accent4>
      <a:accent5>
        <a:srgbClr val="0D8390"/>
      </a:accent5>
      <a:accent6>
        <a:srgbClr val="007CB0"/>
      </a:accent6>
      <a:hlink>
        <a:srgbClr val="00A3E0"/>
      </a:hlink>
      <a:folHlink>
        <a:srgbClr val="7F7F7F"/>
      </a:folHlink>
    </a:clrScheme>
    <a:fontScheme name="Deloitte">
      <a:majorFont>
        <a:latin typeface="Calibri"/>
        <a:ea typeface=""/>
        <a:cs typeface=""/>
      </a:majorFont>
      <a:minorFont>
        <a:latin typeface="Calibri Light"/>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gray">
        <a:solidFill>
          <a:schemeClr val="accent3"/>
        </a:solidFill>
        <a:ln w="19050" algn="ctr">
          <a:noFill/>
          <a:miter lim="800000"/>
          <a:headEnd/>
          <a:tailEnd/>
        </a:ln>
      </a:spPr>
      <a:bodyPr wrap="square" lIns="88900" tIns="88900" rIns="88900" bIns="88900" rtlCol="0" anchor="ctr"/>
      <a:lstStyle>
        <a:defPPr>
          <a:lnSpc>
            <a:spcPct val="106000"/>
          </a:lnSpc>
          <a:buFont typeface="Wingdings 2" pitchFamily="18" charset="2"/>
          <a:buNone/>
          <a:defRPr sz="1600" b="1" dirty="0" smtClean="0">
            <a:solidFill>
              <a:schemeClr val="bg1"/>
            </a:solidFill>
          </a:defRPr>
        </a:defPPr>
      </a:lstStyle>
    </a:spDef>
    <a:lnDef>
      <a:spPr>
        <a:ln>
          <a:solidFill>
            <a:schemeClr val="tx2"/>
          </a:solidFill>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spAutoFit/>
      </a:bodyPr>
      <a:lstStyle>
        <a:defPPr marL="203200" indent="-203200">
          <a:spcBef>
            <a:spcPts val="600"/>
          </a:spcBef>
          <a:buSzPct val="100000"/>
          <a:buFont typeface="Arial"/>
          <a:buChar char="•"/>
          <a:defRPr dirty="0" smtClean="0">
            <a:solidFill>
              <a:srgbClr val="313131"/>
            </a:solidFill>
          </a:defRPr>
        </a:defPPr>
      </a:lstStyle>
    </a:txDef>
  </a:objectDefaults>
  <a:extraClrSchemeLst/>
  <a:custClrLst>
    <a:custClr name="Green 7">
      <a:srgbClr val="2C5234"/>
    </a:custClr>
    <a:custClr name="Green 6">
      <a:srgbClr val="046A38"/>
    </a:custClr>
    <a:custClr name="Green 5">
      <a:srgbClr val="009A44"/>
    </a:custClr>
    <a:custClr name="Green 4">
      <a:srgbClr val="43B02A"/>
    </a:custClr>
    <a:custClr name="Deloitte Green">
      <a:srgbClr val="86BC25"/>
    </a:custClr>
    <a:custClr name="Green 2">
      <a:srgbClr val="C4D600"/>
    </a:custClr>
    <a:custClr name="Green 1">
      <a:srgbClr val="E3E48D"/>
    </a:custClr>
    <a:custClr name="Teal 7">
      <a:srgbClr val="004F59"/>
    </a:custClr>
    <a:custClr name="Teal 6">
      <a:srgbClr val="007680"/>
    </a:custClr>
    <a:custClr name="Teal 5">
      <a:srgbClr val="0097A9"/>
    </a:custClr>
    <a:custClr name="Teal 4">
      <a:srgbClr val="00ABAB"/>
    </a:custClr>
    <a:custClr name="Teal 3">
      <a:srgbClr val="6FC2B4"/>
    </a:custClr>
    <a:custClr name="Teal 2">
      <a:srgbClr val="9DD4CF"/>
    </a:custClr>
    <a:custClr name="Teal 1">
      <a:srgbClr val="DDEFE8"/>
    </a:custClr>
    <a:custClr name="Blue 7">
      <a:srgbClr val="041E42"/>
    </a:custClr>
    <a:custClr name="Blue 6">
      <a:srgbClr val="012169"/>
    </a:custClr>
    <a:custClr name="Blue 5">
      <a:srgbClr val="005587"/>
    </a:custClr>
    <a:custClr name="Blue 4">
      <a:srgbClr val="0076A8"/>
    </a:custClr>
    <a:custClr name="Blue 3">
      <a:srgbClr val="00A3E0"/>
    </a:custClr>
    <a:custClr name="Blue 2">
      <a:srgbClr val="62B5E5"/>
    </a:custClr>
    <a:custClr name="Blue 1">
      <a:srgbClr val="A0DCFF"/>
    </a:custClr>
    <a:custClr name="Cool Gray 11">
      <a:srgbClr val="53565A"/>
    </a:custClr>
    <a:custClr name="Cool Gray 10">
      <a:srgbClr val="63666A"/>
    </a:custClr>
    <a:custClr name="Cool Gray 9">
      <a:srgbClr val="75787B"/>
    </a:custClr>
    <a:custClr name="Cool Gray 7">
      <a:srgbClr val="97999B"/>
    </a:custClr>
    <a:custClr name="Cool Gray 6">
      <a:srgbClr val="A7A8AA"/>
    </a:custClr>
    <a:custClr name="Cool Gray 4">
      <a:srgbClr val="BBBCBC"/>
    </a:custClr>
    <a:custClr name="Cool Gray 2">
      <a:srgbClr val="D0D0CE"/>
    </a:custClr>
    <a:custClr name="White">
      <a:srgbClr val="FFFFFF"/>
    </a:custClr>
    <a:custClr name="Black">
      <a:srgbClr val="000000"/>
    </a:custClr>
    <a:custClr name="Red">
      <a:srgbClr val="DA291C"/>
    </a:custClr>
    <a:custClr name="Orange">
      <a:srgbClr val="ED8B00"/>
    </a:custClr>
    <a:custClr name="Yellow">
      <a:srgbClr val="FFCD00"/>
    </a:custClr>
  </a:custClrLst>
  <a:extLst>
    <a:ext uri="{05A4C25C-085E-4340-85A3-A5531E510DB2}">
      <thm15:themeFamily xmlns:thm15="http://schemas.microsoft.com/office/thememl/2012/main" name="Deloitte Brand Theme" id="{7CF146C4-F33C-4674-9F60-3E413DE8D245}" vid="{1FA3A202-160F-48F1-9CAA-9049691AC62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f37e940-8df3-44e9-8f15-d966bfd3441b" xsi:nil="true"/>
    <lcf76f155ced4ddcb4097134ff3c332f xmlns="da3f2a92-1c9c-4755-bc8f-0daa2db82bce">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1D99478A6FF65418A8B49C75DE27166" ma:contentTypeVersion="11" ma:contentTypeDescription="Create a new document." ma:contentTypeScope="" ma:versionID="a5caacd09d1d9ed53247a64000cbc98c">
  <xsd:schema xmlns:xsd="http://www.w3.org/2001/XMLSchema" xmlns:xs="http://www.w3.org/2001/XMLSchema" xmlns:p="http://schemas.microsoft.com/office/2006/metadata/properties" xmlns:ns2="da3f2a92-1c9c-4755-bc8f-0daa2db82bce" xmlns:ns3="ef37e940-8df3-44e9-8f15-d966bfd3441b" targetNamespace="http://schemas.microsoft.com/office/2006/metadata/properties" ma:root="true" ma:fieldsID="cb4c875419b0b8d09c1b0b076e9c02cf" ns2:_="" ns3:_="">
    <xsd:import namespace="da3f2a92-1c9c-4755-bc8f-0daa2db82bce"/>
    <xsd:import namespace="ef37e940-8df3-44e9-8f15-d966bfd344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3f2a92-1c9c-4755-bc8f-0daa2db82b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98d900d-0589-4081-96eb-513de833a507"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f37e940-8df3-44e9-8f15-d966bfd3441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ac0a3eb-e3ae-4c3b-9289-354fcf541515}" ma:internalName="TaxCatchAll" ma:showField="CatchAllData" ma:web="ef37e940-8df3-44e9-8f15-d966bfd344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C5B42F1-9690-493F-9CE3-CDB3AA31EB6F}">
  <ds:schemaRefs>
    <ds:schemaRef ds:uri="http://schemas.microsoft.com/office/2006/metadata/properties"/>
    <ds:schemaRef ds:uri="http://schemas.microsoft.com/office/infopath/2007/PartnerControls"/>
    <ds:schemaRef ds:uri="ef37e940-8df3-44e9-8f15-d966bfd3441b"/>
    <ds:schemaRef ds:uri="da3f2a92-1c9c-4755-bc8f-0daa2db82bce"/>
  </ds:schemaRefs>
</ds:datastoreItem>
</file>

<file path=customXml/itemProps2.xml><?xml version="1.0" encoding="utf-8"?>
<ds:datastoreItem xmlns:ds="http://schemas.openxmlformats.org/officeDocument/2006/customXml" ds:itemID="{B27B83EA-1CE5-407E-97F2-7B6C09C46FE7}">
  <ds:schemaRefs>
    <ds:schemaRef ds:uri="http://schemas.openxmlformats.org/officeDocument/2006/bibliography"/>
  </ds:schemaRefs>
</ds:datastoreItem>
</file>

<file path=customXml/itemProps3.xml><?xml version="1.0" encoding="utf-8"?>
<ds:datastoreItem xmlns:ds="http://schemas.openxmlformats.org/officeDocument/2006/customXml" ds:itemID="{0C9962B1-4E76-4567-8CB3-39CDF48D7EB1}">
  <ds:schemaRefs>
    <ds:schemaRef ds:uri="http://schemas.microsoft.com/sharepoint/v3/contenttype/forms"/>
  </ds:schemaRefs>
</ds:datastoreItem>
</file>

<file path=customXml/itemProps4.xml><?xml version="1.0" encoding="utf-8"?>
<ds:datastoreItem xmlns:ds="http://schemas.openxmlformats.org/officeDocument/2006/customXml" ds:itemID="{648B73C4-1D0C-48B9-996A-10E55F4AA6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3f2a92-1c9c-4755-bc8f-0daa2db82bce"/>
    <ds:schemaRef ds:uri="ef37e940-8df3-44e9-8f15-d966bfd344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95</Pages>
  <Words>33099</Words>
  <Characters>188665</Characters>
  <Application>Microsoft Office Word</Application>
  <DocSecurity>0</DocSecurity>
  <Lines>1572</Lines>
  <Paragraphs>442</Paragraphs>
  <ScaleCrop>false</ScaleCrop>
  <HeadingPairs>
    <vt:vector size="2" baseType="variant">
      <vt:variant>
        <vt:lpstr>Title</vt:lpstr>
      </vt:variant>
      <vt:variant>
        <vt:i4>1</vt:i4>
      </vt:variant>
    </vt:vector>
  </HeadingPairs>
  <TitlesOfParts>
    <vt:vector size="1" baseType="lpstr">
      <vt:lpstr/>
    </vt:vector>
  </TitlesOfParts>
  <Company>Deloitte</Company>
  <LinksUpToDate>false</LinksUpToDate>
  <CharactersWithSpaces>221322</CharactersWithSpaces>
  <SharedDoc>false</SharedDoc>
  <HLinks>
    <vt:vector size="252" baseType="variant">
      <vt:variant>
        <vt:i4>1572912</vt:i4>
      </vt:variant>
      <vt:variant>
        <vt:i4>287</vt:i4>
      </vt:variant>
      <vt:variant>
        <vt:i4>0</vt:i4>
      </vt:variant>
      <vt:variant>
        <vt:i4>5</vt:i4>
      </vt:variant>
      <vt:variant>
        <vt:lpwstr/>
      </vt:variant>
      <vt:variant>
        <vt:lpwstr>_Toc534622388</vt:lpwstr>
      </vt:variant>
      <vt:variant>
        <vt:i4>1572912</vt:i4>
      </vt:variant>
      <vt:variant>
        <vt:i4>278</vt:i4>
      </vt:variant>
      <vt:variant>
        <vt:i4>0</vt:i4>
      </vt:variant>
      <vt:variant>
        <vt:i4>5</vt:i4>
      </vt:variant>
      <vt:variant>
        <vt:lpwstr/>
      </vt:variant>
      <vt:variant>
        <vt:lpwstr>_Toc534622387</vt:lpwstr>
      </vt:variant>
      <vt:variant>
        <vt:i4>1966143</vt:i4>
      </vt:variant>
      <vt:variant>
        <vt:i4>269</vt:i4>
      </vt:variant>
      <vt:variant>
        <vt:i4>0</vt:i4>
      </vt:variant>
      <vt:variant>
        <vt:i4>5</vt:i4>
      </vt:variant>
      <vt:variant>
        <vt:lpwstr/>
      </vt:variant>
      <vt:variant>
        <vt:lpwstr>_Toc227883209</vt:lpwstr>
      </vt:variant>
      <vt:variant>
        <vt:i4>1966143</vt:i4>
      </vt:variant>
      <vt:variant>
        <vt:i4>263</vt:i4>
      </vt:variant>
      <vt:variant>
        <vt:i4>0</vt:i4>
      </vt:variant>
      <vt:variant>
        <vt:i4>5</vt:i4>
      </vt:variant>
      <vt:variant>
        <vt:lpwstr/>
      </vt:variant>
      <vt:variant>
        <vt:lpwstr>_Toc227883208</vt:lpwstr>
      </vt:variant>
      <vt:variant>
        <vt:i4>1966143</vt:i4>
      </vt:variant>
      <vt:variant>
        <vt:i4>257</vt:i4>
      </vt:variant>
      <vt:variant>
        <vt:i4>0</vt:i4>
      </vt:variant>
      <vt:variant>
        <vt:i4>5</vt:i4>
      </vt:variant>
      <vt:variant>
        <vt:lpwstr/>
      </vt:variant>
      <vt:variant>
        <vt:lpwstr>_Toc227883207</vt:lpwstr>
      </vt:variant>
      <vt:variant>
        <vt:i4>1966143</vt:i4>
      </vt:variant>
      <vt:variant>
        <vt:i4>251</vt:i4>
      </vt:variant>
      <vt:variant>
        <vt:i4>0</vt:i4>
      </vt:variant>
      <vt:variant>
        <vt:i4>5</vt:i4>
      </vt:variant>
      <vt:variant>
        <vt:lpwstr/>
      </vt:variant>
      <vt:variant>
        <vt:lpwstr>_Toc227883206</vt:lpwstr>
      </vt:variant>
      <vt:variant>
        <vt:i4>1966143</vt:i4>
      </vt:variant>
      <vt:variant>
        <vt:i4>245</vt:i4>
      </vt:variant>
      <vt:variant>
        <vt:i4>0</vt:i4>
      </vt:variant>
      <vt:variant>
        <vt:i4>5</vt:i4>
      </vt:variant>
      <vt:variant>
        <vt:lpwstr/>
      </vt:variant>
      <vt:variant>
        <vt:lpwstr>_Toc227883205</vt:lpwstr>
      </vt:variant>
      <vt:variant>
        <vt:i4>1966143</vt:i4>
      </vt:variant>
      <vt:variant>
        <vt:i4>239</vt:i4>
      </vt:variant>
      <vt:variant>
        <vt:i4>0</vt:i4>
      </vt:variant>
      <vt:variant>
        <vt:i4>5</vt:i4>
      </vt:variant>
      <vt:variant>
        <vt:lpwstr/>
      </vt:variant>
      <vt:variant>
        <vt:lpwstr>_Toc227883204</vt:lpwstr>
      </vt:variant>
      <vt:variant>
        <vt:i4>1966143</vt:i4>
      </vt:variant>
      <vt:variant>
        <vt:i4>233</vt:i4>
      </vt:variant>
      <vt:variant>
        <vt:i4>0</vt:i4>
      </vt:variant>
      <vt:variant>
        <vt:i4>5</vt:i4>
      </vt:variant>
      <vt:variant>
        <vt:lpwstr/>
      </vt:variant>
      <vt:variant>
        <vt:lpwstr>_Toc227883203</vt:lpwstr>
      </vt:variant>
      <vt:variant>
        <vt:i4>1966143</vt:i4>
      </vt:variant>
      <vt:variant>
        <vt:i4>227</vt:i4>
      </vt:variant>
      <vt:variant>
        <vt:i4>0</vt:i4>
      </vt:variant>
      <vt:variant>
        <vt:i4>5</vt:i4>
      </vt:variant>
      <vt:variant>
        <vt:lpwstr/>
      </vt:variant>
      <vt:variant>
        <vt:lpwstr>_Toc227883202</vt:lpwstr>
      </vt:variant>
      <vt:variant>
        <vt:i4>1966143</vt:i4>
      </vt:variant>
      <vt:variant>
        <vt:i4>221</vt:i4>
      </vt:variant>
      <vt:variant>
        <vt:i4>0</vt:i4>
      </vt:variant>
      <vt:variant>
        <vt:i4>5</vt:i4>
      </vt:variant>
      <vt:variant>
        <vt:lpwstr/>
      </vt:variant>
      <vt:variant>
        <vt:lpwstr>_Toc227883201</vt:lpwstr>
      </vt:variant>
      <vt:variant>
        <vt:i4>1966143</vt:i4>
      </vt:variant>
      <vt:variant>
        <vt:i4>215</vt:i4>
      </vt:variant>
      <vt:variant>
        <vt:i4>0</vt:i4>
      </vt:variant>
      <vt:variant>
        <vt:i4>5</vt:i4>
      </vt:variant>
      <vt:variant>
        <vt:lpwstr/>
      </vt:variant>
      <vt:variant>
        <vt:lpwstr>_Toc227883200</vt:lpwstr>
      </vt:variant>
      <vt:variant>
        <vt:i4>1507388</vt:i4>
      </vt:variant>
      <vt:variant>
        <vt:i4>209</vt:i4>
      </vt:variant>
      <vt:variant>
        <vt:i4>0</vt:i4>
      </vt:variant>
      <vt:variant>
        <vt:i4>5</vt:i4>
      </vt:variant>
      <vt:variant>
        <vt:lpwstr/>
      </vt:variant>
      <vt:variant>
        <vt:lpwstr>_Toc227883199</vt:lpwstr>
      </vt:variant>
      <vt:variant>
        <vt:i4>1507388</vt:i4>
      </vt:variant>
      <vt:variant>
        <vt:i4>203</vt:i4>
      </vt:variant>
      <vt:variant>
        <vt:i4>0</vt:i4>
      </vt:variant>
      <vt:variant>
        <vt:i4>5</vt:i4>
      </vt:variant>
      <vt:variant>
        <vt:lpwstr/>
      </vt:variant>
      <vt:variant>
        <vt:lpwstr>_Toc227883198</vt:lpwstr>
      </vt:variant>
      <vt:variant>
        <vt:i4>1507388</vt:i4>
      </vt:variant>
      <vt:variant>
        <vt:i4>197</vt:i4>
      </vt:variant>
      <vt:variant>
        <vt:i4>0</vt:i4>
      </vt:variant>
      <vt:variant>
        <vt:i4>5</vt:i4>
      </vt:variant>
      <vt:variant>
        <vt:lpwstr/>
      </vt:variant>
      <vt:variant>
        <vt:lpwstr>_Toc227883197</vt:lpwstr>
      </vt:variant>
      <vt:variant>
        <vt:i4>1507388</vt:i4>
      </vt:variant>
      <vt:variant>
        <vt:i4>191</vt:i4>
      </vt:variant>
      <vt:variant>
        <vt:i4>0</vt:i4>
      </vt:variant>
      <vt:variant>
        <vt:i4>5</vt:i4>
      </vt:variant>
      <vt:variant>
        <vt:lpwstr/>
      </vt:variant>
      <vt:variant>
        <vt:lpwstr>_Toc227883196</vt:lpwstr>
      </vt:variant>
      <vt:variant>
        <vt:i4>1507388</vt:i4>
      </vt:variant>
      <vt:variant>
        <vt:i4>185</vt:i4>
      </vt:variant>
      <vt:variant>
        <vt:i4>0</vt:i4>
      </vt:variant>
      <vt:variant>
        <vt:i4>5</vt:i4>
      </vt:variant>
      <vt:variant>
        <vt:lpwstr/>
      </vt:variant>
      <vt:variant>
        <vt:lpwstr>_Toc227883195</vt:lpwstr>
      </vt:variant>
      <vt:variant>
        <vt:i4>1507388</vt:i4>
      </vt:variant>
      <vt:variant>
        <vt:i4>179</vt:i4>
      </vt:variant>
      <vt:variant>
        <vt:i4>0</vt:i4>
      </vt:variant>
      <vt:variant>
        <vt:i4>5</vt:i4>
      </vt:variant>
      <vt:variant>
        <vt:lpwstr/>
      </vt:variant>
      <vt:variant>
        <vt:lpwstr>_Toc227883194</vt:lpwstr>
      </vt:variant>
      <vt:variant>
        <vt:i4>1507388</vt:i4>
      </vt:variant>
      <vt:variant>
        <vt:i4>173</vt:i4>
      </vt:variant>
      <vt:variant>
        <vt:i4>0</vt:i4>
      </vt:variant>
      <vt:variant>
        <vt:i4>5</vt:i4>
      </vt:variant>
      <vt:variant>
        <vt:lpwstr/>
      </vt:variant>
      <vt:variant>
        <vt:lpwstr>_Toc227883193</vt:lpwstr>
      </vt:variant>
      <vt:variant>
        <vt:i4>1507388</vt:i4>
      </vt:variant>
      <vt:variant>
        <vt:i4>167</vt:i4>
      </vt:variant>
      <vt:variant>
        <vt:i4>0</vt:i4>
      </vt:variant>
      <vt:variant>
        <vt:i4>5</vt:i4>
      </vt:variant>
      <vt:variant>
        <vt:lpwstr/>
      </vt:variant>
      <vt:variant>
        <vt:lpwstr>_Toc227883192</vt:lpwstr>
      </vt:variant>
      <vt:variant>
        <vt:i4>1507388</vt:i4>
      </vt:variant>
      <vt:variant>
        <vt:i4>161</vt:i4>
      </vt:variant>
      <vt:variant>
        <vt:i4>0</vt:i4>
      </vt:variant>
      <vt:variant>
        <vt:i4>5</vt:i4>
      </vt:variant>
      <vt:variant>
        <vt:lpwstr/>
      </vt:variant>
      <vt:variant>
        <vt:lpwstr>_Toc227883191</vt:lpwstr>
      </vt:variant>
      <vt:variant>
        <vt:i4>1507388</vt:i4>
      </vt:variant>
      <vt:variant>
        <vt:i4>155</vt:i4>
      </vt:variant>
      <vt:variant>
        <vt:i4>0</vt:i4>
      </vt:variant>
      <vt:variant>
        <vt:i4>5</vt:i4>
      </vt:variant>
      <vt:variant>
        <vt:lpwstr/>
      </vt:variant>
      <vt:variant>
        <vt:lpwstr>_Toc227883190</vt:lpwstr>
      </vt:variant>
      <vt:variant>
        <vt:i4>1441852</vt:i4>
      </vt:variant>
      <vt:variant>
        <vt:i4>149</vt:i4>
      </vt:variant>
      <vt:variant>
        <vt:i4>0</vt:i4>
      </vt:variant>
      <vt:variant>
        <vt:i4>5</vt:i4>
      </vt:variant>
      <vt:variant>
        <vt:lpwstr/>
      </vt:variant>
      <vt:variant>
        <vt:lpwstr>_Toc227883189</vt:lpwstr>
      </vt:variant>
      <vt:variant>
        <vt:i4>1441852</vt:i4>
      </vt:variant>
      <vt:variant>
        <vt:i4>143</vt:i4>
      </vt:variant>
      <vt:variant>
        <vt:i4>0</vt:i4>
      </vt:variant>
      <vt:variant>
        <vt:i4>5</vt:i4>
      </vt:variant>
      <vt:variant>
        <vt:lpwstr/>
      </vt:variant>
      <vt:variant>
        <vt:lpwstr>_Toc227883188</vt:lpwstr>
      </vt:variant>
      <vt:variant>
        <vt:i4>1441852</vt:i4>
      </vt:variant>
      <vt:variant>
        <vt:i4>137</vt:i4>
      </vt:variant>
      <vt:variant>
        <vt:i4>0</vt:i4>
      </vt:variant>
      <vt:variant>
        <vt:i4>5</vt:i4>
      </vt:variant>
      <vt:variant>
        <vt:lpwstr/>
      </vt:variant>
      <vt:variant>
        <vt:lpwstr>_Toc227883187</vt:lpwstr>
      </vt:variant>
      <vt:variant>
        <vt:i4>1441852</vt:i4>
      </vt:variant>
      <vt:variant>
        <vt:i4>131</vt:i4>
      </vt:variant>
      <vt:variant>
        <vt:i4>0</vt:i4>
      </vt:variant>
      <vt:variant>
        <vt:i4>5</vt:i4>
      </vt:variant>
      <vt:variant>
        <vt:lpwstr/>
      </vt:variant>
      <vt:variant>
        <vt:lpwstr>_Toc227883186</vt:lpwstr>
      </vt:variant>
      <vt:variant>
        <vt:i4>1441852</vt:i4>
      </vt:variant>
      <vt:variant>
        <vt:i4>125</vt:i4>
      </vt:variant>
      <vt:variant>
        <vt:i4>0</vt:i4>
      </vt:variant>
      <vt:variant>
        <vt:i4>5</vt:i4>
      </vt:variant>
      <vt:variant>
        <vt:lpwstr/>
      </vt:variant>
      <vt:variant>
        <vt:lpwstr>_Toc227883185</vt:lpwstr>
      </vt:variant>
      <vt:variant>
        <vt:i4>1441852</vt:i4>
      </vt:variant>
      <vt:variant>
        <vt:i4>119</vt:i4>
      </vt:variant>
      <vt:variant>
        <vt:i4>0</vt:i4>
      </vt:variant>
      <vt:variant>
        <vt:i4>5</vt:i4>
      </vt:variant>
      <vt:variant>
        <vt:lpwstr/>
      </vt:variant>
      <vt:variant>
        <vt:lpwstr>_Toc227883184</vt:lpwstr>
      </vt:variant>
      <vt:variant>
        <vt:i4>1441852</vt:i4>
      </vt:variant>
      <vt:variant>
        <vt:i4>113</vt:i4>
      </vt:variant>
      <vt:variant>
        <vt:i4>0</vt:i4>
      </vt:variant>
      <vt:variant>
        <vt:i4>5</vt:i4>
      </vt:variant>
      <vt:variant>
        <vt:lpwstr/>
      </vt:variant>
      <vt:variant>
        <vt:lpwstr>_Toc227883183</vt:lpwstr>
      </vt:variant>
      <vt:variant>
        <vt:i4>1441852</vt:i4>
      </vt:variant>
      <vt:variant>
        <vt:i4>107</vt:i4>
      </vt:variant>
      <vt:variant>
        <vt:i4>0</vt:i4>
      </vt:variant>
      <vt:variant>
        <vt:i4>5</vt:i4>
      </vt:variant>
      <vt:variant>
        <vt:lpwstr/>
      </vt:variant>
      <vt:variant>
        <vt:lpwstr>_Toc227883182</vt:lpwstr>
      </vt:variant>
      <vt:variant>
        <vt:i4>1441852</vt:i4>
      </vt:variant>
      <vt:variant>
        <vt:i4>101</vt:i4>
      </vt:variant>
      <vt:variant>
        <vt:i4>0</vt:i4>
      </vt:variant>
      <vt:variant>
        <vt:i4>5</vt:i4>
      </vt:variant>
      <vt:variant>
        <vt:lpwstr/>
      </vt:variant>
      <vt:variant>
        <vt:lpwstr>_Toc227883181</vt:lpwstr>
      </vt:variant>
      <vt:variant>
        <vt:i4>1441852</vt:i4>
      </vt:variant>
      <vt:variant>
        <vt:i4>95</vt:i4>
      </vt:variant>
      <vt:variant>
        <vt:i4>0</vt:i4>
      </vt:variant>
      <vt:variant>
        <vt:i4>5</vt:i4>
      </vt:variant>
      <vt:variant>
        <vt:lpwstr/>
      </vt:variant>
      <vt:variant>
        <vt:lpwstr>_Toc227883180</vt:lpwstr>
      </vt:variant>
      <vt:variant>
        <vt:i4>1638460</vt:i4>
      </vt:variant>
      <vt:variant>
        <vt:i4>89</vt:i4>
      </vt:variant>
      <vt:variant>
        <vt:i4>0</vt:i4>
      </vt:variant>
      <vt:variant>
        <vt:i4>5</vt:i4>
      </vt:variant>
      <vt:variant>
        <vt:lpwstr/>
      </vt:variant>
      <vt:variant>
        <vt:lpwstr>_Toc227883179</vt:lpwstr>
      </vt:variant>
      <vt:variant>
        <vt:i4>1638460</vt:i4>
      </vt:variant>
      <vt:variant>
        <vt:i4>83</vt:i4>
      </vt:variant>
      <vt:variant>
        <vt:i4>0</vt:i4>
      </vt:variant>
      <vt:variant>
        <vt:i4>5</vt:i4>
      </vt:variant>
      <vt:variant>
        <vt:lpwstr/>
      </vt:variant>
      <vt:variant>
        <vt:lpwstr>_Toc227883178</vt:lpwstr>
      </vt:variant>
      <vt:variant>
        <vt:i4>1638460</vt:i4>
      </vt:variant>
      <vt:variant>
        <vt:i4>77</vt:i4>
      </vt:variant>
      <vt:variant>
        <vt:i4>0</vt:i4>
      </vt:variant>
      <vt:variant>
        <vt:i4>5</vt:i4>
      </vt:variant>
      <vt:variant>
        <vt:lpwstr/>
      </vt:variant>
      <vt:variant>
        <vt:lpwstr>_Toc227883177</vt:lpwstr>
      </vt:variant>
      <vt:variant>
        <vt:i4>1638460</vt:i4>
      </vt:variant>
      <vt:variant>
        <vt:i4>71</vt:i4>
      </vt:variant>
      <vt:variant>
        <vt:i4>0</vt:i4>
      </vt:variant>
      <vt:variant>
        <vt:i4>5</vt:i4>
      </vt:variant>
      <vt:variant>
        <vt:lpwstr/>
      </vt:variant>
      <vt:variant>
        <vt:lpwstr>_Toc227883176</vt:lpwstr>
      </vt:variant>
      <vt:variant>
        <vt:i4>1638460</vt:i4>
      </vt:variant>
      <vt:variant>
        <vt:i4>65</vt:i4>
      </vt:variant>
      <vt:variant>
        <vt:i4>0</vt:i4>
      </vt:variant>
      <vt:variant>
        <vt:i4>5</vt:i4>
      </vt:variant>
      <vt:variant>
        <vt:lpwstr/>
      </vt:variant>
      <vt:variant>
        <vt:lpwstr>_Toc227883175</vt:lpwstr>
      </vt:variant>
      <vt:variant>
        <vt:i4>1638460</vt:i4>
      </vt:variant>
      <vt:variant>
        <vt:i4>59</vt:i4>
      </vt:variant>
      <vt:variant>
        <vt:i4>0</vt:i4>
      </vt:variant>
      <vt:variant>
        <vt:i4>5</vt:i4>
      </vt:variant>
      <vt:variant>
        <vt:lpwstr/>
      </vt:variant>
      <vt:variant>
        <vt:lpwstr>_Toc227883174</vt:lpwstr>
      </vt:variant>
      <vt:variant>
        <vt:i4>6094948</vt:i4>
      </vt:variant>
      <vt:variant>
        <vt:i4>9</vt:i4>
      </vt:variant>
      <vt:variant>
        <vt:i4>0</vt:i4>
      </vt:variant>
      <vt:variant>
        <vt:i4>5</vt:i4>
      </vt:variant>
      <vt:variant>
        <vt:lpwstr>mailto:moraut@deloitte.com</vt:lpwstr>
      </vt:variant>
      <vt:variant>
        <vt:lpwstr/>
      </vt:variant>
      <vt:variant>
        <vt:i4>4259963</vt:i4>
      </vt:variant>
      <vt:variant>
        <vt:i4>6</vt:i4>
      </vt:variant>
      <vt:variant>
        <vt:i4>0</vt:i4>
      </vt:variant>
      <vt:variant>
        <vt:i4>5</vt:i4>
      </vt:variant>
      <vt:variant>
        <vt:lpwstr>mailto:ngummo@deloitte.com</vt:lpwstr>
      </vt:variant>
      <vt:variant>
        <vt:lpwstr/>
      </vt:variant>
      <vt:variant>
        <vt:i4>4653165</vt:i4>
      </vt:variant>
      <vt:variant>
        <vt:i4>3</vt:i4>
      </vt:variant>
      <vt:variant>
        <vt:i4>0</vt:i4>
      </vt:variant>
      <vt:variant>
        <vt:i4>5</vt:i4>
      </vt:variant>
      <vt:variant>
        <vt:lpwstr>mailto:abhabhatnagar@deloitte.com</vt:lpwstr>
      </vt:variant>
      <vt:variant>
        <vt:lpwstr/>
      </vt:variant>
      <vt:variant>
        <vt:i4>2162704</vt:i4>
      </vt:variant>
      <vt:variant>
        <vt:i4>0</vt:i4>
      </vt:variant>
      <vt:variant>
        <vt:i4>0</vt:i4>
      </vt:variant>
      <vt:variant>
        <vt:i4>5</vt:i4>
      </vt:variant>
      <vt:variant>
        <vt:lpwstr>mailto:gkelley@deloitte.com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McReynolds, Haley</dc:creator>
  <cp:keywords/>
  <cp:lastModifiedBy>Loftis, Tyler M</cp:lastModifiedBy>
  <cp:revision>2</cp:revision>
  <cp:lastPrinted>2016-12-11T09:43:00Z</cp:lastPrinted>
  <dcterms:created xsi:type="dcterms:W3CDTF">2026-04-28T11:16:00Z</dcterms:created>
  <dcterms:modified xsi:type="dcterms:W3CDTF">2026-04-28T11:16:00Z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a60d57e-af5b-4752-ac57-3e4f28ca11dc_Enabled">
    <vt:lpwstr>true</vt:lpwstr>
  </property>
  <property fmtid="{D5CDD505-2E9C-101B-9397-08002B2CF9AE}" pid="3" name="MSIP_Label_ea60d57e-af5b-4752-ac57-3e4f28ca11dc_SetDate">
    <vt:lpwstr>2021-03-17T15:32:19Z</vt:lpwstr>
  </property>
  <property fmtid="{D5CDD505-2E9C-101B-9397-08002B2CF9AE}" pid="4" name="MSIP_Label_ea60d57e-af5b-4752-ac57-3e4f28ca11dc_Method">
    <vt:lpwstr>Standard</vt:lpwstr>
  </property>
  <property fmtid="{D5CDD505-2E9C-101B-9397-08002B2CF9AE}" pid="5" name="MSIP_Label_ea60d57e-af5b-4752-ac57-3e4f28ca11dc_Name">
    <vt:lpwstr>ea60d57e-af5b-4752-ac57-3e4f28ca11dc</vt:lpwstr>
  </property>
  <property fmtid="{D5CDD505-2E9C-101B-9397-08002B2CF9AE}" pid="6" name="MSIP_Label_ea60d57e-af5b-4752-ac57-3e4f28ca11dc_SiteId">
    <vt:lpwstr>36da45f1-dd2c-4d1f-af13-5abe46b99921</vt:lpwstr>
  </property>
  <property fmtid="{D5CDD505-2E9C-101B-9397-08002B2CF9AE}" pid="7" name="MSIP_Label_ea60d57e-af5b-4752-ac57-3e4f28ca11dc_ActionId">
    <vt:lpwstr>f7bada42-639b-4d89-8c45-cdb78a7caa6e</vt:lpwstr>
  </property>
  <property fmtid="{D5CDD505-2E9C-101B-9397-08002B2CF9AE}" pid="8" name="MSIP_Label_ea60d57e-af5b-4752-ac57-3e4f28ca11dc_ContentBits">
    <vt:lpwstr>0</vt:lpwstr>
  </property>
  <property fmtid="{D5CDD505-2E9C-101B-9397-08002B2CF9AE}" pid="9" name="ContentTypeId">
    <vt:lpwstr>0x01010061D99478A6FF65418A8B49C75DE27166</vt:lpwstr>
  </property>
  <property fmtid="{D5CDD505-2E9C-101B-9397-08002B2CF9AE}" pid="10" name="MediaServiceImageTags">
    <vt:lpwstr/>
  </property>
  <property fmtid="{D5CDD505-2E9C-101B-9397-08002B2CF9AE}" pid="11" name="docLang">
    <vt:lpwstr>en</vt:lpwstr>
  </property>
  <property fmtid="{D5CDD505-2E9C-101B-9397-08002B2CF9AE}" pid="12" name="GrammarlyDocumentId">
    <vt:lpwstr>b4a29bee-4cd6-48c4-bee4-8fccf2fbbf05</vt:lpwstr>
  </property>
</Properties>
</file>