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 xml:space="preserve">Our management approach is designed to provide CMS with a disciplined, integrated operating model for the full Enrollment Reconciliation and Resolution (ER&amp;R) scope. </w:t>
      </w:r>
      <w:commentRangeEnd w:id="90"/>
      <w:r w:rsidR="004A3D30">
        <w:rPr>
          <w:rStyle w:val="CommentReference"/>
          <w:sz w:val="24"/>
          <w:szCs w:val="22"/>
        </w:rPr>
        <w:commentReference w:id="90"/>
      </w:r>
      <w:commentRangeEnd w:id="91"/>
      <w:r>
        <w:rPr>
          <w:rStyle w:val="CommentReference"/>
          <w:sz w:val="24"/>
          <w:szCs w:val="22"/>
        </w:rPr>
        <w:commentReference w:id="91"/>
      </w:r>
      <w:r>
        <w:t xml:space="preserve">We will manage the program as one coordinated environment that brings together issuer dispute resolution, Form 1095-A consumer dispute support, complex case handling, contact center operations, reporting, technology support, program integrity activities, and ad hoc/special project work under a unified governance structure. This approach ensures that work is not performed in silos; instead, business operations, analytics, technology, quality oversight, and leadership decision-making function together through common management routines, shared priorities, and clearly defined accountability. </w:t>
      </w:r>
      <w:r w:rsidRPr="00DD7489">
        <w:rPr>
          <w:rStyle w:val="CharacterBold"/>
        </w:rPr>
        <w:t>While ER&amp;R depends on analytics, technology, reporting, and support functions, the core mission of the program is case resolution</w:t>
      </w:r>
      <w:r w:rsidRPr="006909BC">
        <w:rPr>
          <w:b/>
        </w:rPr>
        <w:t>.</w:t>
      </w:r>
      <w:r>
        <w:t xml:space="preserve"> Our management approach therefore organizes all enabling functions around the timely, accurate, and controlled execution of casework.</w:t>
      </w:r>
      <w:commentRangeEnd w:id="92"/>
      <w:r w:rsidR="00887F22">
        <w:rPr>
          <w:rStyle w:val="CommentReference"/>
          <w:sz w:val="24"/>
          <w:szCs w:val="22"/>
        </w:rPr>
        <w:commentReference w:id="92"/>
      </w:r>
      <w:commentRangeEnd w:id="93"/>
      <w:r w:rsidR="00241FD6">
        <w:rPr>
          <w:rStyle w:val="CommentReference"/>
          <w:sz w:val="24"/>
          <w:szCs w:val="22"/>
        </w:rPr>
        <w:commentReference w:id="93"/>
      </w:r>
    </w:p>
    <w:p w14:paraId="7D08016B" w14:textId="6524BF74" w:rsidR="009F2DA5" w:rsidRDefault="009F2DA5" w:rsidP="009F2DA5">
      <w:pPr>
        <w:pStyle w:val="BodyText"/>
      </w:pPr>
      <w:r>
        <w:t xml:space="preserve">At </w:t>
      </w:r>
      <w:commentRangeStart w:id="94"/>
      <w:r>
        <w:t xml:space="preserve">the </w:t>
      </w:r>
      <w:commentRangeEnd w:id="94"/>
      <w:r w:rsidR="00241FD6">
        <w:rPr>
          <w:rStyle w:val="CommentReference"/>
          <w:sz w:val="24"/>
          <w:szCs w:val="22"/>
        </w:rPr>
        <w:commentReference w:id="94"/>
      </w:r>
      <w:r>
        <w:t xml:space="preserve">core of our approach is an integrated management structure that provides CMS with clear ownership, defined escalation paths, and transparent decision-making across all aspects of contract performance. We will align operational leadership, technical leadership, quality leadership, and program management so that interdependencies are actively managed across casework, call center support, reporting, systems operations, and special requests. This structure enables rapid issue resolution, better workload coordination, and stronger visibility into performance across the entire ER&amp;R environment. </w:t>
      </w:r>
      <w:r w:rsidRPr="00DD7489">
        <w:rPr>
          <w:rStyle w:val="CharacterBold"/>
        </w:rPr>
        <w:t>Because ER&amp;R requires simultaneous support for casework, contact center operations, reporting, systems support, quality activities, surge response, and special projects, our management model is designed to coordinate parallel workstreams through one integrated baseline and one escalation structure rather than through separate functional silos.</w:t>
      </w:r>
      <w:r>
        <w:t xml:space="preserve"> This is especially important in ER&amp;R because the environment is multi-system, multi-vendor, and multi-stakeholder, with dependencies that extend beyond any one team’s direct control.</w:t>
      </w:r>
    </w:p>
    <w:p w14:paraId="58836A32" w14:textId="15D84596" w:rsidR="009F2DA5" w:rsidRPr="00B23D8B" w:rsidRDefault="009F2DA5" w:rsidP="009F2DA5">
      <w:pPr>
        <w:pStyle w:val="BodyText"/>
      </w:pPr>
      <w:r>
        <w:t xml:space="preserve">Our approach </w:t>
      </w:r>
      <w:r w:rsidRPr="00DD7489">
        <w:rPr>
          <w:rStyle w:val="CharacterBold"/>
        </w:rPr>
        <w:t>balances current-state operational continuity with future-state improvement</w:t>
      </w:r>
      <w:r>
        <w:t>. We understand that CMS requires uninterrupted performance from day one, and we will therefore operate and stabilize the existing environment while establishing the governance, readiness processes, and delivery controls needed to introduce targeted enhancements over time. We will use a phased approach that begins with transition and operational stabilization, advances into controlled process and technology improvements, and supports broader modernization opportunities only as directed and approved by CMS. In this way, modernization is managed as a business-led and risk-aware activity—not as a stand-alone technology exercise. This reflects a year-one operating posture centered on stability, continuity, and low-risk execution first, with broader improvement opportunities pursued only after the program is operating under control.</w:t>
      </w:r>
    </w:p>
    <w:p w14:paraId="0DB67D10" w14:textId="198C0180" w:rsidR="00074BEF" w:rsidRPr="00B23D8B" w:rsidRDefault="0054721F" w:rsidP="009F2DA5">
      <w:pPr>
        <w:pStyle w:val="BodyText"/>
      </w:pPr>
      <w:r w:rsidRPr="0054721F">
        <w:t xml:space="preserve">We will use the Project Implementation and Oversight Plan (PIOP) as the primary management instrument for ER&amp;R mobilization, execution, and ongoing contract oversight. The PIOP will establish the operational baseline for implementation and performance management, giving CMS clear line of sight into workstream structure, milestone sequencing, management controls, and the mechanisms we will use to sustain continuity while standing up the program. It will also serve as the primary management vehicle for scope </w:t>
      </w:r>
      <w:r w:rsidRPr="0054721F">
        <w:lastRenderedPageBreak/>
        <w:t>alignment, schedule and milestone control, cost visibility, communication management, and cross-workstream coordination throughout startup and ongoing performance</w:t>
      </w:r>
      <w:r w:rsidR="005F08C6">
        <w:t xml:space="preserve"> </w:t>
      </w:r>
      <w:r w:rsidR="00B469A1">
        <w:t>(</w:t>
      </w:r>
      <w:r w:rsidR="00B469A1" w:rsidRPr="00B469A1">
        <w:rPr>
          <w:highlight w:val="yellow"/>
        </w:rPr>
        <w:t>Table 2.1-1)</w:t>
      </w:r>
      <w:r w:rsidR="00074BEF" w:rsidRPr="00B469A1">
        <w:rPr>
          <w:highlight w:val="yellow"/>
        </w:rPr>
        <w:t>.</w:t>
      </w:r>
      <w:r w:rsidR="00074BEF" w:rsidRPr="00074BEF">
        <w:t xml:space="preserve"> We will manage scope through defined intake, review, approval, and change-control processes; manage schedule through milestone tracking, dependency management, and recovery planning; manage cost through labor and non-labor visibility, forecast-to-plan review, and variance monitoring; and manage communications through structured reporting, stakeholder forums, escalation paths, and COR-aligned decision channels. These controls will be applied consistently across prime and subcontractor-supported work so CMS has one integrated view of performance across the full ER&amp;R environment.</w:t>
      </w:r>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lastRenderedPageBreak/>
        <w:t xml:space="preserve">Table X.X-X. </w:t>
      </w:r>
      <w:r w:rsidRPr="00A8308B">
        <w:t>Illustrative (not Comprehensive) Milestone Measures by Task.</w:t>
      </w:r>
      <w:r>
        <w:t>.</w:t>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BulletIntro"/>
      </w:pPr>
      <w:r>
        <w:t xml:space="preserve">Our performance management and quality control approach is aligned with CMS program integrity, oversight, and quality expectations, ensuring consistent compliance with SOW requirements, SLAs, Acceptable Quality Levels (AQLs), and applicable CMS guidance. Through proactive monitoring, clearly defined accountability, and disciplined governance, we provide transparency, early risk identification, and </w:t>
      </w:r>
      <w:r>
        <w:lastRenderedPageBreak/>
        <w:t>corrective action to support high</w:t>
      </w:r>
      <w:r>
        <w:noBreakHyphen/>
        <w:t xml:space="preserve">quality, timely, and compliant service delivery. Our approach will be as follows: </w:t>
      </w:r>
    </w:p>
    <w:p w14:paraId="5E7C861C" w14:textId="77556D17" w:rsidR="00F2405B" w:rsidRPr="00F2405B" w:rsidRDefault="60749515" w:rsidP="001349CE">
      <w:pPr>
        <w:pStyle w:val="Bulletlevel1"/>
      </w:pPr>
      <w:r w:rsidRPr="001349CE">
        <w:rPr>
          <w:rStyle w:val="CharacterBold"/>
        </w:rPr>
        <w:t>Integrated Performance Framework:</w:t>
      </w:r>
      <w:r>
        <w:t xml:space="preserve"> Translate SOW, SLA, and AQL requirements into defined KPIs with established targets, thresholds, monitoring cadence, and early</w:t>
      </w:r>
      <w:r w:rsidR="00F2405B">
        <w:noBreakHyphen/>
      </w:r>
      <w:r>
        <w:t>warning indicators to proactively manage performance.</w:t>
      </w:r>
    </w:p>
    <w:p w14:paraId="45F0ACBF" w14:textId="538C6C23" w:rsidR="00F2405B" w:rsidRPr="00F2405B" w:rsidRDefault="60749515" w:rsidP="001349CE">
      <w:pPr>
        <w:pStyle w:val="Bulletlevel1"/>
      </w:pPr>
      <w:r w:rsidRPr="001349CE">
        <w:rPr>
          <w:rStyle w:val="CharacterBold"/>
        </w:rPr>
        <w:t>Monitoring, Reporting, and Governance:</w:t>
      </w:r>
      <w:r>
        <w:t xml:space="preserve"> Use standardized dashboards and regular operational, management, and client governance reviews to track performance, address risks, and enforce clear escalation and accountability.</w:t>
      </w:r>
    </w:p>
    <w:p w14:paraId="0DF85880" w14:textId="7179553F" w:rsidR="00F2405B" w:rsidRPr="00F2405B" w:rsidRDefault="60749515" w:rsidP="001349CE">
      <w:pPr>
        <w:pStyle w:val="Bulletlevel1"/>
      </w:pPr>
      <w:r w:rsidRPr="001349CE">
        <w:rPr>
          <w:rStyle w:val="CharacterBold"/>
        </w:rPr>
        <w:t>Quality Control Methodology:</w:t>
      </w:r>
      <w:r>
        <w:t xml:space="preserve"> Apply “quality built in” practices combined with independent QC reviews, standardized acceptance criteria, documented sign</w:t>
      </w:r>
      <w:r w:rsidR="00F2405B">
        <w:noBreakHyphen/>
      </w:r>
      <w:r>
        <w:t>offs, and traceability to ensure deliverables meet contractual and quality requirements.</w:t>
      </w:r>
    </w:p>
    <w:p w14:paraId="50C4E272" w14:textId="417AB342" w:rsidR="00F2405B" w:rsidRPr="00F2405B" w:rsidRDefault="60749515" w:rsidP="001349CE">
      <w:pPr>
        <w:pStyle w:val="Bulletlevel1"/>
      </w:pPr>
      <w:r w:rsidRPr="001349CE">
        <w:rPr>
          <w:rStyle w:val="CharacterBold"/>
        </w:rPr>
        <w:t>Defect Management and Continuous Improvement:</w:t>
      </w:r>
      <w:r>
        <w:t xml:space="preserve"> Utilize disciplined defect tracking, root cause analysis, and corrective/preventive action processes, leveraging trend analysis to drive efficiency, reduce rework, and improve outcomes.</w:t>
      </w:r>
    </w:p>
    <w:p w14:paraId="6AFAB69E" w14:textId="4F8069AA" w:rsidR="00F2405B" w:rsidRPr="00F2405B" w:rsidRDefault="60749515" w:rsidP="001349CE">
      <w:pPr>
        <w:pStyle w:val="Bulletlevel1"/>
      </w:pPr>
      <w:r w:rsidRPr="001349CE">
        <w:rPr>
          <w:rStyle w:val="CharacterBold"/>
        </w:rPr>
        <w:t>Risk Management and Transparency:</w:t>
      </w:r>
      <w:r w:rsidRPr="671ED0E9">
        <w:rPr>
          <w:b/>
          <w:bCs/>
        </w:rPr>
        <w:t xml:space="preserve"> </w:t>
      </w:r>
      <w:r>
        <w:t>Integrate performance and QC metrics with risk management, capacity planning, and audit</w:t>
      </w:r>
      <w:r w:rsidR="00F2405B">
        <w:noBreakHyphen/>
      </w:r>
      <w:r>
        <w:t>ready documentation, supported by transparent reporting and collaborative client engagement.</w:t>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We understand that our project performance is monitored by CMS through deliverable review, direct observation, stakeholder feedback, and other methods of quality assurance surveillance. Depending on CMS’ preference, evaluation of our work could be completed at pre-determined intervals (e.g., at a monthly or quarterly performance review), during the weekly meeting following delivery of the activity, or over email as deliverables are reviewed. To reduce CMS’ management burden, at CMS’ request, Deloitte could also perform a self-assessment at set intervals. We also understand that we are responsible for project quality control and will implement and adhere to a Quality Control Plan.</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 xml:space="preserve">We will implement a defined Quality Control structure with clear accountability, separation of duties, and documented approval pathways </w:t>
      </w:r>
      <w:r w:rsidR="5FB2FB71">
        <w:t>so</w:t>
      </w:r>
      <w:r>
        <w:t xml:space="preserve"> deliverables consistently meet SOW requirements and Acceptable Quality Levels (AQLs). QC accountability will be assigned to roles, supported by standardized checklists, peer reviews, and management sign-off prior to submission. This structure </w:t>
      </w:r>
      <w:r w:rsidR="3E03E27C">
        <w:t>confirms</w:t>
      </w:r>
      <w:r>
        <w:t xml:space="preserve"> quality is built into execution, issues are detected early, and corrective actions are implemented rapidly.</w:t>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 xml:space="preserve">We will </w:t>
      </w:r>
      <w:r w:rsidR="03D6186F">
        <w:t>confirm</w:t>
      </w:r>
      <w:r>
        <w:t xml:space="preserve"> all deliverables meet or exceed the Acceptable Quality Levels (AQLs) defined in the SOW through standardized quality controls, ongoing monitoring, and corrective action processes. Quality metrics will be clearly defined, measured, and reviewed regularly to </w:t>
      </w:r>
      <w:r w:rsidR="366DEA8E">
        <w:t>reinforce</w:t>
      </w:r>
      <w:r>
        <w:t xml:space="preserve"> consistent compliance and continuous improvement.</w:t>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develop and implement a performance management processes to assess and report its performance to the designated Government representative. Government representative(s) will monitor performance and review performance reports furnished by Deloitte to determine how Deloitte is performing against communicated performance objectives. Deloitte will be responsible for making required changes in processes and practices to confirm performance is managed effectively.</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review performance data and feedback regularly and incorporate it into the monthly progress report to CMS to help detect potential quality issues/risks and track them to resolution. If necessary, we will implement an optional remediation or CMS-approved corrective action plan. This plan may include re-alignment of resources, schedule adjustments, or updates to deliverables.</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Identifying and addressing issues in a timely manner is a fundamental project management best practice and critical to successful delivery. Once identified, issues will be prioritized for corrective action. Our corrective action approach drives early detection of problems, delays, and inefficiencies through execution of our quality processes. Issues are documented and tracked through closure. Corrective actions requiring CMS approval will be reported to the CMS COR for review. Our PM will maintain and share a register to track the status of corrective actions on a monthly basis with task leads and the CMS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Our team will consistently measure performance metrics and core drivers outlined in the Performance Measurement Plan in this volume. The Quality Oversight Lead and PM will work with CMS to finalize the draft QASP that will propose, capture, and report all task order performance metrics and calculation methods to manage PWS performance requirements. We will develop and implement a performance management system with processes to assess and report its performance to the Government for their review and comment. Deloitte will be responsible for addressing Government feedback.</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BulletIntro"/>
      </w:pPr>
      <w:r>
        <w:t>We will maintain all Service Level Agreements (SLAs) defined in the Statement of Work (SOW) are consistently met through a structured governance, monitoring, and accountability framework. Our approach emphasizes proactive performance management, transparency, and continuous improvement to maintain SLA compliance throughout the contract lifecycle.</w:t>
      </w:r>
      <w:r w:rsidR="3BCF5B88">
        <w:t xml:space="preserve"> </w:t>
      </w:r>
      <w:r>
        <w:t>Key elements of our approach include:</w:t>
      </w:r>
    </w:p>
    <w:p w14:paraId="4843EAE5" w14:textId="177FE0AF" w:rsidR="25A76845" w:rsidRDefault="25A76845" w:rsidP="001349CE">
      <w:pPr>
        <w:pStyle w:val="Bulletlevel1"/>
      </w:pPr>
      <w:r w:rsidRPr="001349CE">
        <w:rPr>
          <w:rStyle w:val="CharacterBold"/>
        </w:rPr>
        <w:t>Formal SLA Governance:</w:t>
      </w:r>
      <w:r>
        <w:t xml:space="preserve"> Establishment of clearly defined roles and escalation paths, including a designated SLA manager responsible for oversight, issue resolution, and coordination with stakeholders.</w:t>
      </w:r>
    </w:p>
    <w:p w14:paraId="2601545F" w14:textId="6B9F220B" w:rsidR="25A76845" w:rsidRDefault="25A76845" w:rsidP="001349CE">
      <w:pPr>
        <w:pStyle w:val="Bulletlevel1"/>
      </w:pPr>
      <w:r w:rsidRPr="001349CE">
        <w:rPr>
          <w:rStyle w:val="CharacterBold"/>
        </w:rPr>
        <w:t>Performance Monitoring and Reporting:</w:t>
      </w:r>
      <w:r w:rsidRPr="671ED0E9">
        <w:rPr>
          <w:b/>
          <w:bCs/>
        </w:rPr>
        <w:t xml:space="preserve"> </w:t>
      </w:r>
      <w:r>
        <w:t>Ongoing monitoring of SLA metrics using standardized dashboards and reporting tools, with regular performance reports provided to the client to ensure transparency and early identification of risks.</w:t>
      </w:r>
    </w:p>
    <w:p w14:paraId="05CDBF63" w14:textId="707E2B2A" w:rsidR="25A76845" w:rsidRDefault="25A76845" w:rsidP="001349CE">
      <w:pPr>
        <w:pStyle w:val="Bulletlevel1"/>
      </w:pPr>
      <w:r w:rsidRPr="001349CE">
        <w:rPr>
          <w:rStyle w:val="CharacterBold"/>
        </w:rPr>
        <w:t>Proactive Issue Management:</w:t>
      </w:r>
      <w:r w:rsidRPr="671ED0E9">
        <w:rPr>
          <w:b/>
          <w:bCs/>
        </w:rPr>
        <w:t xml:space="preserve"> </w:t>
      </w:r>
      <w:r>
        <w:t>Defined processes for identifying, documenting, and resolving SLA risks or variances before they impact service delivery, including root cause analysis and corrective action plans.</w:t>
      </w:r>
    </w:p>
    <w:p w14:paraId="6D4AE163" w14:textId="3786F99E" w:rsidR="25A76845" w:rsidRDefault="25A76845" w:rsidP="001349CE">
      <w:pPr>
        <w:pStyle w:val="Bulletlevel1"/>
      </w:pPr>
      <w:r w:rsidRPr="001349CE">
        <w:rPr>
          <w:rStyle w:val="CharacterBold"/>
        </w:rPr>
        <w:t>Regular Reviews and Continuous Improvement:</w:t>
      </w:r>
      <w:r w:rsidRPr="671ED0E9">
        <w:rPr>
          <w:b/>
          <w:bCs/>
        </w:rPr>
        <w:t xml:space="preserve"> </w:t>
      </w:r>
      <w:r>
        <w:t>Scheduled operational and monthly/quarterly performance reviews to assess SLA trends, address concerns, and implement process improvements as needed.</w:t>
      </w:r>
    </w:p>
    <w:p w14:paraId="56ECFB16" w14:textId="290DB91A" w:rsidR="25A76845" w:rsidRDefault="25A76845" w:rsidP="001349CE">
      <w:pPr>
        <w:pStyle w:val="Bulletlevel1"/>
      </w:pPr>
      <w:r w:rsidRPr="001349CE">
        <w:rPr>
          <w:rStyle w:val="CharacterBold"/>
        </w:rPr>
        <w:t>Change and Quality Management Controls:</w:t>
      </w:r>
      <w:r w:rsidRPr="671ED0E9">
        <w:rPr>
          <w:b/>
          <w:bCs/>
        </w:rPr>
        <w:t xml:space="preserve"> </w:t>
      </w:r>
      <w:r>
        <w:t>Integration of change management and quality assurance practices to ensure that updates to scope, processes, or staffing do not compromise SLA performance.</w:t>
      </w:r>
    </w:p>
    <w:p w14:paraId="1B547A66" w14:textId="0ACD2C0D" w:rsidR="671ED0E9" w:rsidRDefault="25A76845" w:rsidP="671ED0E9">
      <w:pPr>
        <w:pStyle w:val="BodyText"/>
      </w:pPr>
      <w:r>
        <w:t>This disciplined approach enables consistent SLA compliance, rapid response to issues, and alignment with client expectations throughout the duration of the SOW.</w:t>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The oversight provided for in the Contract and the QASP will validate that service levels reach and maintain the required levels throughout the Contract term. Further, the QASP provides the ERR COR with a proactive way to avoid unacceptable or deficient performance and provides verifiable input for the Contractor Performance Assessment Reporting System (CPARS). Following the contract award, the Deloitte and appropriate federal staff will review and finalize the performance measurement criteria along with methodology for periodic monitoring. We will also review and approve the draft QASP with CMS and any revisions to the draft QASP will be implemented within a timeframe determined in conjunction with CMS (e.g., within 30-days of the meeting). Additional updates may be made throughout the duration of the contract, if necessary (e.g., PWS changes or CMS feedback), and will be submitted to CMS for review and approval within a predetermined timeframe. Final and subsequent QASPs will be stored in a CMS-approved location.</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