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229C" w14:textId="2A0FCDCD" w:rsidR="00686B55" w:rsidRDefault="00544976" w:rsidP="00BC293B">
      <w:pPr>
        <w:pStyle w:val="Heading2"/>
      </w:pPr>
      <w:r>
        <w:t>Introduction</w:t>
      </w:r>
    </w:p>
    <w:p w14:paraId="78C8678D" w14:textId="23E492FB" w:rsidR="00294CB9" w:rsidRDefault="00294CB9" w:rsidP="00686B55">
      <w:r>
        <w:t>Ice-contact lakes influence ice dynamics near the terminus (Baurley; Kirkbride; Sugiyama; Pronk), and this influence can propagate up-glacier (Holt</w:t>
      </w:r>
      <w:r w:rsidR="00957CDB">
        <w:t xml:space="preserve"> et al., 2024</w:t>
      </w:r>
      <w:r>
        <w:t>)</w:t>
      </w:r>
    </w:p>
    <w:p w14:paraId="03A12782" w14:textId="4E421B9A" w:rsidR="00FE0B8F" w:rsidRDefault="00D600F2" w:rsidP="00686B55">
      <w:r>
        <w:t xml:space="preserve">Observed </w:t>
      </w:r>
      <w:commentRangeStart w:id="0"/>
      <w:r>
        <w:t>i</w:t>
      </w:r>
      <w:r w:rsidR="0048369A">
        <w:t>ncrease</w:t>
      </w:r>
      <w:r>
        <w:t xml:space="preserve"> </w:t>
      </w:r>
      <w:r w:rsidR="00280E77">
        <w:t xml:space="preserve">in </w:t>
      </w:r>
      <w:r w:rsidR="0048369A">
        <w:t>prevalence</w:t>
      </w:r>
      <w:commentRangeEnd w:id="0"/>
      <w:r w:rsidR="009D195A">
        <w:rPr>
          <w:rStyle w:val="CommentReference"/>
        </w:rPr>
        <w:commentReference w:id="0"/>
      </w:r>
      <w:r w:rsidR="0048369A">
        <w:t xml:space="preserve"> of ice-</w:t>
      </w:r>
      <w:r w:rsidR="00210BBE">
        <w:t>contact</w:t>
      </w:r>
      <w:r w:rsidR="0048369A">
        <w:t xml:space="preserve"> lakes</w:t>
      </w:r>
      <w:r w:rsidR="00570D78">
        <w:t xml:space="preserve"> </w:t>
      </w:r>
      <w:r w:rsidR="00280E77">
        <w:t>over the satellite era</w:t>
      </w:r>
      <w:r w:rsidR="0062233F">
        <w:t xml:space="preserve"> (</w:t>
      </w:r>
      <w:r w:rsidR="00FE0B8F" w:rsidRPr="00FE0B8F">
        <w:t xml:space="preserve">Carrivick and Quincey, </w:t>
      </w:r>
      <w:r w:rsidR="00540441">
        <w:t>2014</w:t>
      </w:r>
      <w:r w:rsidR="00FE0B8F" w:rsidRPr="00FE0B8F">
        <w:t xml:space="preserve">; Shugar </w:t>
      </w:r>
      <w:r w:rsidR="00540441">
        <w:t>et al, 2020</w:t>
      </w:r>
      <w:r w:rsidR="00FE0B8F" w:rsidRPr="00FE0B8F">
        <w:t xml:space="preserve">; How </w:t>
      </w:r>
      <w:r w:rsidR="00540441">
        <w:t>et al</w:t>
      </w:r>
      <w:r w:rsidR="00FE0B8F" w:rsidRPr="00FE0B8F">
        <w:t>,</w:t>
      </w:r>
      <w:r w:rsidR="00540441">
        <w:t xml:space="preserve"> 2021</w:t>
      </w:r>
      <w:r w:rsidR="00FE0B8F" w:rsidRPr="00FE0B8F">
        <w:t xml:space="preserve">; Rick </w:t>
      </w:r>
      <w:r w:rsidR="00540441">
        <w:t>et al</w:t>
      </w:r>
      <w:r w:rsidR="00FE0B8F" w:rsidRPr="00FE0B8F">
        <w:t>,</w:t>
      </w:r>
      <w:r w:rsidR="00540441">
        <w:t xml:space="preserve"> 2022</w:t>
      </w:r>
      <w:r w:rsidR="00FE0B8F">
        <w:t>).</w:t>
      </w:r>
    </w:p>
    <w:p w14:paraId="3E631D50" w14:textId="22E4DCCC" w:rsidR="00FE0B8F" w:rsidRDefault="00FE0B8F" w:rsidP="00686B55">
      <w:r>
        <w:t xml:space="preserve">Estimates of subglacial bed topography </w:t>
      </w:r>
      <w:r w:rsidR="00540441">
        <w:t>(Morlighem et al., 2017)</w:t>
      </w:r>
      <w:r w:rsidR="00E42A4F">
        <w:t xml:space="preserve"> suggest that there are many over-deepenings </w:t>
      </w:r>
      <w:r w:rsidR="00683EF8">
        <w:t xml:space="preserve">(Patton et al., 2016) </w:t>
      </w:r>
      <w:r w:rsidR="00E42A4F">
        <w:t xml:space="preserve">which are liable to fill with meltwater during margin recession, </w:t>
      </w:r>
      <w:r w:rsidR="00683EF8">
        <w:t>further increasing [the number</w:t>
      </w:r>
      <w:r w:rsidR="00E57FDB">
        <w:t>]</w:t>
      </w:r>
      <w:r w:rsidR="00683EF8">
        <w:t xml:space="preserve"> the influence of ice-</w:t>
      </w:r>
      <w:r w:rsidR="00157B33">
        <w:t>contact</w:t>
      </w:r>
      <w:r w:rsidR="00683EF8">
        <w:t xml:space="preserve"> lakes on ice sheet mass balance</w:t>
      </w:r>
      <w:r w:rsidR="00E57FDB">
        <w:t xml:space="preserve"> (Carrivick et al., 2022)</w:t>
      </w:r>
      <w:r w:rsidR="00683EF8">
        <w:t>.</w:t>
      </w:r>
    </w:p>
    <w:p w14:paraId="2C0FE912" w14:textId="1E476A13" w:rsidR="005D4C99" w:rsidRDefault="00102652" w:rsidP="00686B55">
      <w:r>
        <w:t>There is a fundamental</w:t>
      </w:r>
      <w:r w:rsidR="00834FCF">
        <w:t xml:space="preserve"> difference between bedrock dammed ice-contact lakes at the terminus of a topographically confined outlet glacier (hereafter proglacial lakes), and ice-dammed lakes </w:t>
      </w:r>
      <w:r w:rsidR="00A140BC">
        <w:t>oblique</w:t>
      </w:r>
      <w:r w:rsidR="00834FCF">
        <w:t xml:space="preserve"> to main ice</w:t>
      </w:r>
      <w:r w:rsidR="00A140BC">
        <w:t>-</w:t>
      </w:r>
      <w:r w:rsidR="00834FCF">
        <w:t>flow</w:t>
      </w:r>
      <w:r w:rsidR="00210BBE">
        <w:t xml:space="preserve"> (hereafter ice-marginal lakes)</w:t>
      </w:r>
      <w:r w:rsidR="00834FCF">
        <w:t>.</w:t>
      </w:r>
      <w:r>
        <w:t xml:space="preserve"> </w:t>
      </w:r>
      <w:r w:rsidR="00E71B11">
        <w:t>Whilst it has</w:t>
      </w:r>
      <w:r w:rsidR="005D4C99">
        <w:t xml:space="preserve"> been shown that ice </w:t>
      </w:r>
      <w:r w:rsidR="005050B3">
        <w:t>surface velocity</w:t>
      </w:r>
      <w:r w:rsidR="00E71B11">
        <w:t xml:space="preserve"> proximate to </w:t>
      </w:r>
      <w:r w:rsidR="003A5666">
        <w:t>(</w:t>
      </w:r>
      <w:commentRangeStart w:id="1"/>
      <w:r w:rsidR="003A5666">
        <w:t xml:space="preserve">all types of) </w:t>
      </w:r>
      <w:r w:rsidR="00E71B11">
        <w:t>ice-</w:t>
      </w:r>
      <w:r w:rsidR="00157B33">
        <w:t>contact</w:t>
      </w:r>
      <w:r w:rsidR="00E71B11">
        <w:t xml:space="preserve"> lakes are </w:t>
      </w:r>
      <w:r w:rsidR="005050B3">
        <w:t xml:space="preserve">enhanced (by ~25% (Carrivick et </w:t>
      </w:r>
      <w:commentRangeEnd w:id="1"/>
      <w:r w:rsidR="005A47EB">
        <w:rPr>
          <w:rStyle w:val="CommentReference"/>
        </w:rPr>
        <w:commentReference w:id="1"/>
      </w:r>
      <w:r w:rsidR="005050B3">
        <w:t>al., 2022)</w:t>
      </w:r>
      <w:r w:rsidR="00CD6BBA">
        <w:t>)</w:t>
      </w:r>
      <w:r w:rsidR="00467D73">
        <w:t xml:space="preserve">, </w:t>
      </w:r>
      <w:r w:rsidR="008D430D">
        <w:t>it is contended that</w:t>
      </w:r>
      <w:r w:rsidR="007527E9">
        <w:t xml:space="preserve"> due to the </w:t>
      </w:r>
      <w:r w:rsidR="00AC211D">
        <w:t>long-term stability of bedrock dammed lakes (versus the transient nature of valley-side ice-dammed lakes)</w:t>
      </w:r>
      <w:r w:rsidR="000166B1">
        <w:t xml:space="preserve">, </w:t>
      </w:r>
      <w:r w:rsidR="005A47EB">
        <w:t>they are likely to be of greater importance in controlling ice sheet mass balance (Holt et al., 2024)</w:t>
      </w:r>
      <w:r w:rsidR="000F19F2">
        <w:t>.</w:t>
      </w:r>
    </w:p>
    <w:p w14:paraId="29239C14" w14:textId="6FFFCEEA" w:rsidR="00917D13" w:rsidRDefault="00FC6619" w:rsidP="00686B55">
      <w:r>
        <w:t xml:space="preserve">The force balance at the terminus dictates whether or not the lake </w:t>
      </w:r>
      <w:r w:rsidR="00AB06CD">
        <w:t xml:space="preserve">has </w:t>
      </w:r>
      <w:r w:rsidR="008C6BEB">
        <w:t>a material impact on dynamics</w:t>
      </w:r>
      <w:r w:rsidR="00C4155E">
        <w:t xml:space="preserve"> (</w:t>
      </w:r>
      <w:r w:rsidR="00350B90">
        <w:t xml:space="preserve">O’Neel et al., 2005; </w:t>
      </w:r>
      <w:r w:rsidR="00C4155E">
        <w:t>Pronk et al., 2021)</w:t>
      </w:r>
      <w:r w:rsidR="00350B90">
        <w:t>, with</w:t>
      </w:r>
      <w:r w:rsidR="00ED5CC4">
        <w:t xml:space="preserve"> lake depth and</w:t>
      </w:r>
      <w:r w:rsidR="00350B90">
        <w:t xml:space="preserve"> </w:t>
      </w:r>
      <w:r w:rsidR="00D57D5B">
        <w:t>ice thickness</w:t>
      </w:r>
      <w:r w:rsidR="000F19F2">
        <w:t xml:space="preserve"> </w:t>
      </w:r>
      <w:r w:rsidR="00A65123">
        <w:t>being key</w:t>
      </w:r>
      <w:r w:rsidR="009F3B30">
        <w:t>.</w:t>
      </w:r>
      <w:r w:rsidR="0084478C">
        <w:t xml:space="preserve"> Additionally</w:t>
      </w:r>
    </w:p>
    <w:p w14:paraId="2240B5C8" w14:textId="0668C457" w:rsidR="000F19F2" w:rsidRDefault="00917D13" w:rsidP="00917D13">
      <w:pPr>
        <w:pStyle w:val="ListParagraph"/>
        <w:numPr>
          <w:ilvl w:val="0"/>
          <w:numId w:val="1"/>
        </w:numPr>
      </w:pPr>
      <w:r>
        <w:t>Determining lake depth from satellite imagery is tricky</w:t>
      </w:r>
    </w:p>
    <w:p w14:paraId="7C40EB4F" w14:textId="18B54A4F" w:rsidR="00917D13" w:rsidRPr="00CF6250" w:rsidRDefault="00917D13" w:rsidP="00917D13">
      <w:pPr>
        <w:pStyle w:val="ListParagraph"/>
        <w:numPr>
          <w:ilvl w:val="0"/>
          <w:numId w:val="1"/>
        </w:numPr>
        <w:rPr>
          <w:i/>
          <w:iCs/>
        </w:rPr>
      </w:pPr>
      <w:r w:rsidRPr="00917D13">
        <w:rPr>
          <w:i/>
          <w:iCs/>
        </w:rPr>
        <w:t>Likely</w:t>
      </w:r>
      <w:r>
        <w:t xml:space="preserve"> that many of the la</w:t>
      </w:r>
      <w:r w:rsidR="00724E58">
        <w:t>kes in the ice marginal lake inventory (How et al., 2021)</w:t>
      </w:r>
      <w:r w:rsidR="008B5D5A">
        <w:t xml:space="preserve"> – which are in turn used by </w:t>
      </w:r>
      <w:r w:rsidR="00F31A8F">
        <w:t xml:space="preserve">Carrivick et al., (2022) are not deep enough to have </w:t>
      </w:r>
      <w:r w:rsidR="00CF6250">
        <w:t>any significant influence on force balance.</w:t>
      </w:r>
    </w:p>
    <w:p w14:paraId="7DF07790" w14:textId="325376D2" w:rsidR="00CF6250" w:rsidRPr="00CF6250" w:rsidRDefault="00A5797D" w:rsidP="00917D13">
      <w:pPr>
        <w:pStyle w:val="ListParagraph"/>
        <w:numPr>
          <w:ilvl w:val="0"/>
          <w:numId w:val="1"/>
        </w:numPr>
        <w:rPr>
          <w:i/>
          <w:iCs/>
        </w:rPr>
      </w:pPr>
      <w:r w:rsidRPr="00CF6250">
        <w:rPr>
          <w:i/>
          <w:iCs/>
        </w:rPr>
        <w:t>A</w:t>
      </w:r>
      <w:r w:rsidR="00CF6250" w:rsidRPr="00CF6250">
        <w:rPr>
          <w:i/>
          <w:iCs/>
        </w:rPr>
        <w:t>nd</w:t>
      </w:r>
      <w:r w:rsidR="00813A48">
        <w:t xml:space="preserve"> (from my reading of their methods and SI)</w:t>
      </w:r>
      <w:r>
        <w:t xml:space="preserve"> the 25% quoted by Carrivick et al</w:t>
      </w:r>
      <w:r w:rsidR="00813A48">
        <w:t xml:space="preserve">., comes from </w:t>
      </w:r>
      <w:r w:rsidR="0034685F">
        <w:t>2014-2019 average velocity mosaic</w:t>
      </w:r>
      <w:r w:rsidR="00FE6751">
        <w:t xml:space="preserve"> taken at points along the margin</w:t>
      </w:r>
      <w:r w:rsidR="00A944B6">
        <w:t xml:space="preserve"> (i.e. point sampled at terminus, not upglacier)</w:t>
      </w:r>
      <w:r w:rsidR="00FE6751">
        <w:t xml:space="preserve">, </w:t>
      </w:r>
      <w:r w:rsidR="00B3361F">
        <w:rPr>
          <w:i/>
          <w:iCs/>
        </w:rPr>
        <w:t>and</w:t>
      </w:r>
      <w:r w:rsidR="00FE6751">
        <w:t xml:space="preserve">, they do not consider the </w:t>
      </w:r>
      <w:r w:rsidR="00FE6751">
        <w:rPr>
          <w:i/>
          <w:iCs/>
        </w:rPr>
        <w:t>direction</w:t>
      </w:r>
      <w:r w:rsidR="00FE6751">
        <w:t xml:space="preserve"> of the </w:t>
      </w:r>
      <w:r w:rsidR="00F34729">
        <w:t xml:space="preserve">velocity </w:t>
      </w:r>
      <w:r w:rsidR="00B3361F">
        <w:t xml:space="preserve">at these points </w:t>
      </w:r>
      <w:r w:rsidR="00DD74AE">
        <w:t xml:space="preserve">(i.e. is </w:t>
      </w:r>
      <w:commentRangeStart w:id="2"/>
      <w:r w:rsidR="00DD74AE">
        <w:t>the flux even directed into the lake at th</w:t>
      </w:r>
      <w:r w:rsidR="001C056C">
        <w:t>at point</w:t>
      </w:r>
      <w:commentRangeEnd w:id="2"/>
      <w:r w:rsidR="00E752AA">
        <w:rPr>
          <w:rStyle w:val="CommentReference"/>
        </w:rPr>
        <w:commentReference w:id="2"/>
      </w:r>
      <w:r w:rsidR="001C056C">
        <w:t>?)</w:t>
      </w:r>
    </w:p>
    <w:p w14:paraId="684D559A" w14:textId="1544EE83" w:rsidR="00544976" w:rsidRDefault="00544976" w:rsidP="00686B55">
      <w:r>
        <w:t xml:space="preserve">Recent work </w:t>
      </w:r>
      <w:r w:rsidR="00DB7D81">
        <w:t xml:space="preserve">(Holt et al., 2024) </w:t>
      </w:r>
      <w:r>
        <w:t xml:space="preserve">at Isortuarsuup Sermia </w:t>
      </w:r>
      <w:r w:rsidR="005F08BC">
        <w:t xml:space="preserve">illustrated the potential for terminus thinning to </w:t>
      </w:r>
      <w:r w:rsidR="00BC48AE">
        <w:t>drive ice flow acceleration at lake-terminating outlet glaciers</w:t>
      </w:r>
      <w:r w:rsidR="00407B7D">
        <w:t>.</w:t>
      </w:r>
    </w:p>
    <w:p w14:paraId="03DA5C1C" w14:textId="77777777" w:rsidR="00707D95" w:rsidRDefault="00407B7D" w:rsidP="00686B55">
      <w:r>
        <w:rPr>
          <w:i/>
          <w:iCs/>
        </w:rPr>
        <w:t>Need</w:t>
      </w:r>
      <w:r>
        <w:t xml:space="preserve"> to</w:t>
      </w:r>
      <w:r w:rsidR="00707D95">
        <w:t>:</w:t>
      </w:r>
    </w:p>
    <w:p w14:paraId="1E7869D6" w14:textId="57CEB4B8" w:rsidR="00407B7D" w:rsidRDefault="00407B7D" w:rsidP="00707D95">
      <w:pPr>
        <w:pStyle w:val="ListParagraph"/>
        <w:numPr>
          <w:ilvl w:val="0"/>
          <w:numId w:val="1"/>
        </w:numPr>
      </w:pPr>
      <w:r>
        <w:t xml:space="preserve">ascertain the </w:t>
      </w:r>
      <w:r w:rsidR="00685B7E">
        <w:t xml:space="preserve">whether </w:t>
      </w:r>
      <w:r>
        <w:t>the observed behaviour at Iso</w:t>
      </w:r>
      <w:r w:rsidR="00685B7E">
        <w:t>rtuarsuup Sermia is typical</w:t>
      </w:r>
      <w:r w:rsidR="00A55198">
        <w:t xml:space="preserve"> at other lake-terminating outlets</w:t>
      </w:r>
      <w:r w:rsidR="001C75FB">
        <w:t xml:space="preserve"> across Greenland</w:t>
      </w:r>
    </w:p>
    <w:p w14:paraId="29EBF6AA" w14:textId="1BBC6802" w:rsidR="00B6191B" w:rsidRDefault="00B6191B" w:rsidP="00B6191B">
      <w:pPr>
        <w:pStyle w:val="ListParagraph"/>
        <w:numPr>
          <w:ilvl w:val="1"/>
          <w:numId w:val="1"/>
        </w:numPr>
      </w:pPr>
      <w:r>
        <w:t xml:space="preserve">This would be </w:t>
      </w:r>
      <w:r w:rsidR="00B43353">
        <w:t>the</w:t>
      </w:r>
      <w:r>
        <w:t xml:space="preserve"> *new contribution*</w:t>
      </w:r>
    </w:p>
    <w:p w14:paraId="651106AA" w14:textId="1A55968E" w:rsidR="00F2272E" w:rsidRDefault="00F2272E" w:rsidP="00B6191B">
      <w:pPr>
        <w:pStyle w:val="ListParagraph"/>
        <w:numPr>
          <w:ilvl w:val="1"/>
          <w:numId w:val="1"/>
        </w:numPr>
      </w:pPr>
      <w:r>
        <w:t>Carrivick et al., 2022 only looked at velocity at the margin (from 2014-2019 mosaic)</w:t>
      </w:r>
    </w:p>
    <w:p w14:paraId="607D8041" w14:textId="31402DBA" w:rsidR="00F2272E" w:rsidRDefault="00F2272E" w:rsidP="00B6191B">
      <w:pPr>
        <w:pStyle w:val="ListParagraph"/>
        <w:numPr>
          <w:ilvl w:val="1"/>
          <w:numId w:val="1"/>
        </w:numPr>
      </w:pPr>
      <w:r>
        <w:t xml:space="preserve">Mallalieu </w:t>
      </w:r>
      <w:r w:rsidR="004F5824">
        <w:t>et al., 2021</w:t>
      </w:r>
      <w:r w:rsidR="00B43353">
        <w:t xml:space="preserve"> only looked at margin position</w:t>
      </w:r>
    </w:p>
    <w:p w14:paraId="0626F3C4" w14:textId="1F0C52BA" w:rsidR="00B43353" w:rsidRDefault="00B43353" w:rsidP="00B6191B">
      <w:pPr>
        <w:pStyle w:val="ListParagraph"/>
        <w:numPr>
          <w:ilvl w:val="1"/>
          <w:numId w:val="1"/>
        </w:numPr>
      </w:pPr>
      <w:r>
        <w:t>Neither looked at surface elevation change.</w:t>
      </w:r>
    </w:p>
    <w:p w14:paraId="5D65F5A0" w14:textId="211BFF51" w:rsidR="00707D95" w:rsidRDefault="00707D95" w:rsidP="00707D95">
      <w:pPr>
        <w:pStyle w:val="ListParagraph"/>
        <w:numPr>
          <w:ilvl w:val="0"/>
          <w:numId w:val="1"/>
        </w:numPr>
      </w:pPr>
      <w:r>
        <w:t xml:space="preserve">Is there a latitudinal </w:t>
      </w:r>
      <w:r w:rsidR="00536CCA">
        <w:t xml:space="preserve">(/climate) </w:t>
      </w:r>
      <w:r w:rsidR="003D6F7D">
        <w:t>control on lake-terminating dynamics</w:t>
      </w:r>
      <w:r w:rsidR="00EB4221">
        <w:t>?</w:t>
      </w:r>
    </w:p>
    <w:p w14:paraId="4A1E897C" w14:textId="4FDAAF27" w:rsidR="006A71F5" w:rsidRDefault="006A71F5" w:rsidP="00707D95">
      <w:pPr>
        <w:pStyle w:val="ListParagraph"/>
        <w:numPr>
          <w:ilvl w:val="0"/>
          <w:numId w:val="1"/>
        </w:numPr>
      </w:pPr>
      <w:r>
        <w:t xml:space="preserve">Something about lake depth – can we do </w:t>
      </w:r>
      <w:commentRangeStart w:id="3"/>
      <w:r>
        <w:rPr>
          <w:i/>
          <w:iCs/>
        </w:rPr>
        <w:t>anything</w:t>
      </w:r>
      <w:r>
        <w:t xml:space="preserve"> </w:t>
      </w:r>
      <w:commentRangeEnd w:id="3"/>
      <w:r w:rsidR="008170AB">
        <w:rPr>
          <w:rStyle w:val="CommentReference"/>
        </w:rPr>
        <w:commentReference w:id="3"/>
      </w:r>
      <w:r>
        <w:t>to estimate</w:t>
      </w:r>
      <w:r w:rsidR="00391C44">
        <w:t xml:space="preserve"> bathymetry?</w:t>
      </w:r>
    </w:p>
    <w:p w14:paraId="74F356E2" w14:textId="639F6F87" w:rsidR="0073250B" w:rsidRDefault="0073250B" w:rsidP="0073250B">
      <w:r>
        <w:t xml:space="preserve">The potential of ice-contact lakes to have a substantial influence on ice sheet mass balance is </w:t>
      </w:r>
      <w:r w:rsidR="007473F2">
        <w:t>context dependent</w:t>
      </w:r>
      <w:r w:rsidR="00DD6728">
        <w:t>. T</w:t>
      </w:r>
      <w:r w:rsidR="007473F2">
        <w:t xml:space="preserve">his paper aims to illustrate </w:t>
      </w:r>
      <w:r w:rsidR="003D4450">
        <w:t>this</w:t>
      </w:r>
      <w:r w:rsidR="00DD6728">
        <w:t xml:space="preserve"> sensitivity to </w:t>
      </w:r>
      <w:r w:rsidR="00E2489B">
        <w:t>‘context’ (topographic setting, present-day dynamics, climate).</w:t>
      </w:r>
    </w:p>
    <w:p w14:paraId="768674D7" w14:textId="1F3D6467" w:rsidR="00845C8A" w:rsidRDefault="00845C8A" w:rsidP="0073250B"/>
    <w:p w14:paraId="1141867B" w14:textId="4116FF39" w:rsidR="00845C8A" w:rsidRDefault="00845C8A" w:rsidP="00845C8A">
      <w:pPr>
        <w:pStyle w:val="Heading2"/>
      </w:pPr>
      <w:r>
        <w:lastRenderedPageBreak/>
        <w:t>Method</w:t>
      </w:r>
    </w:p>
    <w:p w14:paraId="5FCD5D14" w14:textId="7B5B5D72" w:rsidR="00F04216" w:rsidRDefault="00F04216" w:rsidP="0066412F">
      <w:pPr>
        <w:pStyle w:val="Heading3"/>
      </w:pPr>
      <w:r>
        <w:t>Study sites</w:t>
      </w:r>
    </w:p>
    <w:p w14:paraId="0E700ACF" w14:textId="6ABD9159" w:rsidR="00E62AB5" w:rsidRPr="00E62AB5" w:rsidRDefault="00763D3E" w:rsidP="00985F80">
      <w:pPr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>
        <w:t xml:space="preserve">We are interested </w:t>
      </w:r>
      <w:r w:rsidR="00AF2446">
        <w:t xml:space="preserve">ice-contact lakes that are bedrock controlled, </w:t>
      </w:r>
      <w:r w:rsidR="0098349F">
        <w:t>not those that reside in a tributary valley dammed by ice in the main trunk (Figure</w:t>
      </w:r>
      <w:r w:rsidR="00813960">
        <w:t xml:space="preserve"> 1</w:t>
      </w:r>
      <w:r w:rsidR="0098349F">
        <w:t>)</w:t>
      </w:r>
      <w:r w:rsidR="00985F80">
        <w:t xml:space="preserve">. </w:t>
      </w:r>
    </w:p>
    <w:p w14:paraId="07AA81A6" w14:textId="77777777" w:rsidR="00541D77" w:rsidRDefault="00541D77" w:rsidP="00541D77">
      <w:pPr>
        <w:keepNext/>
      </w:pPr>
      <w:r>
        <w:rPr>
          <w:noProof/>
        </w:rPr>
        <w:drawing>
          <wp:inline distT="0" distB="0" distL="0" distR="0" wp14:anchorId="096A2AE6" wp14:editId="1013FB7E">
            <wp:extent cx="2574290" cy="345999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34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087E" w14:textId="1098FFB2" w:rsidR="00D239A8" w:rsidRDefault="00541D77" w:rsidP="00541D7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Lakes of interest</w:t>
      </w:r>
      <w:r>
        <w:rPr>
          <w:noProof/>
        </w:rPr>
        <w:t xml:space="preserve"> (in blue boxes) at the end of topographically confined outlet glaciers; and lakes that are not of interest </w:t>
      </w:r>
      <w:r w:rsidR="00AE639E">
        <w:rPr>
          <w:noProof/>
        </w:rPr>
        <w:t>(red boxes) sited along the margins (oblique) to flow</w:t>
      </w:r>
      <w:r w:rsidR="00813960">
        <w:rPr>
          <w:noProof/>
        </w:rPr>
        <w:t>/ on interfluves.</w:t>
      </w:r>
      <w:r w:rsidR="00024299">
        <w:rPr>
          <w:noProof/>
        </w:rPr>
        <w:t xml:space="preserve"> Grey arrow shows direction of Ice flow direction shown. Ice margin in black.</w:t>
      </w:r>
    </w:p>
    <w:p w14:paraId="15F2271A" w14:textId="335CD224" w:rsidR="000925C9" w:rsidRDefault="000A6074" w:rsidP="00240473">
      <w:r>
        <w:t>Us</w:t>
      </w:r>
      <w:r w:rsidR="00755CD7">
        <w:t xml:space="preserve">ing the </w:t>
      </w:r>
      <w:r w:rsidR="0044164C">
        <w:t>inventory of ice marginal lakes (IIML) (How et al., 2021)</w:t>
      </w:r>
      <w:r w:rsidR="00002E98">
        <w:t xml:space="preserve"> </w:t>
      </w:r>
      <w:r w:rsidR="005D701D">
        <w:t>(</w:t>
      </w:r>
      <w:r w:rsidR="00002E98">
        <w:t>which has a nominal date of 2017</w:t>
      </w:r>
      <w:r w:rsidR="005D701D">
        <w:t>)</w:t>
      </w:r>
      <w:r w:rsidR="00755CD7">
        <w:t>, lakes were manually selected</w:t>
      </w:r>
      <w:r w:rsidR="000537E6">
        <w:t xml:space="preserve"> if t</w:t>
      </w:r>
      <w:r w:rsidR="000925C9">
        <w:t>he lake is sited at the end of a topographically confined outlet-glacier</w:t>
      </w:r>
      <w:r w:rsidR="000537E6">
        <w:t xml:space="preserve">, and lakes were </w:t>
      </w:r>
      <w:r w:rsidR="00240473">
        <w:t>excluded</w:t>
      </w:r>
      <w:r w:rsidR="000537E6">
        <w:t xml:space="preserve"> if it is likely to be ice-dammed, or of </w:t>
      </w:r>
      <w:r w:rsidR="00F075C0">
        <w:t>if it is a small distributary of a larger fast-flowing marine-terminating outlet.</w:t>
      </w:r>
    </w:p>
    <w:p w14:paraId="7BCE52D8" w14:textId="62C03E19" w:rsidR="0036353F" w:rsidRDefault="0048099A" w:rsidP="0048099A">
      <w:r>
        <w:t>The selection process is largely subjective.</w:t>
      </w:r>
    </w:p>
    <w:p w14:paraId="1E66AE25" w14:textId="44429321" w:rsidR="00230089" w:rsidRDefault="004E0777" w:rsidP="00871498">
      <w:r>
        <w:t xml:space="preserve">For example, </w:t>
      </w:r>
      <w:r w:rsidRPr="004E0777">
        <w:t>Inderhytten</w:t>
      </w:r>
      <w:r>
        <w:t>, despite being the 2</w:t>
      </w:r>
      <w:r w:rsidRPr="004E0777">
        <w:rPr>
          <w:vertAlign w:val="superscript"/>
        </w:rPr>
        <w:t>nd</w:t>
      </w:r>
      <w:r>
        <w:t xml:space="preserve"> largest lake in the IIML, it’s catchment is small, and </w:t>
      </w:r>
    </w:p>
    <w:p w14:paraId="2A4A1629" w14:textId="5C7C0F60" w:rsidR="00845C8A" w:rsidRDefault="00845C8A" w:rsidP="0066412F">
      <w:pPr>
        <w:pStyle w:val="Heading3"/>
      </w:pPr>
      <w:r>
        <w:t xml:space="preserve">Ice </w:t>
      </w:r>
      <w:r w:rsidR="0066412F">
        <w:t>velocity</w:t>
      </w:r>
    </w:p>
    <w:p w14:paraId="20896579" w14:textId="77777777" w:rsidR="00F04216" w:rsidRPr="00F04216" w:rsidRDefault="00F04216" w:rsidP="00F04216"/>
    <w:p w14:paraId="321C00B2" w14:textId="3C98BF63" w:rsidR="0066412F" w:rsidRPr="0066412F" w:rsidRDefault="0066412F" w:rsidP="00F04216">
      <w:pPr>
        <w:pStyle w:val="Heading3"/>
      </w:pPr>
      <w:r>
        <w:t>Surface elevation change</w:t>
      </w:r>
    </w:p>
    <w:p w14:paraId="2304A7F1" w14:textId="50C780D4" w:rsidR="00BA07F8" w:rsidRDefault="00B5311A" w:rsidP="00FE248B">
      <w:r>
        <w:t>For each glacier a c</w:t>
      </w:r>
      <w:r w:rsidR="00A40AB0">
        <w:t>entreline</w:t>
      </w:r>
      <w:r>
        <w:t xml:space="preserve"> was</w:t>
      </w:r>
      <w:r w:rsidR="00A40AB0">
        <w:t xml:space="preserve"> drawn with reference to </w:t>
      </w:r>
      <w:r w:rsidR="00D5589E">
        <w:t xml:space="preserve">satellite imagery and </w:t>
      </w:r>
      <w:r w:rsidR="00A40AB0">
        <w:t>the ice velocity data</w:t>
      </w:r>
      <w:r w:rsidR="001746BF">
        <w:t xml:space="preserve"> generated above</w:t>
      </w:r>
      <w:r w:rsidR="00E714EC">
        <w:t xml:space="preserve">. </w:t>
      </w:r>
      <w:r w:rsidR="00973BEA">
        <w:t>Individual</w:t>
      </w:r>
      <w:r w:rsidR="004174E1">
        <w:t xml:space="preserve"> </w:t>
      </w:r>
      <w:r w:rsidR="00E714EC">
        <w:t xml:space="preserve">ArcticDEM (v.4.1) </w:t>
      </w:r>
      <w:r w:rsidR="004174E1">
        <w:t xml:space="preserve">strips were selected where (a) the acquisition date was between April and October (inclusive) and (b) the if the strips </w:t>
      </w:r>
      <w:r w:rsidR="00973BEA">
        <w:t>intersected a 5 km buffer around each centreline.</w:t>
      </w:r>
      <w:r w:rsidR="00152BE0">
        <w:t xml:space="preserve"> </w:t>
      </w:r>
      <w:r w:rsidR="0091032C">
        <w:t>The identified DEMs were all clipped to same extent</w:t>
      </w:r>
      <w:r w:rsidR="00A3218A">
        <w:t xml:space="preserve"> and, using</w:t>
      </w:r>
      <w:r w:rsidR="0091032C">
        <w:t xml:space="preserve"> the supplied bit-mask</w:t>
      </w:r>
      <w:r w:rsidR="00A3218A">
        <w:t>, grid-squares marked as cloud, water and edges were set to null.</w:t>
      </w:r>
      <w:r w:rsidR="00C53E63">
        <w:t xml:space="preserve"> The DEM with the </w:t>
      </w:r>
      <w:r w:rsidR="007C0E5F">
        <w:t>greatest number of valid measurements was chosen to as the reference DEM</w:t>
      </w:r>
      <w:r w:rsidR="00F10725">
        <w:t xml:space="preserve"> to which all other DEMs at that site were coregistered</w:t>
      </w:r>
      <w:r w:rsidR="007C0E5F">
        <w:t xml:space="preserve">. </w:t>
      </w:r>
      <w:r w:rsidR="000568DD">
        <w:t xml:space="preserve">To identify regions </w:t>
      </w:r>
      <w:r w:rsidR="003B708D">
        <w:t>where no elevation change should be detected (i.e., exposed bedrock) a stable terrain mask was generated from all Sentinel-2 scenes that intersect the DEM with acquisition dates in July and August</w:t>
      </w:r>
      <w:r w:rsidR="00A846A2">
        <w:t xml:space="preserve">, and with cloud coverage &lt; 10%. For each scene the </w:t>
      </w:r>
      <w:r w:rsidR="00A846A2">
        <w:lastRenderedPageBreak/>
        <w:t xml:space="preserve">normalized difference water index (NDWI) was calculated and grid-squares </w:t>
      </w:r>
      <w:r w:rsidR="008C5494">
        <w:t>where the median NDWI over time was less than zero, are take</w:t>
      </w:r>
      <w:r w:rsidR="00797B0E">
        <w:t>n to be stable terrain.</w:t>
      </w:r>
      <w:r w:rsidR="000F6ABD">
        <w:t xml:space="preserve"> </w:t>
      </w:r>
      <w:r w:rsidR="00D30556">
        <w:t xml:space="preserve">These </w:t>
      </w:r>
      <w:r w:rsidR="00387F11">
        <w:t xml:space="preserve">binary </w:t>
      </w:r>
      <w:r w:rsidR="00D30556">
        <w:t>mas</w:t>
      </w:r>
      <w:r w:rsidR="00387F11">
        <w:t>ks were reprojected to the same resolution as the DEM prior to coregistration.</w:t>
      </w:r>
      <w:r w:rsidR="007E29CA">
        <w:t xml:space="preserve"> Coregistration was done using the XDEM python package</w:t>
      </w:r>
      <w:r w:rsidR="00816FCF">
        <w:t xml:space="preserve"> in </w:t>
      </w:r>
      <w:r w:rsidR="007B1573">
        <w:t>two</w:t>
      </w:r>
      <w:r w:rsidR="00816FCF">
        <w:t xml:space="preserve"> </w:t>
      </w:r>
      <w:r w:rsidR="007B1573">
        <w:t>step</w:t>
      </w:r>
      <w:r w:rsidR="00816FCF">
        <w:t>s</w:t>
      </w:r>
      <w:r w:rsidR="007B1573">
        <w:t>: first the method of Nuth &amp; Kaab (2011) for sub-pixel accuracy</w:t>
      </w:r>
      <w:r w:rsidR="00E75CFE">
        <w:t>, followed by a 2d plane tilt correction. The quality of the coregistration was asses</w:t>
      </w:r>
      <w:r w:rsidR="0021016F">
        <w:t>se</w:t>
      </w:r>
      <w:r w:rsidR="00E75CFE">
        <w:t xml:space="preserve">d </w:t>
      </w:r>
      <w:r w:rsidR="001E0336">
        <w:t>by differencing the newly coregistered DEM with the reference</w:t>
      </w:r>
      <w:r w:rsidR="00A72940">
        <w:t xml:space="preserve"> and computing</w:t>
      </w:r>
      <w:r w:rsidR="00E75CFE">
        <w:t xml:space="preserve"> both the normalized median absolute deviation (NMAD)</w:t>
      </w:r>
      <w:r w:rsidR="00C80012">
        <w:t>, which provides a measure of dispersion</w:t>
      </w:r>
      <w:r w:rsidR="00810E6C">
        <w:t>,</w:t>
      </w:r>
      <w:r w:rsidR="00E75CFE">
        <w:t xml:space="preserve"> and the median difference over stable terrain </w:t>
      </w:r>
      <w:r w:rsidR="003419F6">
        <w:t>(MDOST)</w:t>
      </w:r>
      <w:r w:rsidR="00A72940">
        <w:t>.</w:t>
      </w:r>
      <w:r w:rsidR="00991D86">
        <w:t xml:space="preserve"> The coregistration process aims to bring both of these values close to zero.</w:t>
      </w:r>
    </w:p>
    <w:p w14:paraId="14BB2393" w14:textId="1D3C0532" w:rsidR="00A52A0A" w:rsidRPr="0000598A" w:rsidRDefault="0031081C" w:rsidP="00A52A0A">
      <w:pPr>
        <w:pStyle w:val="HTMLPreformatted"/>
        <w:rPr>
          <w:sz w:val="30"/>
          <w:szCs w:val="30"/>
        </w:rPr>
      </w:pPr>
      <m:oMathPara>
        <m:oMath>
          <m:r>
            <m:rPr>
              <m:nor/>
            </m:rPr>
            <w:rPr>
              <w:rFonts w:ascii="Cambria Math" w:hAnsi="Cambria Math"/>
              <w:sz w:val="30"/>
              <w:szCs w:val="30"/>
            </w:rPr>
            <m:t>NMAD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 = 1.4826 × </m:t>
          </m:r>
          <m:r>
            <m:rPr>
              <m:nor/>
            </m:rPr>
            <w:rPr>
              <w:rFonts w:ascii="Cambria Math" w:hAnsi="Cambria Math"/>
              <w:sz w:val="30"/>
              <w:szCs w:val="30"/>
            </w:rPr>
            <m:t>median</m:t>
          </m:r>
          <m:r>
            <w:rPr>
              <w:rFonts w:ascii="Cambria Math" w:hAnsi="Cambria Math"/>
              <w:sz w:val="30"/>
              <w:szCs w:val="3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|x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-</m:t>
          </m:r>
          <m:r>
            <m:rPr>
              <m:nor/>
            </m:rPr>
            <w:rPr>
              <w:rFonts w:ascii="Cambria Math" w:hAnsi="Cambria Math"/>
              <w:sz w:val="30"/>
              <w:szCs w:val="30"/>
            </w:rPr>
            <m:t>median</m:t>
          </m:r>
          <m:r>
            <w:rPr>
              <w:rFonts w:ascii="Cambria Math" w:hAnsi="Cambria Math"/>
              <w:sz w:val="30"/>
              <w:szCs w:val="30"/>
            </w:rPr>
            <m:t>(x)|)</m:t>
          </m:r>
        </m:oMath>
      </m:oMathPara>
    </w:p>
    <w:p w14:paraId="1AAC703E" w14:textId="77777777" w:rsidR="009F3B27" w:rsidRDefault="009F3B27" w:rsidP="00FE248B"/>
    <w:p w14:paraId="09C9125A" w14:textId="13576438" w:rsidR="0000598A" w:rsidRDefault="001641BD" w:rsidP="00FE248B">
      <w:r>
        <w:t>The coregistered DEMs at each site were filtered to ensure only those with high precision were included in subsequent analyses</w:t>
      </w:r>
      <w:r w:rsidR="00154D0F">
        <w:t>. A threshold of 1 m was set for MDOST, and 2 m for NMAD.</w:t>
      </w:r>
    </w:p>
    <w:p w14:paraId="1F971FF3" w14:textId="23395D55" w:rsidR="00B60934" w:rsidRDefault="00AD3631" w:rsidP="00EC1563">
      <w:r>
        <w:t xml:space="preserve">Rates of surface elevation change were computed </w:t>
      </w:r>
      <w:r w:rsidR="00EC1563">
        <w:t xml:space="preserve">from the stack of coregistered DEMs using the Theil-Sen slope estimator, as this is robust to outliers. 95% confidence intervals were </w:t>
      </w:r>
      <w:r w:rsidR="00CA7876">
        <w:t>computed about</w:t>
      </w:r>
      <w:r w:rsidR="00EC1563">
        <w:t xml:space="preserve"> this estimate.</w:t>
      </w:r>
    </w:p>
    <w:p w14:paraId="6DB37165" w14:textId="607C8F08" w:rsidR="00402B5D" w:rsidRDefault="00477C5D" w:rsidP="00477C5D">
      <w:pPr>
        <w:ind w:left="360"/>
      </w:pPr>
      <w:r>
        <w:t>Note: when plotting SEC against elevation, the median elevation is used.</w:t>
      </w:r>
    </w:p>
    <w:p w14:paraId="67CAA9C4" w14:textId="77777777" w:rsidR="002C6E71" w:rsidRDefault="002C6E71" w:rsidP="00477C5D">
      <w:pPr>
        <w:ind w:left="360"/>
      </w:pPr>
    </w:p>
    <w:p w14:paraId="0F417C91" w14:textId="4595E057" w:rsidR="002C6E71" w:rsidRDefault="002C6E71" w:rsidP="00F844A6">
      <w:pPr>
        <w:pStyle w:val="Heading2"/>
      </w:pPr>
      <w:r>
        <w:lastRenderedPageBreak/>
        <w:t>Results</w:t>
      </w:r>
    </w:p>
    <w:p w14:paraId="335E486F" w14:textId="226A787D" w:rsidR="002C6E71" w:rsidRPr="00407B7D" w:rsidRDefault="00F844A6" w:rsidP="00477C5D">
      <w:pPr>
        <w:ind w:left="360"/>
      </w:pPr>
      <w:r>
        <w:rPr>
          <w:noProof/>
        </w:rPr>
        <w:lastRenderedPageBreak/>
        <w:drawing>
          <wp:inline distT="0" distB="0" distL="0" distR="0" wp14:anchorId="3B80D367" wp14:editId="1C71BEDB">
            <wp:extent cx="3827721" cy="3141969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09" cy="31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088F3" wp14:editId="7106CD64">
            <wp:extent cx="3848986" cy="326802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316" cy="32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9D08AF" wp14:editId="3C4073E1">
            <wp:extent cx="5248667" cy="4140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67" cy="41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E71" w:rsidRPr="0040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d Holt" w:date="2024-07-31T10:57:00Z" w:initials="EH">
    <w:p w14:paraId="4CA8CA57" w14:textId="6CD1CDAF" w:rsidR="009D195A" w:rsidRDefault="009D195A">
      <w:pPr>
        <w:pStyle w:val="CommentText"/>
      </w:pPr>
      <w:r>
        <w:rPr>
          <w:rStyle w:val="CommentReference"/>
        </w:rPr>
        <w:annotationRef/>
      </w:r>
      <w:r>
        <w:t>and increase in number of false positives (</w:t>
      </w:r>
      <w:r w:rsidR="004F3BA3">
        <w:t>shallow ice-contact puddles)</w:t>
      </w:r>
    </w:p>
  </w:comment>
  <w:comment w:id="1" w:author="Ed Holt" w:date="2024-07-31T10:26:00Z" w:initials="EH">
    <w:p w14:paraId="082E6092" w14:textId="7E50E892" w:rsidR="005A47EB" w:rsidRDefault="005A47EB">
      <w:pPr>
        <w:pStyle w:val="CommentText"/>
      </w:pPr>
      <w:r>
        <w:rPr>
          <w:rStyle w:val="CommentReference"/>
        </w:rPr>
        <w:annotationRef/>
      </w:r>
      <w:r>
        <w:t xml:space="preserve">Is there a need to *show* that </w:t>
      </w:r>
      <w:r w:rsidR="00707D8C">
        <w:t>the dynamics at the valley-side ice-marginal lakes is relatively inconsequential?</w:t>
      </w:r>
    </w:p>
  </w:comment>
  <w:comment w:id="2" w:author="Ed Holt" w:date="2024-07-31T11:45:00Z" w:initials="EH">
    <w:p w14:paraId="00899775" w14:textId="2D7BA58B" w:rsidR="00E752AA" w:rsidRDefault="00E752AA">
      <w:pPr>
        <w:pStyle w:val="CommentText"/>
      </w:pPr>
      <w:r>
        <w:rPr>
          <w:rStyle w:val="CommentReference"/>
        </w:rPr>
        <w:annotationRef/>
      </w:r>
      <w:r>
        <w:t>But they do acknowledge</w:t>
      </w:r>
      <w:r w:rsidR="005575BD">
        <w:t>, that catchments overlap and large uncertainties</w:t>
      </w:r>
      <w:r w:rsidR="00C83948">
        <w:t>; and that present ice-marginal lakes are predominantly situated on the lateral margins, oblique to main flow direction</w:t>
      </w:r>
    </w:p>
  </w:comment>
  <w:comment w:id="3" w:author="Ed Holt" w:date="2024-07-31T12:06:00Z" w:initials="EH">
    <w:p w14:paraId="43CB6A2C" w14:textId="77777777" w:rsidR="00391C44" w:rsidRPr="00391C44" w:rsidRDefault="008170AB" w:rsidP="00391C44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GB"/>
        </w:rPr>
      </w:pPr>
      <w:r>
        <w:rPr>
          <w:rStyle w:val="CommentReference"/>
        </w:rPr>
        <w:annotationRef/>
      </w:r>
      <w:r w:rsidR="00391C44" w:rsidRPr="00391C44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GB"/>
        </w:rPr>
        <w:t>Predicting lake bathymetry from the topography of the surrounding terrain using deep learning</w:t>
      </w:r>
    </w:p>
    <w:p w14:paraId="303E742B" w14:textId="6DB4E908" w:rsidR="008170AB" w:rsidRDefault="008170AB">
      <w:pPr>
        <w:pStyle w:val="CommentText"/>
      </w:pPr>
      <w:r w:rsidRPr="008170AB">
        <w:t>https://aslopubs.onlinelibrary.wiley.com/doi/10.1002/lom3.10573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A8CA57" w15:done="0"/>
  <w15:commentEx w15:paraId="082E6092" w15:done="0"/>
  <w15:commentEx w15:paraId="00899775" w15:done="0"/>
  <w15:commentEx w15:paraId="303E74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54972A" w16cex:dateUtc="2024-07-31T09:57:00Z"/>
  <w16cex:commentExtensible w16cex:durableId="2A548FDE" w16cex:dateUtc="2024-07-31T09:26:00Z"/>
  <w16cex:commentExtensible w16cex:durableId="2A54A24E" w16cex:dateUtc="2024-07-31T10:45:00Z"/>
  <w16cex:commentExtensible w16cex:durableId="2A54A747" w16cex:dateUtc="2024-07-31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A8CA57" w16cid:durableId="2A54972A"/>
  <w16cid:commentId w16cid:paraId="082E6092" w16cid:durableId="2A548FDE"/>
  <w16cid:commentId w16cid:paraId="00899775" w16cid:durableId="2A54A24E"/>
  <w16cid:commentId w16cid:paraId="303E742B" w16cid:durableId="2A54A7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F6E98"/>
    <w:multiLevelType w:val="hybridMultilevel"/>
    <w:tmpl w:val="13DE9038"/>
    <w:lvl w:ilvl="0" w:tplc="2DC66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 Holt">
    <w15:presenceInfo w15:providerId="AD" w15:userId="S::s1759665@ed.ac.uk::d18c143f-60cc-43ad-bdc6-9c548633fe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DC"/>
    <w:rsid w:val="00002E98"/>
    <w:rsid w:val="0000598A"/>
    <w:rsid w:val="000166B1"/>
    <w:rsid w:val="00024299"/>
    <w:rsid w:val="0003529B"/>
    <w:rsid w:val="0003602B"/>
    <w:rsid w:val="000537E6"/>
    <w:rsid w:val="000568DD"/>
    <w:rsid w:val="00056B1E"/>
    <w:rsid w:val="000925C9"/>
    <w:rsid w:val="000A6074"/>
    <w:rsid w:val="000D0BA1"/>
    <w:rsid w:val="000D49A7"/>
    <w:rsid w:val="000F19F2"/>
    <w:rsid w:val="000F6ABD"/>
    <w:rsid w:val="00102652"/>
    <w:rsid w:val="001050A1"/>
    <w:rsid w:val="00112006"/>
    <w:rsid w:val="00120D92"/>
    <w:rsid w:val="00121A6B"/>
    <w:rsid w:val="00152BE0"/>
    <w:rsid w:val="00154D0F"/>
    <w:rsid w:val="00157B33"/>
    <w:rsid w:val="001641BD"/>
    <w:rsid w:val="00165EDC"/>
    <w:rsid w:val="001746BF"/>
    <w:rsid w:val="001C056C"/>
    <w:rsid w:val="001C38B5"/>
    <w:rsid w:val="001C589C"/>
    <w:rsid w:val="001C75FB"/>
    <w:rsid w:val="001D59DB"/>
    <w:rsid w:val="001E0336"/>
    <w:rsid w:val="0020567C"/>
    <w:rsid w:val="0021016F"/>
    <w:rsid w:val="00210747"/>
    <w:rsid w:val="00210BBE"/>
    <w:rsid w:val="00230089"/>
    <w:rsid w:val="00232C55"/>
    <w:rsid w:val="00240473"/>
    <w:rsid w:val="00245A34"/>
    <w:rsid w:val="00251A36"/>
    <w:rsid w:val="00280E77"/>
    <w:rsid w:val="00294CB9"/>
    <w:rsid w:val="002B65DC"/>
    <w:rsid w:val="002C6E71"/>
    <w:rsid w:val="002D5C5E"/>
    <w:rsid w:val="002E5039"/>
    <w:rsid w:val="002E52D6"/>
    <w:rsid w:val="002F0941"/>
    <w:rsid w:val="002F1BC5"/>
    <w:rsid w:val="0031081C"/>
    <w:rsid w:val="00316BAE"/>
    <w:rsid w:val="00322A66"/>
    <w:rsid w:val="003419F6"/>
    <w:rsid w:val="0034685F"/>
    <w:rsid w:val="00350B90"/>
    <w:rsid w:val="00361961"/>
    <w:rsid w:val="0036353F"/>
    <w:rsid w:val="003803BC"/>
    <w:rsid w:val="00387F11"/>
    <w:rsid w:val="00391283"/>
    <w:rsid w:val="00391C44"/>
    <w:rsid w:val="003A5666"/>
    <w:rsid w:val="003B708D"/>
    <w:rsid w:val="003D4450"/>
    <w:rsid w:val="003D6F7D"/>
    <w:rsid w:val="003F38A8"/>
    <w:rsid w:val="003F3A8A"/>
    <w:rsid w:val="00402B5D"/>
    <w:rsid w:val="00407B7D"/>
    <w:rsid w:val="004174E1"/>
    <w:rsid w:val="0042317D"/>
    <w:rsid w:val="0044164C"/>
    <w:rsid w:val="00467D73"/>
    <w:rsid w:val="00477C5D"/>
    <w:rsid w:val="0048099A"/>
    <w:rsid w:val="0048369A"/>
    <w:rsid w:val="004A32D4"/>
    <w:rsid w:val="004A34D5"/>
    <w:rsid w:val="004B2C0E"/>
    <w:rsid w:val="004B4D46"/>
    <w:rsid w:val="004C2082"/>
    <w:rsid w:val="004C3EC5"/>
    <w:rsid w:val="004C44BC"/>
    <w:rsid w:val="004D36B3"/>
    <w:rsid w:val="004E0777"/>
    <w:rsid w:val="004E1A37"/>
    <w:rsid w:val="004F3BA3"/>
    <w:rsid w:val="004F56A8"/>
    <w:rsid w:val="004F5824"/>
    <w:rsid w:val="005050B3"/>
    <w:rsid w:val="0052640F"/>
    <w:rsid w:val="005269FF"/>
    <w:rsid w:val="00536CCA"/>
    <w:rsid w:val="00540441"/>
    <w:rsid w:val="00541D77"/>
    <w:rsid w:val="00544976"/>
    <w:rsid w:val="00545EC2"/>
    <w:rsid w:val="005575BD"/>
    <w:rsid w:val="00557FBE"/>
    <w:rsid w:val="00570604"/>
    <w:rsid w:val="00570D78"/>
    <w:rsid w:val="00584CCF"/>
    <w:rsid w:val="005A47EB"/>
    <w:rsid w:val="005D4C99"/>
    <w:rsid w:val="005D701D"/>
    <w:rsid w:val="005F08BC"/>
    <w:rsid w:val="0060319F"/>
    <w:rsid w:val="0062233F"/>
    <w:rsid w:val="0066412F"/>
    <w:rsid w:val="00683EF8"/>
    <w:rsid w:val="00685B7E"/>
    <w:rsid w:val="00686B55"/>
    <w:rsid w:val="00686D77"/>
    <w:rsid w:val="006A31EE"/>
    <w:rsid w:val="006A71F5"/>
    <w:rsid w:val="006F0268"/>
    <w:rsid w:val="0070151F"/>
    <w:rsid w:val="00707D8C"/>
    <w:rsid w:val="00707D95"/>
    <w:rsid w:val="00710C8F"/>
    <w:rsid w:val="00723022"/>
    <w:rsid w:val="00724E58"/>
    <w:rsid w:val="0073250B"/>
    <w:rsid w:val="00732F76"/>
    <w:rsid w:val="00744D78"/>
    <w:rsid w:val="007473F2"/>
    <w:rsid w:val="007527E9"/>
    <w:rsid w:val="00753AAB"/>
    <w:rsid w:val="00755CD7"/>
    <w:rsid w:val="00763D3E"/>
    <w:rsid w:val="00765745"/>
    <w:rsid w:val="00776817"/>
    <w:rsid w:val="00785013"/>
    <w:rsid w:val="0079655F"/>
    <w:rsid w:val="00797B0E"/>
    <w:rsid w:val="007A6789"/>
    <w:rsid w:val="007A6E4B"/>
    <w:rsid w:val="007B1573"/>
    <w:rsid w:val="007C0E5F"/>
    <w:rsid w:val="007E29CA"/>
    <w:rsid w:val="007F7714"/>
    <w:rsid w:val="00810E6C"/>
    <w:rsid w:val="00813960"/>
    <w:rsid w:val="00813A48"/>
    <w:rsid w:val="00816FCF"/>
    <w:rsid w:val="008170AB"/>
    <w:rsid w:val="00824216"/>
    <w:rsid w:val="00827DD4"/>
    <w:rsid w:val="00834FCF"/>
    <w:rsid w:val="0084478C"/>
    <w:rsid w:val="008454C2"/>
    <w:rsid w:val="00845C8A"/>
    <w:rsid w:val="0085453C"/>
    <w:rsid w:val="0086512E"/>
    <w:rsid w:val="00871498"/>
    <w:rsid w:val="008911E4"/>
    <w:rsid w:val="00895FE1"/>
    <w:rsid w:val="008A6746"/>
    <w:rsid w:val="008B1943"/>
    <w:rsid w:val="008B56CE"/>
    <w:rsid w:val="008B5D5A"/>
    <w:rsid w:val="008C3376"/>
    <w:rsid w:val="008C5494"/>
    <w:rsid w:val="008C6BEB"/>
    <w:rsid w:val="008D2E96"/>
    <w:rsid w:val="008D430D"/>
    <w:rsid w:val="008D45B7"/>
    <w:rsid w:val="008E69F0"/>
    <w:rsid w:val="0091032C"/>
    <w:rsid w:val="00917D13"/>
    <w:rsid w:val="00957CDB"/>
    <w:rsid w:val="00964C0C"/>
    <w:rsid w:val="00973BEA"/>
    <w:rsid w:val="00982831"/>
    <w:rsid w:val="0098349F"/>
    <w:rsid w:val="00985F80"/>
    <w:rsid w:val="00991D86"/>
    <w:rsid w:val="009B26C2"/>
    <w:rsid w:val="009D195A"/>
    <w:rsid w:val="009F3B27"/>
    <w:rsid w:val="009F3B30"/>
    <w:rsid w:val="00A140BC"/>
    <w:rsid w:val="00A246F1"/>
    <w:rsid w:val="00A3218A"/>
    <w:rsid w:val="00A40AB0"/>
    <w:rsid w:val="00A44316"/>
    <w:rsid w:val="00A52A0A"/>
    <w:rsid w:val="00A55198"/>
    <w:rsid w:val="00A5797D"/>
    <w:rsid w:val="00A65123"/>
    <w:rsid w:val="00A72940"/>
    <w:rsid w:val="00A7781C"/>
    <w:rsid w:val="00A846A2"/>
    <w:rsid w:val="00A944B6"/>
    <w:rsid w:val="00AA20E1"/>
    <w:rsid w:val="00AB06CD"/>
    <w:rsid w:val="00AB5276"/>
    <w:rsid w:val="00AC12E2"/>
    <w:rsid w:val="00AC211D"/>
    <w:rsid w:val="00AD3631"/>
    <w:rsid w:val="00AE639E"/>
    <w:rsid w:val="00AF2446"/>
    <w:rsid w:val="00AF2F2A"/>
    <w:rsid w:val="00B23900"/>
    <w:rsid w:val="00B30A5E"/>
    <w:rsid w:val="00B32885"/>
    <w:rsid w:val="00B3361F"/>
    <w:rsid w:val="00B43353"/>
    <w:rsid w:val="00B5311A"/>
    <w:rsid w:val="00B542EE"/>
    <w:rsid w:val="00B60934"/>
    <w:rsid w:val="00B6191B"/>
    <w:rsid w:val="00B63616"/>
    <w:rsid w:val="00BA07F8"/>
    <w:rsid w:val="00BB2C63"/>
    <w:rsid w:val="00BC293B"/>
    <w:rsid w:val="00BC388C"/>
    <w:rsid w:val="00BC48AE"/>
    <w:rsid w:val="00BE4254"/>
    <w:rsid w:val="00C236BE"/>
    <w:rsid w:val="00C4155E"/>
    <w:rsid w:val="00C53E63"/>
    <w:rsid w:val="00C56514"/>
    <w:rsid w:val="00C612F5"/>
    <w:rsid w:val="00C63ECA"/>
    <w:rsid w:val="00C655A0"/>
    <w:rsid w:val="00C666A1"/>
    <w:rsid w:val="00C80012"/>
    <w:rsid w:val="00C83948"/>
    <w:rsid w:val="00C8465D"/>
    <w:rsid w:val="00C86747"/>
    <w:rsid w:val="00CA7876"/>
    <w:rsid w:val="00CD565F"/>
    <w:rsid w:val="00CD6BBA"/>
    <w:rsid w:val="00CF6250"/>
    <w:rsid w:val="00D02BAC"/>
    <w:rsid w:val="00D239A8"/>
    <w:rsid w:val="00D30556"/>
    <w:rsid w:val="00D328C3"/>
    <w:rsid w:val="00D43E9C"/>
    <w:rsid w:val="00D5589E"/>
    <w:rsid w:val="00D57D5B"/>
    <w:rsid w:val="00D600F2"/>
    <w:rsid w:val="00D95B07"/>
    <w:rsid w:val="00DA72DD"/>
    <w:rsid w:val="00DB52AF"/>
    <w:rsid w:val="00DB7D81"/>
    <w:rsid w:val="00DD1969"/>
    <w:rsid w:val="00DD6728"/>
    <w:rsid w:val="00DD74AE"/>
    <w:rsid w:val="00E2489B"/>
    <w:rsid w:val="00E368E1"/>
    <w:rsid w:val="00E42A4F"/>
    <w:rsid w:val="00E509B9"/>
    <w:rsid w:val="00E57FDB"/>
    <w:rsid w:val="00E62AB5"/>
    <w:rsid w:val="00E714EC"/>
    <w:rsid w:val="00E71B11"/>
    <w:rsid w:val="00E752AA"/>
    <w:rsid w:val="00E75CFE"/>
    <w:rsid w:val="00EB4221"/>
    <w:rsid w:val="00EC075A"/>
    <w:rsid w:val="00EC1563"/>
    <w:rsid w:val="00ED5CC4"/>
    <w:rsid w:val="00ED64C8"/>
    <w:rsid w:val="00ED7737"/>
    <w:rsid w:val="00F04216"/>
    <w:rsid w:val="00F075C0"/>
    <w:rsid w:val="00F10725"/>
    <w:rsid w:val="00F2272E"/>
    <w:rsid w:val="00F31A8F"/>
    <w:rsid w:val="00F34729"/>
    <w:rsid w:val="00F644F9"/>
    <w:rsid w:val="00F668BF"/>
    <w:rsid w:val="00F844A6"/>
    <w:rsid w:val="00F91BC2"/>
    <w:rsid w:val="00FC6619"/>
    <w:rsid w:val="00FE0B8F"/>
    <w:rsid w:val="00FE248B"/>
    <w:rsid w:val="00FE3105"/>
    <w:rsid w:val="00FE6751"/>
    <w:rsid w:val="00FF0FF8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8A87"/>
  <w15:chartTrackingRefBased/>
  <w15:docId w15:val="{2FEC7BA2-1F1C-42A7-8F44-2212055C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29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DA72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0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B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A4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7E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17D1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239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509B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A674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74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Holt</dc:creator>
  <cp:keywords/>
  <dc:description/>
  <cp:lastModifiedBy>Ed Holt</cp:lastModifiedBy>
  <cp:revision>278</cp:revision>
  <dcterms:created xsi:type="dcterms:W3CDTF">2024-07-11T11:18:00Z</dcterms:created>
  <dcterms:modified xsi:type="dcterms:W3CDTF">2025-01-14T14:35:00Z</dcterms:modified>
</cp:coreProperties>
</file>