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3" w:name="X4b586b8b0fea7252819f1be61d9b462c3101cf0"/>
    <w:p>
      <w:pPr>
        <w:pStyle w:val="Heading1"/>
      </w:pPr>
      <w:r>
        <w:t xml:space="preserve">Предварительный проект договора с примечаниями</w:t>
      </w:r>
    </w:p>
    <w:bookmarkStart w:id="15" w:name="дисклеймер"/>
    <w:p>
      <w:pPr>
        <w:pStyle w:val="Heading2"/>
      </w:pPr>
      <w:r>
        <w:t xml:space="preserve">Дисклеймер</w:t>
      </w:r>
    </w:p>
    <w:p>
      <w:pPr>
        <w:pStyle w:val="FirstParagraph"/>
      </w:pPr>
      <w:r>
        <w:t xml:space="preserve">Ниже мы приводим пример черновика договора с пояснениями. Такой договор могли бы внедрить ведущие страны, осознав опасность искусственного суперинтеллекта (ИСИ) и решив не дать никому его создать.</w:t>
      </w:r>
      <w:r>
        <w:rPr>
          <w:rStyle w:val="FootnoteReference"/>
        </w:rPr>
        <w:footnoteReference w:id="9"/>
      </w:r>
    </w:p>
    <w:p>
      <w:pPr>
        <w:pStyle w:val="BodyText"/>
      </w:pPr>
      <w:r>
        <w:t xml:space="preserve">Мы не политики и не эксперты в международном праве. Это лишь иллюстративный пример потенциально полезных положений договора. Он использует подходящие ситуации и основанные на исторических прецедентах методы.</w:t>
      </w:r>
    </w:p>
    <w:p>
      <w:pPr>
        <w:pStyle w:val="BodyText"/>
      </w:pPr>
      <w:r>
        <w:t xml:space="preserve">Черновик охватывает множество механизмов, по нашему мнению, необходимых, чтобы разработчики ИИ не подвергали человечество серьёзной опасности. На практике разные аспекты, вероятно, войдут в разные договоры.</w:t>
      </w:r>
      <w:r>
        <w:rPr>
          <w:rStyle w:val="FootnoteReference"/>
        </w:rPr>
        <w:footnoteReference w:id="11"/>
      </w:r>
      <w:r>
        <w:t xml:space="preserve"> </w:t>
      </w:r>
      <w:r>
        <w:t xml:space="preserve">И, конечно, в реальности международное сообщество должно тщательно проработать весь текст. Потребуются переговоры и проверка экспертами.</w:t>
      </w:r>
    </w:p>
    <w:p>
      <w:pPr>
        <w:pStyle w:val="BodyText"/>
      </w:pPr>
      <w:r>
        <w:t xml:space="preserve">К каждой статье прилагаются комментарии. Там объясняются ключевые решения и обсуждаются важные прецеденты.</w:t>
      </w:r>
    </w:p>
    <w:p>
      <w:pPr>
        <w:pStyle w:val="BodyText"/>
      </w:pPr>
      <w:r>
        <w:t xml:space="preserve">В реальном договоре было бы больше подробностей. Мы включили некоторые примеры, но большинство вынесли в «приложения» (которые не расписывали полностью). Многие числа и пороговые значения в черновике – наши догадки. Так к ним и относитесь. Перед утверждением их надо изучить и пересмотреть. Подобные детали могут и не войти в сам договор. Так было с Договором о нераспространении ядерного оружия (ДНЯО). Конкретику инспекций и «гарантий» согласовывали каждая страна и МАГАТЭ отдельно. Они не были прописаны в самом ДНЯО. Но для ясности мы оставили наши предположительные цифры прямо в тексте. Так он выглядит конкретнее.</w:t>
      </w:r>
    </w:p>
    <w:bookmarkEnd w:id="15"/>
    <w:bookmarkStart w:id="18" w:name="преамбула"/>
    <w:p>
      <w:pPr>
        <w:pStyle w:val="Heading2"/>
      </w:pPr>
      <w:r>
        <w:t xml:space="preserve">Преамбула</w:t>
      </w:r>
    </w:p>
    <w:p>
      <w:pPr>
        <w:pStyle w:val="FirstParagraph"/>
      </w:pPr>
      <w:r>
        <w:t xml:space="preserve">Государства, заключающие настоящий Договор, именуемые в дальнейшем Сторонами Договора,</w:t>
      </w:r>
    </w:p>
    <w:p>
      <w:pPr>
        <w:pStyle w:val="BodyText"/>
      </w:pPr>
      <w:r>
        <w:t xml:space="preserve">Встревоженные перспективой того, что разработка искусственного суперинтеллекта приведет к гибели всех людей и прекращению всех человеческих начинаний,</w:t>
      </w:r>
    </w:p>
    <w:p>
      <w:pPr>
        <w:pStyle w:val="BodyText"/>
      </w:pPr>
      <w:r>
        <w:t xml:space="preserve">Подтверждая необходимость неотложных, скоординированных и устойчивых международных действий для предотвращения создания и развертывания искусственного суперинтеллекта в нынешних условиях,</w:t>
      </w:r>
    </w:p>
    <w:p>
      <w:pPr>
        <w:pStyle w:val="BodyText"/>
      </w:pPr>
      <w:r>
        <w:t xml:space="preserve">Убежденные в том, что меры по предотвращению развития возможностей искусственного интеллекта снизят вероятность вымирания человечества,</w:t>
      </w:r>
    </w:p>
    <w:p>
      <w:pPr>
        <w:pStyle w:val="BodyText"/>
      </w:pPr>
      <w:r>
        <w:t xml:space="preserve">Признавая, что стабильность настоящего Договора зависит от способности проверять соблюдение обязательств всеми Сторонами,</w:t>
      </w:r>
    </w:p>
    <w:p>
      <w:pPr>
        <w:pStyle w:val="BodyText"/>
      </w:pPr>
      <w:r>
        <w:t xml:space="preserve">Напоминая о прецеденте предыдущих соглашений по контролю над вооружениями и нераспространению в устранении угроз глобальной безопасности,</w:t>
      </w:r>
    </w:p>
    <w:p>
      <w:pPr>
        <w:pStyle w:val="BodyText"/>
      </w:pPr>
      <w:r>
        <w:t xml:space="preserve">Обязуясь сотрудничать в содействии проверке деятельности в области искусственного интеллекта в глобальном масштабе, не допуская возможности создания искусственного суперинтеллекта, и стремясь сохранить доступ к благам систем искусственного интеллекта, избегая при этом опасностей,</w:t>
      </w:r>
    </w:p>
    <w:p>
      <w:pPr>
        <w:pStyle w:val="BodyText"/>
      </w:pPr>
      <w:r>
        <w:t xml:space="preserve">Согласились о нижеследующем:</w:t>
      </w:r>
    </w:p>
    <w:p>
      <w:r>
        <w:pict>
          <v:rect style="width:0;height:1.5pt" o:hralign="center" o:hrstd="t" o:hr="t"/>
        </w:pict>
      </w:r>
    </w:p>
    <w:bookmarkStart w:id="17" w:name="прецеденты"/>
    <w:p>
      <w:pPr>
        <w:pStyle w:val="Heading3"/>
      </w:pPr>
      <w:r>
        <w:t xml:space="preserve">Прецеденты</w:t>
      </w:r>
    </w:p>
    <w:p>
      <w:pPr>
        <w:pStyle w:val="FirstParagraph"/>
      </w:pPr>
      <w:r>
        <w:t xml:space="preserve">Преамбула этого договора создана по образцу</w:t>
      </w:r>
      <w:r>
        <w:t xml:space="preserve"> </w:t>
      </w:r>
      <w:hyperlink r:id="rId13">
        <w:r>
          <w:rPr>
            <w:rStyle w:val="Hyperlink"/>
          </w:rPr>
          <w:t xml:space="preserve">ДНЯО</w:t>
        </w:r>
      </w:hyperlink>
      <w:r>
        <w:rPr>
          <w:rStyle w:val="FootnoteReference"/>
        </w:rPr>
        <w:footnoteReference w:id="16"/>
      </w:r>
      <w:r>
        <w:t xml:space="preserve">, который начинается так:</w:t>
      </w:r>
    </w:p>
    <w:p>
      <w:pPr>
        <w:pStyle w:val="BlockText"/>
      </w:pPr>
      <w:r>
        <w:t xml:space="preserve">Учитывая опустошительные последствия, которые имела бы для всего человечества ядерная война, и вытекающую из этого необходимость приложить все усилия для предотвращения опасности возникновения такой войны и принять меры для обеспечения безопасности народов,</w:t>
      </w:r>
    </w:p>
    <w:p>
      <w:pPr>
        <w:pStyle w:val="FirstParagraph"/>
      </w:pPr>
      <w:r>
        <w:t xml:space="preserve">и вскоре добавляет:</w:t>
      </w:r>
    </w:p>
    <w:p>
      <w:pPr>
        <w:pStyle w:val="BlockText"/>
      </w:pPr>
      <w:r>
        <w:t xml:space="preserve">Подтверждая тот принцип, что блага мирного применения ядерной технологии, включая любые технологические побочные продукты, которые могут быть получены государствами, обладающими ядерным оружием, от развития ядерных взрывных устройств, должны быть доступны для мирных целей всем государствам-участникам Договора, как обладающим, так и не обладающим ядерным оружием,</w:t>
      </w:r>
    </w:p>
    <w:p>
      <w:pPr>
        <w:pStyle w:val="FirstParagraph"/>
      </w:pPr>
      <w:r>
        <w:t xml:space="preserve">Так преамбула приглашает мир присоединиться к ответственным Сторонам. Цель – защитить человечество от катастрофической угрозы мощной технологии и разделить блага, которые можно безопасно разрешить. Наша преамбула пытается следовать этому примеру.</w:t>
      </w:r>
    </w:p>
    <w:p>
      <w:r>
        <w:pict>
          <v:rect style="width:0;height:1.5pt" o:hralign="center" o:hrstd="t" o:hr="t"/>
        </w:pict>
      </w:r>
    </w:p>
    <w:bookmarkEnd w:id="17"/>
    <w:bookmarkEnd w:id="18"/>
    <w:bookmarkStart w:id="24" w:name="статья-i-основная-цель"/>
    <w:p>
      <w:pPr>
        <w:pStyle w:val="Heading2"/>
      </w:pPr>
      <w:r>
        <w:t xml:space="preserve">Статья I: Основная цель</w:t>
      </w:r>
    </w:p>
    <w:p>
      <w:pPr>
        <w:pStyle w:val="FirstParagraph"/>
      </w:pPr>
      <w:r>
        <w:t xml:space="preserve">Каждая Сторона настоящего Договора не должна разрабатывать, развертывать или стремиться разрабатывать или развертывать искусственный суперинтеллект («ИСИ») какими бы то ни было средствами. Каждая Сторона должна запрещать и предотвращать все подобные разработки в пределах своих границ и юрисдикций и, ввиду неопределенности относительно того, когда дальнейший прогресс привёл бы к созданию ИСИ, не должна заниматься или разрешать деятельность, которая существенно продвигает к ИСИ, как описано в настоящем Договоре. Каждая Сторона должна оказывать содействие или не препятствовать разумным мерам других Сторон по удерживанию и предотвращению таких разработок государствами и юрисдикциями, не являющимися Сторонами, и в их пределах. Каждая Сторона должна выполнять и осуществлять все другие обязательства, меры и договоренности о проверке, изложенные в настоящем Договоре.</w:t>
      </w:r>
    </w:p>
    <w:p>
      <w:pPr>
        <w:pStyle w:val="BodyText"/>
      </w:pPr>
      <w:r>
        <w:t xml:space="preserve">В тех случаях, когда некоторые классы инфраструктуры и возможностей ИИ, далёких от ИСИ, могут быть сочтены приемлемыми, но только на условиях международного контроля, только Стороны Договора могут осуществлять такую деятельность, или владеть или оперировать специализированными для ИИ чипами и производственными мощностями, которые потенциально могли бы привести к разработке ИСИ при отсутствии контроля. Сторонам, не участвующим в Договоре, отказано в таком доступе ради безопасности Сторон и всей жизни на Земле (Статья V, Статья VI, Статья VII).</w:t>
      </w:r>
    </w:p>
    <w:p>
      <w:pPr>
        <w:pStyle w:val="BodyText"/>
      </w:pPr>
      <w:r>
        <w:t xml:space="preserve">Стороны обязуются участвовать в процессе разрешения споров (Статья XI), чтобы свести к минимуму ненужные Защитные Действия (Статья XII).</w:t>
      </w:r>
    </w:p>
    <w:p>
      <w:r>
        <w:pict>
          <v:rect style="width:0;height:1.5pt" o:hralign="center" o:hrstd="t" o:hr="t"/>
        </w:pict>
      </w:r>
    </w:p>
    <w:bookmarkStart w:id="23" w:name="прецеденты-1"/>
    <w:p>
      <w:pPr>
        <w:pStyle w:val="Heading3"/>
      </w:pPr>
      <w:r>
        <w:t xml:space="preserve">Прецеденты</w:t>
      </w:r>
    </w:p>
    <w:p>
      <w:pPr>
        <w:pStyle w:val="FirstParagraph"/>
      </w:pPr>
      <w:r>
        <w:t xml:space="preserve">Статья I ДНЯО, как и многих договоров, излагает общий смысл обязательств Сторон – в данном случае, не передавать свое ядерное оружие и не помогать другим его получить:</w:t>
      </w:r>
    </w:p>
    <w:p>
      <w:pPr>
        <w:pStyle w:val="BlockText"/>
      </w:pPr>
      <w:r>
        <w:t xml:space="preserve">Каждое из государств-участников настоящего Договора, обладающих ядерным оружием, обязуется не передавать кому бы то ни было ядерное оружие или другие ядерные взрывные устройства, а также контроль над таким оружием или взрывными устройствами ни прямо, ни косвенно; равно как и никоим образом не помогать, не поощрять и не побуждать какое-либо государство, не обладающее ядерным оружием, к производству или к приобретению каким-либо иным способом ядерного оружия или других ядерных взрывных устройств, а также контроля над таким оружием или взрывными устройствами.</w:t>
      </w:r>
    </w:p>
    <w:p>
      <w:pPr>
        <w:pStyle w:val="FirstParagraph"/>
      </w:pPr>
      <w:r>
        <w:t xml:space="preserve">Обязательство в Статье I нашего проекта соглашения сильнее. Нельзя ни единожды допустить создание ИСИ кем угодно и где угодно.</w:t>
      </w:r>
      <w:r>
        <w:rPr>
          <w:rStyle w:val="FootnoteReference"/>
        </w:rPr>
        <w:footnoteReference w:id="19"/>
      </w:r>
      <w:r>
        <w:t xml:space="preserve"> </w:t>
      </w:r>
      <w:r>
        <w:t xml:space="preserve">Недостаточно просто «не помогать, не поощрять и не побуждать» других к его созданию. Поэтому мы включили обязательство «оказывать содействие или не препятствовать разумным мерам других Сторон». Цель – отговорить от таких разработок и предотвратить их повсюду.</w:t>
      </w:r>
    </w:p>
    <w:p>
      <w:pPr>
        <w:pStyle w:val="BodyText"/>
      </w:pPr>
      <w:r>
        <w:t xml:space="preserve">ДНЯО работает на сдерживание существующей угрозы (ядерного оружия). Наш проект соглашения направлен на то, чтобы угроза (ИСИ) вообще не возникла. Прецедент предотвращения разработки опасных новых технологий:</w:t>
      </w:r>
      <w:r>
        <w:t xml:space="preserve"> </w:t>
      </w:r>
      <w:hyperlink r:id="rId20">
        <w:r>
          <w:rPr>
            <w:rStyle w:val="Hyperlink"/>
          </w:rPr>
          <w:t xml:space="preserve">Протокол об ослепляющем лазерном оружии</w:t>
        </w:r>
      </w:hyperlink>
      <w:r>
        <w:t xml:space="preserve">. Это часть</w:t>
      </w:r>
      <w:r>
        <w:t xml:space="preserve"> </w:t>
      </w:r>
      <w:hyperlink r:id="rId21">
        <w:r>
          <w:rPr>
            <w:rStyle w:val="Hyperlink"/>
          </w:rPr>
          <w:t xml:space="preserve">Конвенции о некоторых видах обычного оружия</w:t>
        </w:r>
      </w:hyperlink>
      <w:r>
        <w:t xml:space="preserve">.</w:t>
      </w:r>
      <w:r>
        <w:rPr>
          <w:rStyle w:val="FootnoteReference"/>
        </w:rPr>
        <w:footnoteReference w:id="22"/>
      </w:r>
      <w:r>
        <w:t xml:space="preserve"> </w:t>
      </w:r>
      <w:r>
        <w:t xml:space="preserve">Его Статья I гласит:</w:t>
      </w:r>
    </w:p>
    <w:p>
      <w:pPr>
        <w:pStyle w:val="BlockText"/>
      </w:pPr>
      <w:r>
        <w:t xml:space="preserve">Запрещается применять лазерное оружие, специально предназначенное для использования в боевых действиях исключительно или в том числе для того, чтобы причинить постоянную слепоту органам зрения человека, не использующего оптические приборы, то есть незащищенным органам зрения или органам зрения, имеющим приспособления для корректировки зрения. Высокие Договаривающиеся Стороны не передают такое оружие никакому государству и никакому негосударственному образованию.</w:t>
      </w:r>
    </w:p>
    <w:p>
      <w:pPr>
        <w:pStyle w:val="FirstParagraph"/>
      </w:pPr>
      <w:r>
        <w:t xml:space="preserve">Но эта формулировка не пытается удержать кого-либо от испытаний или случайного создания такой системы. Наше соглашение должно быть достаточно сильным, чтобы предотвратить случайное создание ИСИ. Неясно, где может находиться точка невозврата. Поэтому наша Статья I включает обязательство «не заниматься и не разрешать деятельность, которая существенно продвигает к ИСИ».</w:t>
      </w:r>
    </w:p>
    <w:p>
      <w:r>
        <w:pict>
          <v:rect style="width:0;height:1.5pt" o:hralign="center" o:hrstd="t" o:hr="t"/>
        </w:pict>
      </w:r>
    </w:p>
    <w:bookmarkEnd w:id="23"/>
    <w:bookmarkEnd w:id="24"/>
    <w:bookmarkStart w:id="30" w:name="статья-ii-определения"/>
    <w:p>
      <w:pPr>
        <w:pStyle w:val="Heading2"/>
      </w:pPr>
      <w:r>
        <w:t xml:space="preserve">Статья II: Определения</w:t>
      </w:r>
    </w:p>
    <w:p>
      <w:pPr>
        <w:pStyle w:val="FirstParagraph"/>
      </w:pPr>
      <w:r>
        <w:t xml:space="preserve">Для целей настоящего Договора:</w:t>
      </w:r>
    </w:p>
    <w:p>
      <w:pPr>
        <w:numPr>
          <w:ilvl w:val="0"/>
          <w:numId w:val="1001"/>
        </w:numPr>
      </w:pPr>
      <w:r>
        <w:rPr>
          <w:b/>
          <w:bCs/>
        </w:rPr>
        <w:t xml:space="preserve">Искусственный интеллект (ИИ)</w:t>
      </w:r>
      <w:r>
        <w:t xml:space="preserve"> </w:t>
      </w:r>
      <w:r>
        <w:t xml:space="preserve">– это вычислительная система, которая выполняет задачи, требующие мышления, планирования, обучения или действий в физической, социальной или информационной сфере. Сюда входят системы, выполняющие задачи в изменяющихся и непредсказуемых условиях, или способные учиться на опыте и улучшать свои показатели.</w:t>
      </w:r>
    </w:p>
    <w:p>
      <w:pPr>
        <w:numPr>
          <w:ilvl w:val="0"/>
          <w:numId w:val="1001"/>
        </w:numPr>
      </w:pPr>
      <w:r>
        <w:rPr>
          <w:b/>
          <w:bCs/>
        </w:rPr>
        <w:t xml:space="preserve">Искусственный суперинтеллект (ИСИ)</w:t>
      </w:r>
      <w:r>
        <w:t xml:space="preserve"> </w:t>
      </w:r>
      <w:r>
        <w:t xml:space="preserve">функционально определяется как любой ИИ с настолько сверхчеловеческими когнитивными способностями, что он мог бы спланировать и успешно осуществить уничтожение человечества.</w:t>
      </w:r>
    </w:p>
    <w:p>
      <w:pPr>
        <w:pStyle w:val="Compact"/>
        <w:numPr>
          <w:ilvl w:val="1"/>
          <w:numId w:val="1002"/>
        </w:numPr>
      </w:pPr>
    </w:p>
    <w:p>
      <w:pPr>
        <w:pStyle w:val="Compact"/>
        <w:numPr>
          <w:ilvl w:val="2"/>
          <w:numId w:val="1003"/>
        </w:numPr>
      </w:pPr>
      <w:r>
        <w:t xml:space="preserve">Для целей настоящего Договора считается, что разработка ИИ без явного разрешения ISIA (Статья III), нарушающая ограничения из Статьи IV, имеет целью создание искусственного суперинтеллекта.</w:t>
      </w:r>
    </w:p>
    <w:p>
      <w:pPr>
        <w:numPr>
          <w:ilvl w:val="0"/>
          <w:numId w:val="1001"/>
        </w:numPr>
      </w:pPr>
      <w:r>
        <w:rPr>
          <w:b/>
          <w:bCs/>
        </w:rPr>
        <w:t xml:space="preserve">Опасная деятельность в области ИИ</w:t>
      </w:r>
      <w:r>
        <w:t xml:space="preserve"> </w:t>
      </w:r>
      <w:r>
        <w:t xml:space="preserve">– это действия, существенно повышающие риск создания искусственного суперинтеллекта. Она не ограничивается финальным шагом разработки ИСИ, но включает и предварительные этапы, описанные в этом договоре. Полный объем опасной деятельности конкретизируется в Статьях IV–IX и может уточняться и изменяться в ходе действия Договора и работы ISIA.</w:t>
      </w:r>
    </w:p>
    <w:p>
      <w:pPr>
        <w:numPr>
          <w:ilvl w:val="0"/>
          <w:numId w:val="1001"/>
        </w:numPr>
      </w:pPr>
      <w:r>
        <w:rPr>
          <w:b/>
          <w:bCs/>
        </w:rPr>
        <w:t xml:space="preserve">Операции с плавающей точкой (FLOP)</w:t>
      </w:r>
      <w:r>
        <w:t xml:space="preserve"> </w:t>
      </w:r>
      <w:r>
        <w:t xml:space="preserve">— вычислительная мера для оценки масштаба обучения и постобучения, основанная на количестве выполненных математических операций. FLOP считаются либо как эквивалентные операции в формате половинной точности (FP16), либо как общее число операций (в используемом формате), в зависимости от того, что больше.</w:t>
      </w:r>
    </w:p>
    <w:p>
      <w:pPr>
        <w:numPr>
          <w:ilvl w:val="0"/>
          <w:numId w:val="1001"/>
        </w:numPr>
      </w:pPr>
      <w:r>
        <w:rPr>
          <w:b/>
          <w:bCs/>
        </w:rPr>
        <w:t xml:space="preserve">Запуск обучения (training run)</w:t>
      </w:r>
      <w:r>
        <w:t xml:space="preserve"> </w:t>
      </w:r>
      <w:r>
        <w:t xml:space="preserve">– любой вычислительный процесс, оптимизирующий параметры ИИ (характеристики распространения информации через нейросеть, например, веса и смещения) с помощью градиентных или иных методов поиска/обучения. Сюда входят предобучение, дообучение (fine-tuning), обучение с подкреплением, масштабный поиск гиперпараметров с обновлением параметров, а также итеративная игра с самим собой или обучение по программе (curriculum training).</w:t>
      </w:r>
    </w:p>
    <w:p>
      <w:pPr>
        <w:numPr>
          <w:ilvl w:val="0"/>
          <w:numId w:val="1001"/>
        </w:numPr>
      </w:pPr>
      <w:r>
        <w:rPr>
          <w:b/>
          <w:bCs/>
        </w:rPr>
        <w:t xml:space="preserve">Предобучение (pre-training)</w:t>
      </w:r>
      <w:r>
        <w:t xml:space="preserve"> </w:t>
      </w:r>
      <w:r>
        <w:t xml:space="preserve">– обучающий запуск, при котором параметры ИИ изначально оптимизируются на больших наборах данных для усвоения обобщаемых закономерностей или представлений до какой-либо адаптации к конкретным задачам или сферам. Включает обучение с учителем, обучение без учителя, самообучение и оптимизацию на основе подкрепления, если они проводятся до такой адаптации.</w:t>
      </w:r>
    </w:p>
    <w:p>
      <w:pPr>
        <w:numPr>
          <w:ilvl w:val="0"/>
          <w:numId w:val="1001"/>
        </w:numPr>
      </w:pPr>
      <w:r>
        <w:rPr>
          <w:b/>
          <w:bCs/>
        </w:rPr>
        <w:t xml:space="preserve">Постобучение (post-training)</w:t>
      </w:r>
      <w:r>
        <w:t xml:space="preserve"> </w:t>
      </w:r>
      <w:r>
        <w:t xml:space="preserve">– обучающий запуск, выполняемый после предобучения модели. Кроме того, любое обучение ИИ, созданного до вступления настоящего Договора в силу, считается постобучением.</w:t>
      </w:r>
    </w:p>
    <w:p>
      <w:pPr>
        <w:numPr>
          <w:ilvl w:val="0"/>
          <w:numId w:val="1001"/>
        </w:numPr>
      </w:pPr>
      <w:r>
        <w:rPr>
          <w:b/>
          <w:bCs/>
        </w:rPr>
        <w:t xml:space="preserve">Передовые компьютерные чипы</w:t>
      </w:r>
      <w:r>
        <w:t xml:space="preserve"> </w:t>
      </w:r>
      <w:r>
        <w:t xml:space="preserve">– интегральные схемы, произведенные по техпроцессу 28 нанометров или более современному.</w:t>
      </w:r>
    </w:p>
    <w:p>
      <w:pPr>
        <w:numPr>
          <w:ilvl w:val="0"/>
          <w:numId w:val="1001"/>
        </w:numPr>
      </w:pPr>
      <w:r>
        <w:rPr>
          <w:b/>
          <w:bCs/>
        </w:rPr>
        <w:t xml:space="preserve">ИИ-чипы</w:t>
      </w:r>
      <w:r>
        <w:t xml:space="preserve"> </w:t>
      </w:r>
      <w:r>
        <w:t xml:space="preserve">– специализированные интегральные схемы, разработанные преимущественно для вычислений ИИ, включая, помимо прочего, операции обучения и вывода для моделей машинного обучения [это потребует более точного определения в Приложении]. Сюда входят GPU, TPU, NPU и другие ускорители ИИ. Сюда также может входить оборудование, изначально не предназначенное для ИИ, но которое можно эффективно перепрофилировать. ИИ-чипы – подмножество передовых компьютерных чипов.</w:t>
      </w:r>
    </w:p>
    <w:p>
      <w:pPr>
        <w:numPr>
          <w:ilvl w:val="0"/>
          <w:numId w:val="1001"/>
        </w:numPr>
      </w:pPr>
      <w:r>
        <w:rPr>
          <w:b/>
          <w:bCs/>
        </w:rPr>
        <w:t xml:space="preserve">ИИ-оборудование</w:t>
      </w:r>
      <w:r>
        <w:t xml:space="preserve"> </w:t>
      </w:r>
      <w:r>
        <w:t xml:space="preserve">– всё компьютерное оборудование для обучения и запуска ИИ. Сюда входят ИИ-чипы, а также сетевое оборудование, блоки питания и системы охлаждения.</w:t>
      </w:r>
    </w:p>
    <w:p>
      <w:pPr>
        <w:numPr>
          <w:ilvl w:val="0"/>
          <w:numId w:val="1001"/>
        </w:numPr>
      </w:pPr>
      <w:r>
        <w:rPr>
          <w:b/>
          <w:bCs/>
        </w:rPr>
        <w:t xml:space="preserve">Оборудование для производства ИИ-чипов</w:t>
      </w:r>
      <w:r>
        <w:t xml:space="preserve"> </w:t>
      </w:r>
      <w:r>
        <w:t xml:space="preserve">– оборудование для изготовления, тестирования, сборки или корпусирования ИИ-чипов. Сюда входят, помимо прочего, литография, напыление, травление, метрология, тестирование и оборудование для передового корпусирования [более полный список нужно определить в Приложении].</w:t>
      </w:r>
    </w:p>
    <w:p>
      <w:pPr>
        <w:numPr>
          <w:ilvl w:val="0"/>
          <w:numId w:val="1001"/>
        </w:numPr>
      </w:pPr>
      <w:r>
        <w:rPr>
          <w:b/>
          <w:bCs/>
        </w:rPr>
        <w:t xml:space="preserve">Эквивалент H100</w:t>
      </w:r>
      <w:r>
        <w:t xml:space="preserve"> </w:t>
      </w:r>
      <w:r>
        <w:t xml:space="preserve">– единица вычислительной мощности (FLOP в секунду), равная одному ускорителю NVIDIA H100 SXM: 990 Тфлопс в FP16 или Общая Производительность Обработки (TPP) 15 840. TPP рассчитывается как TPP = 2 × неразреженные (non-sparse) MacTOPS × (разрядность данных операций умножения).</w:t>
      </w:r>
    </w:p>
    <w:p>
      <w:pPr>
        <w:numPr>
          <w:ilvl w:val="0"/>
          <w:numId w:val="1001"/>
        </w:numPr>
      </w:pPr>
      <w:r>
        <w:rPr>
          <w:b/>
          <w:bCs/>
        </w:rPr>
        <w:t xml:space="preserve">Подпадающий под действие кластер чипов (Covered chip cluster, CCC)</w:t>
      </w:r>
      <w:r>
        <w:t xml:space="preserve"> </w:t>
      </w:r>
      <w:r>
        <w:t xml:space="preserve">– любой набор ИИ-чипов или сетевой кластер с совокупной эффективной вычислительной мощностью более 16 эквивалентов H100. Сетевой кластер относится к чипам, которые либо физически находятся в одном месте, либо имеют совокупную пропускную способность между узлами (сумму пропускной способности между разными хостами/шасси) более 25 Гбит/с, либо объединены в сеть для совместного выполнения рабочих нагрузок. Совокупная эффективная мощность 16 чипов H100 составляет 15 840 Тфлопс или 253 440 TPP и основана на сумме TPP каждого чипа. Примеры CCC: сервер GB200 NVL72, три сервера H100 HGX (по 8 чипов) в одном здании, CloudMatrix 384, под с 32 чипами TPUv6e, любой суперкомпьютер.</w:t>
      </w:r>
    </w:p>
    <w:p>
      <w:pPr>
        <w:numPr>
          <w:ilvl w:val="0"/>
          <w:numId w:val="1001"/>
        </w:numPr>
      </w:pPr>
      <w:r>
        <w:rPr>
          <w:b/>
          <w:bCs/>
        </w:rPr>
        <w:t xml:space="preserve">Национальные технические средства (НТС)</w:t>
      </w:r>
      <w:r>
        <w:t xml:space="preserve"> </w:t>
      </w:r>
      <w:r>
        <w:t xml:space="preserve">– спутниковые, воздушные, кибернетические, сигнальные, визуальные (включая тепловые) и другие возможности дистанционного обнаружения, используемые Сторонами для проверки соблюдения настоящего Договора.</w:t>
      </w:r>
    </w:p>
    <w:p>
      <w:pPr>
        <w:numPr>
          <w:ilvl w:val="0"/>
          <w:numId w:val="1001"/>
        </w:numPr>
      </w:pPr>
      <w:r>
        <w:rPr>
          <w:b/>
          <w:bCs/>
        </w:rPr>
        <w:t xml:space="preserve">Проверка использования чипов</w:t>
      </w:r>
      <w:r>
        <w:t xml:space="preserve"> </w:t>
      </w:r>
      <w:r>
        <w:t xml:space="preserve">– методы, дающие представление о том, какие действия выполняются на конкретных компьютерных чипах, чтобы отличать приемлемую деятельность от запрещенной.</w:t>
      </w:r>
    </w:p>
    <w:p>
      <w:pPr>
        <w:numPr>
          <w:ilvl w:val="0"/>
          <w:numId w:val="1001"/>
        </w:numPr>
      </w:pPr>
      <w:r>
        <w:rPr>
          <w:b/>
          <w:bCs/>
        </w:rPr>
        <w:t xml:space="preserve">Методы создания передовых моделей</w:t>
      </w:r>
      <w:r>
        <w:t xml:space="preserve"> </w:t>
      </w:r>
      <w:r>
        <w:t xml:space="preserve">– широкий набор методов, применяемых при разработке ИИ. Включает, помимо прочего, архитектуры ИИ, оптимизаторы, методы токенизации, курирования данных и генерации данных, стратегии распараллеливания, алгоритмы обучения (например, алгоритмы RL) и другие методы обучения. Сюда входит постобучение, но не входят методы, не меняющие параметры обученной модели, такие как промптинг. В будущем могут быть созданы новые методы.</w:t>
      </w:r>
    </w:p>
    <w:p>
      <w:r>
        <w:pict>
          <v:rect style="width:0;height:1.5pt" o:hralign="center" o:hrstd="t" o:hr="t"/>
        </w:pict>
      </w:r>
    </w:p>
    <w:bookmarkStart w:id="29" w:name="примечания"/>
    <w:p>
      <w:pPr>
        <w:pStyle w:val="Heading3"/>
      </w:pPr>
      <w:r>
        <w:t xml:space="preserve">Примечания</w:t>
      </w:r>
    </w:p>
    <w:p>
      <w:pPr>
        <w:pStyle w:val="FirstParagraph"/>
      </w:pPr>
      <w:r>
        <w:t xml:space="preserve">Это определение ИИ адаптировано из</w:t>
      </w:r>
      <w:r>
        <w:t xml:space="preserve"> </w:t>
      </w:r>
      <w:hyperlink r:id="rId25">
        <w:r>
          <w:rPr>
            <w:rStyle w:val="Hyperlink"/>
          </w:rPr>
          <w:t xml:space="preserve">Закона сенатора Чака Грассли о защите информаторов в сфере ИИ</w:t>
        </w:r>
      </w:hyperlink>
      <w:r>
        <w:t xml:space="preserve">. Возможно, оно слишком широкое. Наверное, его нужно будет уточнить, чтобы исключить явно безопасные компьютерные системы, вроде проверки орфографии или распознавания изображений.</w:t>
      </w:r>
    </w:p>
    <w:p>
      <w:pPr>
        <w:pStyle w:val="BodyText"/>
      </w:pPr>
      <w:r>
        <w:t xml:space="preserve">При текущей парадигме развития ИИ это определение, вероятно, вполне подойдёт. Разработку ИИ довольно легко отличить от всего остального из-за использования огромных вычислительных ресурсов. Но окончательное определение ИИ должно распространяться не только на глубокое обучение и даже не только на ML. Машинное обучение сейчас доминирует, но Договор должен учитывать возможность изменения парадигмы. Иначе запрет только ML подтолкнет исследователей на развитие новых парадигм, чтобы создать более мощные и обобщённые ИИ. Это может привести к катастрофическим последствиям. При смене парадигмы Договор, вероятно, придётся обновить. Особенно если она будет требовать меньше ИИ-чипов, чем глубокое обучение.</w:t>
      </w:r>
    </w:p>
    <w:p>
      <w:pPr>
        <w:pStyle w:val="BodyText"/>
      </w:pPr>
      <w:r>
        <w:t xml:space="preserve">Мы используем эквивалент H100 как основную метрику вычислительной мощности. В Статье V это определяет размер крупнейшего разрешенного без мониторинга кластера чипов (16 эквивалентов H100).</w:t>
      </w:r>
      <w:r>
        <w:rPr>
          <w:rStyle w:val="FootnoteReference"/>
        </w:rPr>
        <w:footnoteReference w:id="26"/>
      </w:r>
      <w:r>
        <w:t xml:space="preserve"> </w:t>
      </w:r>
      <w:r>
        <w:t xml:space="preserve">Статья IV задает пороговые значения через общее количество операций для обучения ИИ. Так мы ограничиваем операции в секунду без мониторинга. Фактически, это делает незаконно большой запуск обучения без присмотра непосильно долгим.</w:t>
      </w:r>
    </w:p>
    <w:p>
      <w:pPr>
        <w:pStyle w:val="BodyText"/>
      </w:pPr>
      <w:r>
        <w:t xml:space="preserve">Мы используем эквиваленты H100, чтобы учесть – разных ИИ-чипов много, но больше всего нас волнует, сколько операций они могут выполнить за определенное время. Есть и другие важные метрики чипов, например, память с высокой пропускной способностью. Но мы в целом считаем их менее важными, чем количество операций в секунду. Эквивалент H100 как единица измерения –</w:t>
      </w:r>
      <w:r>
        <w:t xml:space="preserve"> </w:t>
      </w:r>
      <w:hyperlink r:id="rId27">
        <w:r>
          <w:rPr>
            <w:rStyle w:val="Hyperlink"/>
          </w:rPr>
          <w:t xml:space="preserve">довольно стандартен</w:t>
        </w:r>
      </w:hyperlink>
      <w:r>
        <w:t xml:space="preserve"> </w:t>
      </w:r>
      <w:r>
        <w:t xml:space="preserve">при обсуждениях вычислительной мощности.</w:t>
      </w:r>
    </w:p>
    <w:p>
      <w:pPr>
        <w:pStyle w:val="BodyText"/>
      </w:pPr>
      <w:r>
        <w:t xml:space="preserve">Наше определение подпадающего под действие кластера чипов (CCC) – первая прикидка, как провести границу. В идеале она должна быть достаточно высокой, чтобы обычные люди не нарушали правила (пропускная способность 25 Гбит/с между шасси – это быстрее, чем интернет вне дата-центров; для частного лица владеть более чем 16 эквивалентами H100 для частного лица – очень редко и дорого). Но и достаточно низкой, чтобы предотвратить опасную деятельность в области ИИ и затруднить обход правил (т.е. усложнить распределенное обучение на нескольких кластерах, которые ещё не CCC). Мы подробнее это обсуждаем в комментарии к Статье V.</w:t>
      </w:r>
    </w:p>
    <w:p>
      <w:pPr>
        <w:pStyle w:val="BodyText"/>
      </w:pPr>
      <w:r>
        <w:t xml:space="preserve">ИИ-чипы – подмножество передовых компьютерных чипов. Нет четкой границы, отличающей ИИ-чипы от остальных. Вместо того, чтобы определять это различие и полагаться на него, мы используем общую вычислительную мощность (операции в секунду) кластера в эквивалентах H100. Если чипы можно настроить для обучения или запуска ИИ и они превышают заданный порог, Договор требует их мониторинга.</w:t>
      </w:r>
    </w:p>
    <w:p>
      <w:pPr>
        <w:pStyle w:val="BodyText"/>
      </w:pPr>
      <w:r>
        <w:t xml:space="preserve">Заметьте, термин «Национальные технические средства» (НТС, в оригинале National Technical Means) некоторые правительства</w:t>
      </w:r>
      <w:r>
        <w:t xml:space="preserve"> </w:t>
      </w:r>
      <w:hyperlink r:id="rId28">
        <w:r>
          <w:rPr>
            <w:rStyle w:val="Hyperlink"/>
          </w:rPr>
          <w:t xml:space="preserve">могут считать устаревшим</w:t>
        </w:r>
      </w:hyperlink>
      <w:r>
        <w:t xml:space="preserve">. Мы используем его тут для удобства сравнения с прошлыми соглашениями о контроле над вооружениями.</w:t>
      </w:r>
    </w:p>
    <w:p>
      <w:r>
        <w:pict>
          <v:rect style="width:0;height:1.5pt" o:hralign="center" o:hrstd="t" o:hr="t"/>
        </w:pict>
      </w:r>
    </w:p>
    <w:bookmarkEnd w:id="29"/>
    <w:bookmarkEnd w:id="30"/>
    <w:bookmarkStart w:id="44" w:name="статья-iii-isia"/>
    <w:p>
      <w:pPr>
        <w:pStyle w:val="Heading2"/>
      </w:pPr>
      <w:r>
        <w:t xml:space="preserve">Статья III: ISIA</w:t>
      </w:r>
    </w:p>
    <w:p>
      <w:pPr>
        <w:numPr>
          <w:ilvl w:val="0"/>
          <w:numId w:val="1004"/>
        </w:numPr>
      </w:pPr>
      <w:r>
        <w:t xml:space="preserve">Стороны Договора настоящим учреждают Международное агентство по суперинтеллекту (International Superintelligence Agency, ISIA) для реализации настоящего Договора и его положений, включая положения о международной проверке его соблюдения, а также для обеспечения форума для консультаций и сотрудничества между Сторонами.</w:t>
      </w:r>
    </w:p>
    <w:p>
      <w:pPr>
        <w:numPr>
          <w:ilvl w:val="0"/>
          <w:numId w:val="1004"/>
        </w:numPr>
      </w:pPr>
      <w:r>
        <w:t xml:space="preserve">В качестве органов ISIA настоящим утверждаются: Конференция государств-участников, Исполнительный совет и Технический Секретариат.</w:t>
      </w:r>
    </w:p>
    <w:p>
      <w:pPr>
        <w:numPr>
          <w:ilvl w:val="0"/>
          <w:numId w:val="1004"/>
        </w:numPr>
      </w:pPr>
      <w:r>
        <w:t xml:space="preserve">Конференция государств-участников</w:t>
      </w:r>
    </w:p>
    <w:p>
      <w:pPr>
        <w:pStyle w:val="Compact"/>
        <w:numPr>
          <w:ilvl w:val="1"/>
          <w:numId w:val="1005"/>
        </w:numPr>
      </w:pPr>
    </w:p>
    <w:p>
      <w:pPr>
        <w:pStyle w:val="Compact"/>
        <w:numPr>
          <w:ilvl w:val="2"/>
          <w:numId w:val="1006"/>
        </w:numPr>
      </w:pPr>
      <w:r>
        <w:t xml:space="preserve">Конференция государств-участников состоит из всех Сторон Договора.</w:t>
      </w:r>
    </w:p>
    <w:p>
      <w:pPr>
        <w:pStyle w:val="Compact"/>
        <w:numPr>
          <w:ilvl w:val="1"/>
          <w:numId w:val="1005"/>
        </w:numPr>
      </w:pPr>
    </w:p>
    <w:p>
      <w:pPr>
        <w:pStyle w:val="Compact"/>
        <w:numPr>
          <w:ilvl w:val="2"/>
          <w:numId w:val="1007"/>
        </w:numPr>
      </w:pPr>
      <w:r>
        <w:t xml:space="preserve">Конференция государств-участников должна: определять общую политику; принимать бюджет и контролировать его исполнение; избирать членов Исполнительного совета; рассматривать вопросы соблюдения, о которых докладывает Исполнительный совет; принимать и пересматривать Приложения по рекомендации Исполнительного совета.</w:t>
      </w:r>
    </w:p>
    <w:p>
      <w:pPr>
        <w:pStyle w:val="Compact"/>
        <w:numPr>
          <w:ilvl w:val="1"/>
          <w:numId w:val="1005"/>
        </w:numPr>
      </w:pPr>
    </w:p>
    <w:p>
      <w:pPr>
        <w:pStyle w:val="Compact"/>
        <w:numPr>
          <w:ilvl w:val="2"/>
          <w:numId w:val="1008"/>
        </w:numPr>
      </w:pPr>
      <w:r>
        <w:t xml:space="preserve">Конференция государств-участников должна собираться на очередную сессию не реже одного раза в год или чаще, как может быть установлено Конференцией, в дополнение к специальным сессиям по мере необходимости. У каждой Стороны один голос. Кворум составляет большинство Сторон.</w:t>
      </w:r>
    </w:p>
    <w:p>
      <w:pPr>
        <w:numPr>
          <w:ilvl w:val="0"/>
          <w:numId w:val="1004"/>
        </w:numPr>
      </w:pPr>
      <w:r>
        <w:t xml:space="preserve">Исполнительный совет</w:t>
      </w:r>
    </w:p>
    <w:p>
      <w:pPr>
        <w:pStyle w:val="Compact"/>
        <w:numPr>
          <w:ilvl w:val="1"/>
          <w:numId w:val="1009"/>
        </w:numPr>
      </w:pPr>
    </w:p>
    <w:p>
      <w:pPr>
        <w:pStyle w:val="Compact"/>
        <w:numPr>
          <w:ilvl w:val="2"/>
          <w:numId w:val="1010"/>
        </w:numPr>
      </w:pPr>
      <w:r>
        <w:t xml:space="preserve">Исполнительный совет состоит из 15 членов: (i) 5 мест, закрепленных за постоянными членами Совета Безопасности ООН, и (ii) 10 выборных мест, распределяемых по принципу справедливого географического представительства. Детали изложены в Приложении А.</w:t>
      </w:r>
    </w:p>
    <w:p>
      <w:pPr>
        <w:pStyle w:val="Compact"/>
        <w:numPr>
          <w:ilvl w:val="1"/>
          <w:numId w:val="1009"/>
        </w:numPr>
      </w:pPr>
    </w:p>
    <w:p>
      <w:pPr>
        <w:pStyle w:val="Compact"/>
        <w:numPr>
          <w:ilvl w:val="2"/>
          <w:numId w:val="1011"/>
        </w:numPr>
      </w:pPr>
      <w:r>
        <w:t xml:space="preserve">Избранные члены избираются сроком на два года. Половина мест переизбирается каждый год.</w:t>
      </w:r>
    </w:p>
    <w:p>
      <w:pPr>
        <w:pStyle w:val="Compact"/>
        <w:numPr>
          <w:ilvl w:val="1"/>
          <w:numId w:val="1009"/>
        </w:numPr>
      </w:pPr>
    </w:p>
    <w:p>
      <w:pPr>
        <w:pStyle w:val="Compact"/>
        <w:numPr>
          <w:ilvl w:val="2"/>
          <w:numId w:val="1012"/>
        </w:numPr>
      </w:pPr>
      <w:r>
        <w:t xml:space="preserve">Исполнительный совет должен: утверждать инспекции по запросу; рекомендовать бюджет и политику Конференции; назначать Генерального директора; осуществлять надзор за Техническим секретариатом посредством права вето.</w:t>
      </w:r>
    </w:p>
    <w:p>
      <w:pPr>
        <w:pStyle w:val="Compact"/>
        <w:numPr>
          <w:ilvl w:val="1"/>
          <w:numId w:val="1009"/>
        </w:numPr>
      </w:pPr>
    </w:p>
    <w:p>
      <w:pPr>
        <w:pStyle w:val="Compact"/>
        <w:numPr>
          <w:ilvl w:val="2"/>
          <w:numId w:val="1013"/>
        </w:numPr>
      </w:pPr>
      <w:r>
        <w:t xml:space="preserve">Процессы принятия решений таковы:</w:t>
      </w:r>
    </w:p>
    <w:p>
      <w:pPr>
        <w:pStyle w:val="Compact"/>
        <w:numPr>
          <w:ilvl w:val="2"/>
          <w:numId w:val="1014"/>
        </w:numPr>
      </w:pPr>
    </w:p>
    <w:p>
      <w:pPr>
        <w:pStyle w:val="Compact"/>
        <w:numPr>
          <w:ilvl w:val="3"/>
          <w:numId w:val="1015"/>
        </w:numPr>
      </w:pPr>
      <w:r>
        <w:t xml:space="preserve">Исполнительный совет избирает Председателя и Заместителя председателя Исполнительного совета.</w:t>
      </w:r>
    </w:p>
    <w:p>
      <w:pPr>
        <w:pStyle w:val="Compact"/>
        <w:numPr>
          <w:ilvl w:val="2"/>
          <w:numId w:val="1014"/>
        </w:numPr>
      </w:pPr>
    </w:p>
    <w:p>
      <w:pPr>
        <w:pStyle w:val="Compact"/>
        <w:numPr>
          <w:ilvl w:val="3"/>
          <w:numId w:val="1016"/>
        </w:numPr>
      </w:pPr>
      <w:r>
        <w:t xml:space="preserve">Председатель или Заместитель председателя могут действовать в качестве председательствующего.</w:t>
      </w:r>
    </w:p>
    <w:p>
      <w:pPr>
        <w:pStyle w:val="Compact"/>
        <w:numPr>
          <w:ilvl w:val="2"/>
          <w:numId w:val="1014"/>
        </w:numPr>
      </w:pPr>
    </w:p>
    <w:p>
      <w:pPr>
        <w:pStyle w:val="Compact"/>
        <w:numPr>
          <w:ilvl w:val="3"/>
          <w:numId w:val="1017"/>
        </w:numPr>
      </w:pPr>
      <w:r>
        <w:t xml:space="preserve">Голосование проходит по принципу «Один член – один голос».</w:t>
      </w:r>
    </w:p>
    <w:p>
      <w:pPr>
        <w:pStyle w:val="Compact"/>
        <w:numPr>
          <w:ilvl w:val="2"/>
          <w:numId w:val="1014"/>
        </w:numPr>
      </w:pPr>
    </w:p>
    <w:p>
      <w:pPr>
        <w:pStyle w:val="Compact"/>
        <w:numPr>
          <w:ilvl w:val="3"/>
          <w:numId w:val="1018"/>
        </w:numPr>
      </w:pPr>
      <w:r>
        <w:t xml:space="preserve">Для утверждения инспекции по запросу согласно Статье X требуется большинство голосов.</w:t>
      </w:r>
    </w:p>
    <w:p>
      <w:pPr>
        <w:pStyle w:val="Compact"/>
        <w:numPr>
          <w:ilvl w:val="2"/>
          <w:numId w:val="1014"/>
        </w:numPr>
      </w:pPr>
    </w:p>
    <w:p>
      <w:pPr>
        <w:pStyle w:val="Compact"/>
        <w:numPr>
          <w:ilvl w:val="3"/>
          <w:numId w:val="1019"/>
        </w:numPr>
      </w:pPr>
      <w:r>
        <w:t xml:space="preserve">Для наложения вето на изменения определений или протоколов гарантий, внесенные Техническим секретариатом, требуется большинство в две трети голосов.</w:t>
      </w:r>
    </w:p>
    <w:p>
      <w:pPr>
        <w:pStyle w:val="Compact"/>
        <w:numPr>
          <w:ilvl w:val="2"/>
          <w:numId w:val="1014"/>
        </w:numPr>
      </w:pPr>
    </w:p>
    <w:p>
      <w:pPr>
        <w:pStyle w:val="Compact"/>
        <w:numPr>
          <w:ilvl w:val="3"/>
          <w:numId w:val="1020"/>
        </w:numPr>
      </w:pPr>
      <w:r>
        <w:t xml:space="preserve">Для отзыва или назначения Генерального директора требуется большинство в две трети голосов.</w:t>
      </w:r>
    </w:p>
    <w:p>
      <w:pPr>
        <w:pStyle w:val="Compact"/>
        <w:numPr>
          <w:ilvl w:val="2"/>
          <w:numId w:val="1014"/>
        </w:numPr>
      </w:pPr>
    </w:p>
    <w:p>
      <w:pPr>
        <w:pStyle w:val="Compact"/>
        <w:numPr>
          <w:ilvl w:val="3"/>
          <w:numId w:val="1021"/>
        </w:numPr>
      </w:pPr>
      <w:r>
        <w:t xml:space="preserve">Все остальные решения требуют большинства в две трети голосов.</w:t>
      </w:r>
    </w:p>
    <w:p>
      <w:pPr>
        <w:pStyle w:val="Compact"/>
        <w:numPr>
          <w:ilvl w:val="2"/>
          <w:numId w:val="1014"/>
        </w:numPr>
      </w:pPr>
    </w:p>
    <w:p>
      <w:pPr>
        <w:pStyle w:val="Compact"/>
        <w:numPr>
          <w:ilvl w:val="3"/>
          <w:numId w:val="1022"/>
        </w:numPr>
      </w:pPr>
      <w:r>
        <w:t xml:space="preserve">Кворум требует присутствия двух третей членов Исполнительного совета.</w:t>
      </w:r>
    </w:p>
    <w:p>
      <w:pPr>
        <w:numPr>
          <w:ilvl w:val="0"/>
          <w:numId w:val="1004"/>
        </w:numPr>
      </w:pPr>
      <w:r>
        <w:t xml:space="preserve">Технический секретариат и Генеральный директор</w:t>
      </w:r>
    </w:p>
    <w:p>
      <w:pPr>
        <w:pStyle w:val="Compact"/>
        <w:numPr>
          <w:ilvl w:val="1"/>
          <w:numId w:val="1023"/>
        </w:numPr>
      </w:pPr>
    </w:p>
    <w:p>
      <w:pPr>
        <w:pStyle w:val="Compact"/>
        <w:numPr>
          <w:ilvl w:val="2"/>
          <w:numId w:val="1024"/>
        </w:numPr>
      </w:pPr>
      <w:r>
        <w:t xml:space="preserve">Генеральный директор Технического секретариата является его главой и главным административным должностным лицом.</w:t>
      </w:r>
    </w:p>
    <w:p>
      <w:pPr>
        <w:pStyle w:val="Compact"/>
        <w:numPr>
          <w:ilvl w:val="1"/>
          <w:numId w:val="1023"/>
        </w:numPr>
      </w:pPr>
    </w:p>
    <w:p>
      <w:pPr>
        <w:pStyle w:val="Compact"/>
        <w:numPr>
          <w:ilvl w:val="2"/>
          <w:numId w:val="1025"/>
        </w:numPr>
      </w:pPr>
      <w:r>
        <w:t xml:space="preserve">Генеральный директор назначается Исполнительным советом на четырехлетний срок с правом однократного переизбрания. Исполнительный совет может отозвать Генерального директора.</w:t>
      </w:r>
    </w:p>
    <w:p>
      <w:pPr>
        <w:pStyle w:val="Compact"/>
        <w:numPr>
          <w:ilvl w:val="1"/>
          <w:numId w:val="1023"/>
        </w:numPr>
      </w:pPr>
    </w:p>
    <w:p>
      <w:pPr>
        <w:pStyle w:val="Compact"/>
        <w:numPr>
          <w:ilvl w:val="2"/>
          <w:numId w:val="1026"/>
        </w:numPr>
      </w:pPr>
      <w:r>
        <w:t xml:space="preserve">Технический секретариат изначально включает технические отделы: Отслеживания чипов и производственных гарантий, Гарантий проверки использования чипов, Контроля исследований, Консолидации информации, Технических обзоров, Административно-финансовый, а также Правовых вопросов и соблюдения обязательств. Генеральный директор может создавать и распускать технические отделы.</w:t>
      </w:r>
    </w:p>
    <w:p>
      <w:pPr>
        <w:pStyle w:val="Compact"/>
        <w:numPr>
          <w:ilvl w:val="1"/>
          <w:numId w:val="1023"/>
        </w:numPr>
      </w:pPr>
    </w:p>
    <w:p>
      <w:pPr>
        <w:pStyle w:val="Compact"/>
        <w:numPr>
          <w:ilvl w:val="2"/>
          <w:numId w:val="1027"/>
        </w:numPr>
      </w:pPr>
      <w:r>
        <w:t xml:space="preserve">Технический секретариат через Генерального директора предлагает изменения в технические определения и протоколы гарантий, необходимые для реализации Статьи IV, Статьи V, Статьи VI, Статьи VII, Статьи VIII, Статьи IX и Статьи X настоящего Договора.</w:t>
      </w:r>
    </w:p>
    <w:p>
      <w:pPr>
        <w:pStyle w:val="Compact"/>
        <w:numPr>
          <w:ilvl w:val="2"/>
          <w:numId w:val="1028"/>
        </w:numPr>
      </w:pPr>
    </w:p>
    <w:p>
      <w:pPr>
        <w:pStyle w:val="Compact"/>
        <w:numPr>
          <w:ilvl w:val="3"/>
          <w:numId w:val="1029"/>
        </w:numPr>
      </w:pPr>
      <w:r>
        <w:t xml:space="preserve">Срочные изменения пороговых значений FLOP (Статья IV), размера подпадающих под действие вычислительных кластеров (Статья V) и границ ограниченных исследований (Статья VIII) могут быть введены Генеральным директором немедленно, если бездействие создает угрозу безопасности. Такие изменения действуют в течение тридцати дней. По истечении этого срока для продолжения действия изменений требуется одобрение Исполнительного совета.</w:t>
      </w:r>
    </w:p>
    <w:p>
      <w:pPr>
        <w:pStyle w:val="Compact"/>
        <w:numPr>
          <w:ilvl w:val="2"/>
          <w:numId w:val="1028"/>
        </w:numPr>
      </w:pPr>
    </w:p>
    <w:p>
      <w:pPr>
        <w:pStyle w:val="Compact"/>
        <w:numPr>
          <w:ilvl w:val="3"/>
          <w:numId w:val="1030"/>
        </w:numPr>
      </w:pPr>
      <w:r>
        <w:t xml:space="preserve">Решения по вопросам существа по мере возможности должны приниматься консенсусом Исполнительного Совета. Генеральный директор должен прилагать усилия для достижения консенсуса. Если консенсус невозможен по истечении 24 часов, проводится голосование. Исполнительный совет принимает изменения, если за них проголосует большинство присутствующих и участвующих в голосовании членов, и отклоняет их в противном случае.</w:t>
      </w:r>
    </w:p>
    <w:p>
      <w:pPr>
        <w:numPr>
          <w:ilvl w:val="0"/>
          <w:numId w:val="1004"/>
        </w:numPr>
      </w:pPr>
      <w:r>
        <w:t xml:space="preserve">Регулярный бюджет ISIA финансируется за счет начисленных взносов Сторон с использованием шкалы, производной от шкалы взносов ООН, с учётом нижнего и верхнего пределов, установленных Исполнительным советом. Государства-члены также имеют возможность делать добровольные взносы на исследования безопасности ИИ, связанные с согласованием, интерпретируемостью и деятельностью по наращиванию потенциала государств-членов, куда входят полезное использование безопасного ИИ, разработка испытательных полигонов, лучшие практики, обмен информацией и содействие сотрудничеству и совместной деятельности, в общих чертах смоделированной по образцу</w:t>
      </w:r>
      <w:r>
        <w:t xml:space="preserve"> </w:t>
      </w:r>
      <w:hyperlink r:id="rId31">
        <w:r>
          <w:rPr>
            <w:rStyle w:val="Hyperlink"/>
          </w:rPr>
          <w:t xml:space="preserve">Международной сети центров подготовки кадров и содействия деятельности в области физической ядерной безопасности</w:t>
        </w:r>
      </w:hyperlink>
      <w:r>
        <w:t xml:space="preserve"> </w:t>
      </w:r>
      <w:r>
        <w:t xml:space="preserve">МАГАТЭ.</w:t>
      </w:r>
    </w:p>
    <w:p>
      <w:r>
        <w:pict>
          <v:rect style="width:0;height:1.5pt" o:hralign="center" o:hrstd="t" o:hr="t"/>
        </w:pict>
      </w:r>
    </w:p>
    <w:bookmarkStart w:id="32" w:name="примечания-1"/>
    <w:p>
      <w:pPr>
        <w:pStyle w:val="Heading3"/>
      </w:pPr>
      <w:r>
        <w:t xml:space="preserve">Примечания</w:t>
      </w:r>
    </w:p>
    <w:p>
      <w:pPr>
        <w:pStyle w:val="FirstParagraph"/>
      </w:pPr>
      <w:r>
        <w:t xml:space="preserve">Как и другие международные органы, ISIA будет укомплектовано дипломатами и техническими экспертами из стран-подписантов. Основной смысл описанного выше: ISIA наделяется полномочиями реализовывать большую часть требований договора и обновлять некоторые аспекты договора с течением времени.</w:t>
      </w:r>
    </w:p>
    <w:p>
      <w:pPr>
        <w:pStyle w:val="BodyText"/>
      </w:pPr>
      <w:r>
        <w:t xml:space="preserve">Этот подход ставит во главу угла предотвращение создания суперинтеллекта и поддержание силы договора до тех пор, пока мир не будет готов двигаться дальше. Так проект наделил бы эту многонациональную организацию полномочиями для большей части того, что надо делать. ISIA централизует выполнение нескольких ключевых функций договора, в том числе поддержку точных ограничений разрешенных исследований, разработки и развертывания ИИ. Ещё Агентство – основной верификатор соблюдения договора. Оно же консолидирует конфиденциальную разведывательную информацию от подписантов. Критически важно, что совместная работа ISIA со временем укрепляет необходимое доверие между сторонами договора.</w:t>
      </w:r>
    </w:p>
    <w:p>
      <w:pPr>
        <w:pStyle w:val="BodyText"/>
      </w:pPr>
      <w:r>
        <w:t xml:space="preserve">Однако, это всё не даётся бесплатно. В первую очередь, б</w:t>
      </w:r>
      <w:r>
        <w:rPr>
          <w:i/>
          <w:iCs/>
        </w:rPr>
        <w:t xml:space="preserve">о</w:t>
      </w:r>
      <w:r>
        <w:t xml:space="preserve">льшая централизация требует большего доверия от стран-подписантов. Желательные участники договора могут счесть политически неприемлемым передачу полномочий такого уровня международной организации. Или они могут не доверять организации, опасаясь, что она будет действовать недостаточно независимо от влияния ее наиболее могущественных членов.</w:t>
      </w:r>
    </w:p>
    <w:p>
      <w:pPr>
        <w:pStyle w:val="BodyText"/>
      </w:pPr>
      <w:r>
        <w:t xml:space="preserve">Альтернативный механизм мог бы централизовать только самое необходимое. Например, поддержание и разъяснение ограничений на исследования, разработку и развертывание ИИ. При этом отдельные подписанты могли бы самостоятельно проверять соблюдение требований к их собственному удовлетворению.</w:t>
      </w:r>
    </w:p>
    <w:p>
      <w:pPr>
        <w:pStyle w:val="BodyText"/>
      </w:pPr>
      <w:r>
        <w:t xml:space="preserve">Еще один вопрос – насколько инклюзивным делать такой договор. В нашем примере создаётся многосторонняя организация. Всем государствам предлагается подписать договор и участвовать в его исполнении. Альтернатива – договор, ориентированный, например, только на Китай и США. Он создавал бы узконправленный двусторонний режим проверки. Это было бы полезно для каждой стороны при как можно меньших жертвах автономией и прозрачностью. И каждой стороне была бы поставлена отдельная последующая задача по привлечению других государств.</w:t>
      </w:r>
    </w:p>
    <w:p>
      <w:pPr>
        <w:pStyle w:val="BodyText"/>
      </w:pPr>
      <w:r>
        <w:t xml:space="preserve">Суть этого примера договора – продемонстрировать, как мог бы выглядеть международный контроль,</w:t>
      </w:r>
      <w:r>
        <w:t xml:space="preserve"> </w:t>
      </w:r>
      <w:r>
        <w:rPr>
          <w:i/>
          <w:iCs/>
        </w:rPr>
        <w:t xml:space="preserve">если бы</w:t>
      </w:r>
      <w:r>
        <w:t xml:space="preserve"> </w:t>
      </w:r>
      <w:r>
        <w:t xml:space="preserve">мировые лидеры осознали насущную опасность. Вот мы и обрисовываем структуру, которая работала бы со многими Сторонами. И каждая что-то выигрывала бы от присоединения к договору.</w:t>
      </w:r>
    </w:p>
    <w:p>
      <w:pPr>
        <w:pStyle w:val="BodyText"/>
      </w:pPr>
      <w:r>
        <w:t xml:space="preserve">Потому наша структура Исполнительного совета ISIA включает всех постоянных членов Совета Безопасности ООН и смоделирована по образцу состава МАГАТЭ.</w:t>
      </w:r>
    </w:p>
    <w:p>
      <w:pPr>
        <w:pStyle w:val="BodyText"/>
      </w:pPr>
      <w:r>
        <w:t xml:space="preserve">Учитывая статус TSMC как ведущего производителя ИИ-чипов, любой договор по ИИ должен учитывать вопрос Тайваня. Мы решили тут использовать прецедент ДНЯО. В идеале Тайвань реализовал бы формальные договоренности и/или декларации, заявляющие, что он считает себя связанным принципами этого Договора. Это означало бы фактическое соблюдение Договора. Самое важное, что Тайвань согласился бы на проведение на местах плановых инспекций и/или инспекций по запросу. Это нужно, чтобы гарантировать соблюдение им принципов договора.</w:t>
      </w:r>
    </w:p>
    <w:p>
      <w:pPr>
        <w:pStyle w:val="BodyText"/>
      </w:pPr>
      <w:r>
        <w:t xml:space="preserve">Как именно Исполнительный совет и ISIA должны принимать решения и какие полномочия делегируются различным органам – открытые вопросы. Эта Статья предлагает один из вариантов. Тут значительная власть выдаётся Техническому секретариату. А Исполнительный совет получает надзорные полномочия.</w:t>
      </w:r>
    </w:p>
    <w:p>
      <w:pPr>
        <w:pStyle w:val="BodyText"/>
      </w:pPr>
      <w:r>
        <w:t xml:space="preserve">Одно из преимуществ такой структуры – так технический орган может быстро принимать решения и обладает широкими полномочиями для выполнения своей миссии. Но любые изменения требуют одобрения простым большинством членов Исполнительного совета в течение 30 дней, а иначе перестают действовать. Мировым лидерам может быть некомфортно делегировать столько власти техническим экспертам. Но и технические эксперты, скорее всего, не будут доверять геополитическим игрокам в решении заковыристых технических вопросов, которые возникнут при реализации Договора. И ещё в том, что политики будут достаточно адаптивны, чтобы вовремя реагировать на изменения технической ситуации. Мы привели лишь один вариант, как сбалансировать полномочия по принятию решений. Есть и много других.</w:t>
      </w:r>
    </w:p>
    <w:p>
      <w:pPr>
        <w:pStyle w:val="BodyText"/>
      </w:pPr>
      <w:r>
        <w:t xml:space="preserve">Один из таких подходов: сильнее разделить обязанности, определений и типы гарантий, реализуемых ISIA. (Например: пороги FLOP для обучения, определение CCC, определение ИИ-чипа, считать ли конкретный объект заводом по производству чипов, протоколы проверки использования чипов, определение Ограниченных Исследований и т.д.) Можно установить разные процедуры голосования для этих изменений в зависимости от их важности.</w:t>
      </w:r>
    </w:p>
    <w:p>
      <w:r>
        <w:pict>
          <v:rect style="width:0;height:1.5pt" o:hralign="center" o:hrstd="t" o:hr="t"/>
        </w:pict>
      </w:r>
    </w:p>
    <w:bookmarkEnd w:id="32"/>
    <w:bookmarkStart w:id="43" w:name="прецеденты-2"/>
    <w:p>
      <w:pPr>
        <w:pStyle w:val="Heading3"/>
      </w:pPr>
      <w:r>
        <w:t xml:space="preserve">Прецеденты</w:t>
      </w:r>
    </w:p>
    <w:p>
      <w:pPr>
        <w:pStyle w:val="FirstParagraph"/>
      </w:pPr>
      <w:r>
        <w:t xml:space="preserve">В нашем наброске трёхзвенная структура управления ISIA смоделирована по образцу ОЗХО.</w:t>
      </w:r>
      <w:r>
        <w:rPr>
          <w:rStyle w:val="FootnoteReference"/>
        </w:rPr>
        <w:footnoteReference w:id="33"/>
      </w:r>
      <w:r>
        <w:t xml:space="preserve"> </w:t>
      </w:r>
      <w:r>
        <w:t xml:space="preserve">Это орган, которому поручено выполнение Конвенции о запрещении химического оружия (КЗХО). Названия тоже заимствованы у ОЗХО. (В реальном договоре могут быть предпочтительны другие структуры и названия. Ниже мы приводим прецедент для некоторых менее централизованных соглашений).</w:t>
      </w:r>
    </w:p>
    <w:p>
      <w:pPr>
        <w:pStyle w:val="BodyText"/>
      </w:pPr>
      <w:r>
        <w:t xml:space="preserve">Исполнительный совет, учрежденный нашим Пунктом 4, подпунктами (a) и (d), подражает Совету управляющих ДНЯО. Мы выделили пять из пятнадцати мест в Совете постоянным членам Совета Безопасности ООН. Пять первоначальных государств, обладающих ядерным оружием согласно ДНЯО, также оказались пятью постоянными членами Совета Безопасности ООН. Вероятно, без их участия в качестве центральных партнеров ДНЯО провалился бы с самого начала.</w:t>
      </w:r>
    </w:p>
    <w:p>
      <w:pPr>
        <w:pStyle w:val="BodyText"/>
      </w:pPr>
      <w:r>
        <w:t xml:space="preserve">Наше положение о «10 выборных местах, распределяемых по принципу справедливого географического представительства» тоже перекликается с ДНЯО. Тот предусматривает, что новые Управляющие должны включать «члена, наиболее продвинутого в технологии атомной энергии, включая производство исходных материалов, в каждом из» восьми указанных регионов.</w:t>
      </w:r>
    </w:p>
    <w:p>
      <w:pPr>
        <w:pStyle w:val="BodyText"/>
      </w:pPr>
      <w:r>
        <w:t xml:space="preserve">Тайвань усложняет нам дело. У него деликатная геополитическая ситуация, а он производит большую часть ИИ-чипов. К счастью, прецедент помогает. Тайвань – не участник ДНЯО, но неоднократно заявлял, что считает себя связанным его принципами. Тайвань позволяет МАГАТЭ проводить инспекции и применять стандарты к своим ядерным объектам. Для этого существует трехстороннее соглашение с США и МАГАТЭ. К договору по нашему проекту тоже могло бы такое прилагаться.</w:t>
      </w:r>
    </w:p>
    <w:p>
      <w:pPr>
        <w:pStyle w:val="BodyText"/>
      </w:pPr>
      <w:r>
        <w:t xml:space="preserve">Как Исполнительный совет принимает решения – смоделировано по образцу</w:t>
      </w:r>
      <w:r>
        <w:t xml:space="preserve"> </w:t>
      </w:r>
      <w:hyperlink r:id="rId36">
        <w:r>
          <w:rPr>
            <w:rStyle w:val="Hyperlink"/>
          </w:rPr>
          <w:t xml:space="preserve">Правил и процедур Совета управляющих</w:t>
        </w:r>
      </w:hyperlink>
      <w:r>
        <w:t xml:space="preserve"> </w:t>
      </w:r>
      <w:r>
        <w:t xml:space="preserve">МАГАТЭ.</w:t>
      </w:r>
      <w:r>
        <w:rPr>
          <w:rStyle w:val="FootnoteReference"/>
        </w:rPr>
        <w:footnoteReference w:id="37"/>
      </w:r>
      <w:r>
        <w:t xml:space="preserve"> </w:t>
      </w:r>
      <w:r>
        <w:t xml:space="preserve">Процедуры голосования тоже позаимствованы из</w:t>
      </w:r>
      <w:r>
        <w:t xml:space="preserve"> </w:t>
      </w:r>
      <w:hyperlink r:id="rId38">
        <w:r>
          <w:rPr>
            <w:rStyle w:val="Hyperlink"/>
          </w:rPr>
          <w:t xml:space="preserve">Устава МАГАТЭ</w:t>
        </w:r>
      </w:hyperlink>
      <w:r>
        <w:t xml:space="preserve">.</w:t>
      </w:r>
    </w:p>
    <w:p>
      <w:pPr>
        <w:pStyle w:val="BodyText"/>
      </w:pPr>
      <w:r>
        <w:t xml:space="preserve">Прецедент менее централизованных (но все же потенциально эффективных) механизмов можно найти в других договорах о ядерном оружии.</w:t>
      </w:r>
      <w:r>
        <w:t xml:space="preserve"> </w:t>
      </w:r>
      <w:hyperlink r:id="rId39">
        <w:r>
          <w:rPr>
            <w:rStyle w:val="Hyperlink"/>
          </w:rPr>
          <w:t xml:space="preserve">Договор о ликвидации ракет средней и меньшей дальности</w:t>
        </w:r>
      </w:hyperlink>
      <w:r>
        <w:t xml:space="preserve"> </w:t>
      </w:r>
      <w:r>
        <w:t xml:space="preserve">(ДРСМД) и Договоры о сокращении стратегических наступательных вооружений (</w:t>
      </w:r>
      <w:hyperlink r:id="rId40">
        <w:r>
          <w:rPr>
            <w:rStyle w:val="Hyperlink"/>
          </w:rPr>
          <w:t xml:space="preserve">СНВ-1</w:t>
        </w:r>
      </w:hyperlink>
      <w:r>
        <w:t xml:space="preserve">,</w:t>
      </w:r>
      <w:r>
        <w:t xml:space="preserve"> </w:t>
      </w:r>
      <w:hyperlink r:id="rId41">
        <w:r>
          <w:rPr>
            <w:rStyle w:val="Hyperlink"/>
          </w:rPr>
          <w:t xml:space="preserve">СНВ-2</w:t>
        </w:r>
      </w:hyperlink>
      <w:r>
        <w:t xml:space="preserve"> </w:t>
      </w:r>
      <w:r>
        <w:t xml:space="preserve">и</w:t>
      </w:r>
      <w:r>
        <w:t xml:space="preserve"> </w:t>
      </w:r>
      <w:hyperlink r:id="rId42">
        <w:r>
          <w:rPr>
            <w:rStyle w:val="Hyperlink"/>
          </w:rPr>
          <w:t xml:space="preserve">СНВ-3</w:t>
        </w:r>
      </w:hyperlink>
      <w:r>
        <w:t xml:space="preserve">) возлагают ответственность за реализацию и проверку на отдельные стороны. Каждая обязуется соблюдать процедуры, которые позволяют другой быть достаточно уверенной, что договор соблюдается.</w:t>
      </w:r>
    </w:p>
    <w:p>
      <w:pPr>
        <w:pStyle w:val="BodyText"/>
      </w:pPr>
      <w:r>
        <w:t xml:space="preserve">«Инспекции по запросу» в Пункте 4(c) смоделированы по образцу механизма в Части X КЗХО. Мы подробнее рассмотрим этот прецедент после Статьи X.</w:t>
      </w:r>
    </w:p>
    <w:p>
      <w:r>
        <w:pict>
          <v:rect style="width:0;height:1.5pt" o:hralign="center" o:hrstd="t" o:hr="t"/>
        </w:pict>
      </w:r>
    </w:p>
    <w:bookmarkEnd w:id="43"/>
    <w:bookmarkEnd w:id="44"/>
    <w:bookmarkStart w:id="57" w:name="статья-iv-обучение-ии"/>
    <w:p>
      <w:pPr>
        <w:pStyle w:val="Heading2"/>
      </w:pPr>
      <w:r>
        <w:t xml:space="preserve">Статья IV: Обучение ИИ</w:t>
      </w:r>
    </w:p>
    <w:p>
      <w:pPr>
        <w:numPr>
          <w:ilvl w:val="0"/>
          <w:numId w:val="1031"/>
        </w:numPr>
      </w:pPr>
      <w:r>
        <w:t xml:space="preserve">Каждая Сторона соглашается запретить обучение ИИ, превышающее следующие пороги: любой обучающий запуск, превышающий 1e24 FLOP, или любой запуск постобучения, превышающий 1e23 FLOP. Каждая Сторона соглашается не проводить обучающие запуски выше этих порогов и не позволять любым субъектам проводить обучающие запуски выше этих порогов в пределах своей юрисдикции.</w:t>
      </w:r>
    </w:p>
    <w:p>
      <w:pPr>
        <w:pStyle w:val="Compact"/>
        <w:numPr>
          <w:ilvl w:val="1"/>
          <w:numId w:val="1032"/>
        </w:numPr>
      </w:pPr>
    </w:p>
    <w:p>
      <w:pPr>
        <w:pStyle w:val="Compact"/>
        <w:numPr>
          <w:ilvl w:val="2"/>
          <w:numId w:val="1033"/>
        </w:numPr>
      </w:pPr>
      <w:r>
        <w:t xml:space="preserve">Технический секретариат может изменять эти пороги в соответствии с процессом, описанным в Статье III. Исполнительный совет может наложить вето на такие решения большинством в две трети голосов.</w:t>
      </w:r>
    </w:p>
    <w:p>
      <w:pPr>
        <w:numPr>
          <w:ilvl w:val="0"/>
          <w:numId w:val="1031"/>
        </w:numPr>
      </w:pPr>
      <w:r>
        <w:t xml:space="preserve">Каждая Сторона должна сообщать ISIA о любом обучающем запуске в диапазоне от 1e22 до 1e24 FLOP до его начала. Это относится к обучающим запускам, проводимым Стороной или любым субъектом в пределах ее юрисдикции.</w:t>
      </w:r>
    </w:p>
    <w:p>
      <w:pPr>
        <w:pStyle w:val="Compact"/>
        <w:numPr>
          <w:ilvl w:val="1"/>
          <w:numId w:val="1034"/>
        </w:numPr>
      </w:pPr>
    </w:p>
    <w:p>
      <w:pPr>
        <w:pStyle w:val="Compact"/>
        <w:numPr>
          <w:ilvl w:val="2"/>
          <w:numId w:val="1035"/>
        </w:numPr>
      </w:pPr>
      <w:r>
        <w:t xml:space="preserve">Этот отчет должен включать, помимо прочего, весь код процесса обучения и оценку общего количества FLOP на обучение. Сторона должна предоставить сотрудникам ISIA контролируемый доступ ко всем данным с логированием доступа, соответствующим чувствительности данных, а также защитой от копирования или несанкционированного раскрытия. Непредоставление сотрудникам ISIA достаточного доступа к данным является основанием для запрета обучающего запуска по усмотрению ISIA. ISIA может запросить любую дополнительную документацию, касающуюся обучающего запуска. ISIA также предварительно одобряет набор небольших изменений, которые могут быть внесены в процедуру обучения в ходе процесса. О любых таких изменениях сообщается в ISIA, когда и если они производятся.</w:t>
      </w:r>
    </w:p>
    <w:p>
      <w:pPr>
        <w:pStyle w:val="Compact"/>
        <w:numPr>
          <w:ilvl w:val="1"/>
          <w:numId w:val="1034"/>
        </w:numPr>
      </w:pPr>
    </w:p>
    <w:p>
      <w:pPr>
        <w:pStyle w:val="Compact"/>
        <w:numPr>
          <w:ilvl w:val="2"/>
          <w:numId w:val="1036"/>
        </w:numPr>
      </w:pPr>
      <w:r>
        <w:t xml:space="preserve">Отсутствие ответа со стороны ISIA по истечении 30 дней считается одобрением, однако ISIA может продлить этот период, уведомив, что для проверки требуется дополнительное время. Эти продления не ограничены, но Стороны могут обжаловать чрезмерные задержки у Директора или в Исполнительном совете.</w:t>
      </w:r>
    </w:p>
    <w:p>
      <w:pPr>
        <w:pStyle w:val="Compact"/>
        <w:numPr>
          <w:ilvl w:val="1"/>
          <w:numId w:val="1034"/>
        </w:numPr>
      </w:pPr>
    </w:p>
    <w:p>
      <w:pPr>
        <w:pStyle w:val="Compact"/>
        <w:numPr>
          <w:ilvl w:val="2"/>
          <w:numId w:val="1037"/>
        </w:numPr>
      </w:pPr>
      <w:r>
        <w:t xml:space="preserve">ISIA может осуществлять мониторинг таких обучающих запусков, и Сторона будет предоставлять чекпойнты модели в ISIA по запросу Агентства, включая финальную обученную модель [первоначальные детали такого мониторинга должны быть описаны в Приложении].</w:t>
      </w:r>
    </w:p>
    <w:p>
      <w:pPr>
        <w:pStyle w:val="Compact"/>
        <w:numPr>
          <w:ilvl w:val="1"/>
          <w:numId w:val="1034"/>
        </w:numPr>
      </w:pPr>
    </w:p>
    <w:p>
      <w:pPr>
        <w:pStyle w:val="Compact"/>
        <w:numPr>
          <w:ilvl w:val="2"/>
          <w:numId w:val="1038"/>
        </w:numPr>
      </w:pPr>
      <w:r>
        <w:t xml:space="preserve">В случае если мониторинг выявит вызывающие беспокойство возможности или поведение ИИ, ISIA может выдать предписание о приостановке обучающего запуска или класса запусков, пока не сочтет их продолжение безопасным.</w:t>
      </w:r>
    </w:p>
    <w:p>
      <w:pPr>
        <w:pStyle w:val="Compact"/>
        <w:numPr>
          <w:ilvl w:val="1"/>
          <w:numId w:val="1034"/>
        </w:numPr>
      </w:pPr>
    </w:p>
    <w:p>
      <w:pPr>
        <w:pStyle w:val="Compact"/>
        <w:numPr>
          <w:ilvl w:val="2"/>
          <w:numId w:val="1039"/>
        </w:numPr>
      </w:pPr>
      <w:r>
        <w:t xml:space="preserve">ISIA будет поддерживать надежные методы обеспечения безопасности. ISIA не будет делиться информацией о заявленных обучающих запусках, если только не определит, что заявленное обучение нарушает Договор. В этом случае оно предоставит всем Сторонам Договора информацию, достаточную для определения факта нарушения.</w:t>
      </w:r>
    </w:p>
    <w:p>
      <w:pPr>
        <w:pStyle w:val="Compact"/>
        <w:numPr>
          <w:ilvl w:val="1"/>
          <w:numId w:val="1034"/>
        </w:numPr>
      </w:pPr>
    </w:p>
    <w:p>
      <w:pPr>
        <w:pStyle w:val="Compact"/>
        <w:numPr>
          <w:ilvl w:val="2"/>
          <w:numId w:val="1040"/>
        </w:numPr>
      </w:pPr>
      <w:r>
        <w:t xml:space="preserve">В случае если Сторона обнаружит обучающий запуск, превышающий установленные пороги, Сторона должна сообщить об этом запуске в ISIA и остановить этот запуск (если он продолжается). Такой обучающий запуск может быть возобновлен только с одобрения ISIA.</w:t>
      </w:r>
    </w:p>
    <w:p>
      <w:pPr>
        <w:numPr>
          <w:ilvl w:val="0"/>
          <w:numId w:val="1031"/>
        </w:numPr>
      </w:pPr>
      <w:r>
        <w:t xml:space="preserve">Каждая Сторона и субъекты в пределах ее юрисдикции могут проводить обучающие запуски объемом менее 1e22 FLOP без надзора или одобрения со стороны ISIA.</w:t>
      </w:r>
    </w:p>
    <w:p>
      <w:pPr>
        <w:numPr>
          <w:ilvl w:val="0"/>
          <w:numId w:val="1031"/>
        </w:numPr>
      </w:pPr>
      <w:r>
        <w:t xml:space="preserve">Большинством в две трети голосов Исполнительного совета ISIA может санкционировать специальные исключения для таких видов деятельности, как оценки безопасности, беспилотные транспортные средства, медицинские технологии и другие виды деятельности, которые Генеральный директор сочтет безопасными. Эти исключения могут допускать обучающие запуски объемом более 1e24 FLOP под надзором ISIA или презумпцию одобрения со стороны ISIA для запусков от 1e22 до 1e24 FLOP.</w:t>
      </w:r>
    </w:p>
    <w:p>
      <w:r>
        <w:pict>
          <v:rect style="width:0;height:1.5pt" o:hralign="center" o:hrstd="t" o:hr="t"/>
        </w:pict>
      </w:r>
    </w:p>
    <w:bookmarkStart w:id="47" w:name="примечания-2"/>
    <w:p>
      <w:pPr>
        <w:pStyle w:val="Heading3"/>
      </w:pPr>
      <w:r>
        <w:t xml:space="preserve">Примечания</w:t>
      </w:r>
    </w:p>
    <w:p>
      <w:pPr>
        <w:pStyle w:val="FirstParagraph"/>
      </w:pPr>
      <w:r>
        <w:t xml:space="preserve">Главный способ улучшения современных ИИ — влить в обучение больше вычислительных ресурсов. (См. раздел «Что нужно для глобальной остановки разработки ИИ?» материалов к Главе 13.) Ограничение этих ресурсов и исследований алгоритмов (статья VIII) может снизить риск скорого создания ИИ умнее человека.</w:t>
      </w:r>
    </w:p>
    <w:p>
      <w:pPr>
        <w:pStyle w:val="BodyText"/>
      </w:pPr>
      <w:r>
        <w:t xml:space="preserve">Запрет основан на количестве операций (FLOP). Это легко определить и измерить. Существующие передовые модели дают нам представление о том, какие объемы вычислительных ресурсов безопасны при текущих алгоритмах.</w:t>
      </w:r>
    </w:p>
    <w:p>
      <w:pPr>
        <w:pStyle w:val="BodyText"/>
      </w:pPr>
      <w:r>
        <w:t xml:space="preserve">В идеале мы бы хотели ограничивать обучение по возможностям готовой системы. Но никто не умеет точно предсказывать, что сможет или не сможет делать новый, ещё не обученный, ИИ. Поэтому мы используем вычислительные ресурсы как прокси-показатель.</w:t>
      </w:r>
    </w:p>
    <w:p>
      <w:pPr>
        <w:pStyle w:val="BodyText"/>
      </w:pPr>
      <w:r>
        <w:t xml:space="preserve">Жесткий лимит в 1e24 FLOP чуть ниже уровня близких к передовым моделей на август 2025 года (например, DeepSeek-V3 с</w:t>
      </w:r>
      <w:r>
        <w:t xml:space="preserve"> </w:t>
      </w:r>
      <w:hyperlink r:id="rId45">
        <w:r>
          <w:rPr>
            <w:rStyle w:val="Hyperlink"/>
          </w:rPr>
          <w:t xml:space="preserve">3e24 FLOP</w:t>
        </w:r>
      </w:hyperlink>
      <w:r>
        <w:t xml:space="preserve">. Мы выбрали этот порог, так как он ниже уровня, на котором ИИ станут опасными (при нынешних алгоритмах). И он дает запас прочности на случай небольшого алгоритмического прогресса.</w:t>
      </w:r>
    </w:p>
    <w:p>
      <w:pPr>
        <w:pStyle w:val="BodyText"/>
      </w:pPr>
      <w:r>
        <w:t xml:space="preserve">Лимит на постобучение (1e23) касается ИИ, созданных до вступления Договора в силу. Многие из них требовали больше 1e24 FLOP (на середину 2025 года</w:t>
      </w:r>
      <w:r>
        <w:t xml:space="preserve"> </w:t>
      </w:r>
      <w:hyperlink r:id="rId46">
        <w:r>
          <w:rPr>
            <w:rStyle w:val="Hyperlink"/>
          </w:rPr>
          <w:t xml:space="preserve">таких моделей от 50 до 100</w:t>
        </w:r>
      </w:hyperlink>
      <w:r>
        <w:t xml:space="preserve">. Веса многих из них выложены открыто, так что запретить их использование невозможно. Но реально предотвратить их серьезную модификацию через постобучение.</w:t>
      </w:r>
    </w:p>
    <w:p>
      <w:pPr>
        <w:pStyle w:val="BodyText"/>
      </w:pPr>
      <w:r>
        <w:t xml:space="preserve">Запуск на 1e22 FLOP на 16 картах H100 займет около недели. Это достаточно много, чтобы любители не нарушили запрет случайно, обучая мелкие разрешенные модели. ИИ такого масштаба (с текущими алгоритмами) пока далеки от опасных. Но алгоритмический прогресс, если его не остановить, может сделать ситуацию куда опаснее. Тогда потребуется запрещать действия, которые сейчас под силу небольшим решительным группам с деньгами.</w:t>
      </w:r>
    </w:p>
    <w:p>
      <w:pPr>
        <w:pStyle w:val="BodyText"/>
      </w:pPr>
      <w:r>
        <w:t xml:space="preserve">В диапазоне 1e22–1e24 FLOP ISIA будет заранее получать код обучения и оценки FLOP. Это позволит одобрять запуски без новых алгоритмических методов.</w:t>
      </w:r>
    </w:p>
    <w:p>
      <w:pPr>
        <w:pStyle w:val="BodyText"/>
      </w:pPr>
      <w:r>
        <w:t xml:space="preserve">Обучение часто требует мелких исправлений (обновить библиотеку, перетасовать данные). ISIA может заранее одобрить набор мелких правок, чтобы не надо было запрашивать разрешение заново. О таких правках все равно нужно сообщать.</w:t>
      </w:r>
    </w:p>
    <w:p>
      <w:pPr>
        <w:pStyle w:val="BodyText"/>
      </w:pPr>
      <w:r>
        <w:t xml:space="preserve">Отчетность и мониторинг в диапазоне 1e22–1e24 FLOP позволят людям пользоваться благами безопасных (при нынешних алгоритмах) ИИ. Но не дадут создать крупные и потенциально опасные системы.</w:t>
      </w:r>
    </w:p>
    <w:p>
      <w:pPr>
        <w:pStyle w:val="BodyText"/>
      </w:pPr>
      <w:r>
        <w:t xml:space="preserve">Ещё мониторинг поможет ISIA быть (хоть как-то) в курсе алгоритмического прогресса, происходящего несмотря на запреты. В Статье XIII говорится, что ISIA оценивает модели из этого диапазона. Это поможет Агентству видеть тренды развития ИИ и при необходимости снижать лимиты FLOP.</w:t>
      </w:r>
    </w:p>
    <w:p>
      <w:pPr>
        <w:pStyle w:val="BodyText"/>
      </w:pPr>
      <w:r>
        <w:t xml:space="preserve">Обеспечить мониторинг реально благодаря консолидации чипов (Статья V) и проверке их использования (Статья VII). Консолидация означает, что у ISIA будет доступ к «железу» для крупных запусков. А проверка использования даст уверенность, что на чипах не обучают ИИ без разрешения.</w:t>
      </w:r>
    </w:p>
    <w:p>
      <w:pPr>
        <w:pStyle w:val="BodyText"/>
      </w:pPr>
      <w:r>
        <w:t xml:space="preserve">Сотрудники ISIA получают доступ к обучающим данным при мониторинге. Но с ограничениями. Цель – гарантировать, что логирование и контроль предотвратят утечки чувствительной информации: личных данных, медкарт, гостайн, коммерческих секретов, банковских данных и так далее.</w:t>
      </w:r>
    </w:p>
    <w:p>
      <w:r>
        <w:pict>
          <v:rect style="width:0;height:1.5pt" o:hralign="center" o:hrstd="t" o:hr="t"/>
        </w:pict>
      </w:r>
    </w:p>
    <w:bookmarkEnd w:id="47"/>
    <w:bookmarkStart w:id="56" w:name="прецеденты-3"/>
    <w:p>
      <w:pPr>
        <w:pStyle w:val="Heading3"/>
      </w:pPr>
      <w:r>
        <w:t xml:space="preserve">Прецеденты</w:t>
      </w:r>
    </w:p>
    <w:p>
      <w:pPr>
        <w:pStyle w:val="FirstParagraph"/>
      </w:pPr>
      <w:r>
        <w:t xml:space="preserve">Конкретные численные пороги из нашего черновика можно и нужно будет пересмотреть. Но вообще для международных договоров количественные ограничения – обычное дело. Они предотвращают споры о трактовке общих качественных указаний.</w:t>
      </w:r>
    </w:p>
    <w:p>
      <w:pPr>
        <w:pStyle w:val="BodyText"/>
      </w:pPr>
      <w:hyperlink r:id="rId48">
        <w:r>
          <w:rPr>
            <w:rStyle w:val="Hyperlink"/>
          </w:rPr>
          <w:t xml:space="preserve">Договор об ограничении подземных испытаний ядерного оружия 1974</w:t>
        </w:r>
      </w:hyperlink>
      <w:r>
        <w:t xml:space="preserve"> </w:t>
      </w:r>
      <w:r>
        <w:t xml:space="preserve">года установил потолок в 150 килотонн для США и СССР.</w:t>
      </w:r>
      <w:r>
        <w:rPr>
          <w:rStyle w:val="FootnoteReference"/>
        </w:rPr>
        <w:footnoteReference w:id="49"/>
      </w:r>
      <w:r>
        <w:t xml:space="preserve"> </w:t>
      </w:r>
      <w:r>
        <w:t xml:space="preserve">Целью (и эффектом) договора было хоть немного, но помешать созданию более разрушительных боеголовок – «разрушителей городов». Параллель с ИИ очевидна. На середину 2025 года более мощным и обобщённым (а значит, и опасным) моделям нужно больше обучения. Ограничения в нашем договоре нужны, чтобы не дать намеренно создать такие ИИ. Дополнительная польза: это снижает риск случайного безвозвратного пересечения опасной границы.</w:t>
      </w:r>
    </w:p>
    <w:p>
      <w:pPr>
        <w:pStyle w:val="BodyText"/>
      </w:pPr>
      <w:r>
        <w:t xml:space="preserve">Мы предложили начать с ограничения ниже уровня некоторых сегодняшних моделей. Это уместно, потому что новые модели при тех же затратах на обучение станут мощнее (см. статью VIII). В договорах о сокращении вооружений есть прецеденты ограничений ниже уже достигнутых значений.</w:t>
      </w:r>
      <w:r>
        <w:t xml:space="preserve"> </w:t>
      </w:r>
      <w:hyperlink r:id="rId51">
        <w:r>
          <w:rPr>
            <w:rStyle w:val="Hyperlink"/>
          </w:rPr>
          <w:t xml:space="preserve">Вашингтонское морское соглашение 1922 года</w:t>
        </w:r>
      </w:hyperlink>
      <w:r>
        <w:t xml:space="preserve"> </w:t>
      </w:r>
      <w:r>
        <w:t xml:space="preserve">ограничило водоизмещение кораблей. Выполняя его, США и другие державы пустили на лом десятки линкоров.</w:t>
      </w:r>
      <w:r>
        <w:rPr>
          <w:rStyle w:val="FootnoteReference"/>
        </w:rPr>
        <w:footnoteReference w:id="52"/>
      </w:r>
      <w:r>
        <w:t xml:space="preserve"> </w:t>
      </w:r>
      <w:r>
        <w:t xml:space="preserve">В Статье II договора СНВ-1 (1991 год)</w:t>
      </w:r>
      <w:r>
        <w:rPr>
          <w:rStyle w:val="FootnoteReference"/>
        </w:rPr>
        <w:footnoteReference w:id="54"/>
      </w:r>
      <w:r>
        <w:t xml:space="preserve"> </w:t>
      </w:r>
      <w:r>
        <w:t xml:space="preserve">США и СССР (а позже – Российская Федерация) согласились ограничить ядерные арсеналы. Каждой стороне пришлось списать</w:t>
      </w:r>
      <w:r>
        <w:t xml:space="preserve"> </w:t>
      </w:r>
      <w:hyperlink r:id="rId55">
        <w:r>
          <w:rPr>
            <w:rStyle w:val="Hyperlink"/>
          </w:rPr>
          <w:t xml:space="preserve">более четырех тысяч боеголовок</w:t>
        </w:r>
      </w:hyperlink>
      <w:r>
        <w:t xml:space="preserve">.</w:t>
      </w:r>
    </w:p>
    <w:p>
      <w:pPr>
        <w:pStyle w:val="BodyText"/>
      </w:pPr>
      <w:r>
        <w:t xml:space="preserve">Прецедент того, как ограничения, помогают смягчить риски нарушений, мы обсудим после Статьи V.</w:t>
      </w:r>
    </w:p>
    <w:p>
      <w:r>
        <w:pict>
          <v:rect style="width:0;height:1.5pt" o:hralign="center" o:hrstd="t" o:hr="t"/>
        </w:pict>
      </w:r>
    </w:p>
    <w:bookmarkEnd w:id="56"/>
    <w:bookmarkEnd w:id="57"/>
    <w:bookmarkStart w:id="87" w:name="статья-v-консолидация-чипов"/>
    <w:p>
      <w:pPr>
        <w:pStyle w:val="Heading2"/>
      </w:pPr>
      <w:r>
        <w:t xml:space="preserve">Статья V: Консолидация чипов</w:t>
      </w:r>
    </w:p>
    <w:p>
      <w:pPr>
        <w:numPr>
          <w:ilvl w:val="0"/>
          <w:numId w:val="1041"/>
        </w:numPr>
      </w:pPr>
      <w:r>
        <w:t xml:space="preserve">Каждая Сторона должна обеспечить, чтобы в пределах ее юрисдикции все подпадающие под действие кластеры чипов (CCC), как они определены в Статье II (т.е. набор чипов мощностью более 16 эквивалентов H100) [заметьте, в 2025 году 16 H100 в совокупности стоят около 500 000 долларов, и ими редко владеют частные лица], располагались на объектах, о которых доложено ISIA. Эти ИИ-чипы подлежат мониторингу со стороны ISIA.</w:t>
      </w:r>
    </w:p>
    <w:p>
      <w:pPr>
        <w:pStyle w:val="Compact"/>
        <w:numPr>
          <w:ilvl w:val="1"/>
          <w:numId w:val="1042"/>
        </w:numPr>
      </w:pPr>
    </w:p>
    <w:p>
      <w:pPr>
        <w:pStyle w:val="Compact"/>
        <w:numPr>
          <w:ilvl w:val="2"/>
          <w:numId w:val="1043"/>
        </w:numPr>
      </w:pPr>
      <w:r>
        <w:t xml:space="preserve">На этих объектах Стороны должны стремиться избегать совместного размещения ИИ-чипов с не вспомогательным и не относящимся к ИИ компьютерным оборудованием.</w:t>
      </w:r>
    </w:p>
    <w:p>
      <w:pPr>
        <w:pStyle w:val="Compact"/>
        <w:numPr>
          <w:ilvl w:val="1"/>
          <w:numId w:val="1042"/>
        </w:numPr>
      </w:pPr>
    </w:p>
    <w:p>
      <w:pPr>
        <w:pStyle w:val="Compact"/>
        <w:numPr>
          <w:ilvl w:val="2"/>
          <w:numId w:val="1044"/>
        </w:numPr>
      </w:pPr>
      <w:r>
        <w:t xml:space="preserve">Эти объекты должны быть доступны для физической инспекции. Это может включать, в частности, что у группы проверки должна быть возможность достичь любого CCC в течение 12 часов как минимум из одного аэропорта с регулярным международным сообщением.</w:t>
      </w:r>
    </w:p>
    <w:p>
      <w:pPr>
        <w:pStyle w:val="Compact"/>
        <w:numPr>
          <w:ilvl w:val="1"/>
          <w:numId w:val="1042"/>
        </w:numPr>
      </w:pPr>
    </w:p>
    <w:p>
      <w:pPr>
        <w:pStyle w:val="Compact"/>
        <w:numPr>
          <w:ilvl w:val="2"/>
          <w:numId w:val="1045"/>
        </w:numPr>
      </w:pPr>
      <w:r>
        <w:t xml:space="preserve">Стороны не должны размещать ИИ-чипы в стольких различных объектах, что мониторинг их всех станет для ISIA невыполним. По запросу ISIA Стороны должны дополнительно консолидировать свои ИИ-чипы в меньшее количество контролируемых объектов.</w:t>
      </w:r>
    </w:p>
    <w:p>
      <w:pPr>
        <w:numPr>
          <w:ilvl w:val="0"/>
          <w:numId w:val="1041"/>
        </w:numPr>
      </w:pPr>
      <w:r>
        <w:t xml:space="preserve">ИИ-чипы, не подлежащие мониторингу и не являющиеся частью CCC (т.е. не входящие в кластер мощностью более 16 эквивалентов H100), могут оставаться за пределами объектов, о которых доложено ISIA при условии, что такие запасы не сосредотачиваются и не объединяются в сеть так, что их группа подпадает под определение CCC, не перемещаются между площадками для обхода мониторинга и не используются для запрещенного обучения. Стороны будут прилагать разумные усилия для отслеживания продажи и агрегации ИИ-чипов, чтобы гарантировать обнаружение и мониторинг любых созданных CCC.</w:t>
      </w:r>
    </w:p>
    <w:p>
      <w:pPr>
        <w:numPr>
          <w:ilvl w:val="0"/>
          <w:numId w:val="1041"/>
        </w:numPr>
      </w:pPr>
      <w:r>
        <w:t xml:space="preserve">В течение 120 дней после вступления Договора в силу каждая Сторона должна обнаружить, инвентаризировать и консолидировать все CCC на объектах, о которых доложено ISIA. Стороны не должны рассредотачивать, скрывать или иным образом переназначать чипы, чтобы уклониться от этого требования или чтобы набор чипов, который был бы классифицирован как CCC, перестал классифицироваться как CCC.</w:t>
      </w:r>
    </w:p>
    <w:p>
      <w:pPr>
        <w:numPr>
          <w:ilvl w:val="0"/>
          <w:numId w:val="1041"/>
        </w:numPr>
      </w:pPr>
      <w:r>
        <w:t xml:space="preserve">ISIA должно осуществлять мониторинг процесса внутренней консолидации, в том числе посредством инспекций на местах, проверки документов и инвентаризации, сопровождения национальных представителей власти во время перемещений и инспекций, а также обмена информацией со Сторонами согласно Статье X. ISIA может требовать записи о цепи хранения при передачах и может проводить инспекции по запросу, как описано в Статье X. Стороны должны предоставлять своевременный доступ к соответствующим объектам, транспортным узлам и записям. Защита и мотивирование информаторов, описанные в Статье X, применяются к процессу консолидации. ISIA должна поддерживать защищенные каналы для сообщений о нём.</w:t>
      </w:r>
    </w:p>
    <w:p>
      <w:pPr>
        <w:numPr>
          <w:ilvl w:val="0"/>
          <w:numId w:val="1041"/>
        </w:numPr>
      </w:pPr>
      <w:r>
        <w:t xml:space="preserve">В течение 120 дней после вступления Договора в силу Стороны должны представить в ISIA реестр своих CCC. Реестр должен включать местоположение, тип, количество, серийные или иные уникальные идентификаторы (при наличии) и ассоциированные с CCC взаимосвязи всех ИИ-чипов в нём. Каждая Сторона должна предоставлять ISIA обновленный и точный реестр не реже чем каждые 90 дней.</w:t>
      </w:r>
    </w:p>
    <w:p>
      <w:pPr>
        <w:numPr>
          <w:ilvl w:val="0"/>
          <w:numId w:val="1041"/>
        </w:numPr>
      </w:pPr>
      <w:r>
        <w:t xml:space="preserve">Стороны должны предварительно уведомлять ISIA о любой планируемой передаче ИИ-чипов, будь то внутренняя или международная, не менее чем за 14 дней до планируемой передачи. Никакая передача не должна осуществляться, если ISIA не предоставлена возможность наблюдать за передачей. В случае международных передач как отправляющая, так и получающая Стороны должны координировать с ISIA маршрут, охрану и получение. О чрезвычайных передачах, предпринимаемых по соображениям безопасности или защиты, уведомляется как можно скорее с последующей проверкой.</w:t>
      </w:r>
    </w:p>
    <w:p>
      <w:pPr>
        <w:numPr>
          <w:ilvl w:val="0"/>
          <w:numId w:val="1041"/>
        </w:numPr>
      </w:pPr>
      <w:r>
        <w:t xml:space="preserve">Сломанные, дефектные, избыточные или иным образом выведенные из эксплуатации ИИ-чипы должны продолжать рассматриваться как функциональные чипы до тех пор, пока ISIA не удостоверит их уничтожение. Стороны не должны уничтожать ИИ-чипы без надзора ISIA. Уничтожение или приведение в постоянную негодность должно проводиться под надзором ISIA с использованием утвержденных ISIA методов и фиксироваться в акте об уничтожении [детали необходимо будет разъяснить в Приложении]. Сбор или перепродажа компонентов такого оборудования запрещены, если это прямо не разрешено ISIA.</w:t>
      </w:r>
    </w:p>
    <w:p>
      <w:r>
        <w:pict>
          <v:rect style="width:0;height:1.5pt" o:hralign="center" o:hrstd="t" o:hr="t"/>
        </w:pict>
      </w:r>
    </w:p>
    <w:bookmarkStart w:id="68" w:name="примечания-3"/>
    <w:p>
      <w:pPr>
        <w:pStyle w:val="Heading3"/>
      </w:pPr>
      <w:r>
        <w:t xml:space="preserve">Примечания</w:t>
      </w:r>
    </w:p>
    <w:p>
      <w:pPr>
        <w:pStyle w:val="FirstParagraph"/>
      </w:pPr>
      <w:r>
        <w:t xml:space="preserve">Мы обсудим, какую цель преследует эта Статья, почему мы считаем эту цель важной, почему считаем ее достижимой, почему выбран лимит в 16 H100, и другие соображения.</w:t>
      </w:r>
    </w:p>
    <w:bookmarkStart w:id="58" w:name="чего-статья-v-пытается-добиться"/>
    <w:p>
      <w:pPr>
        <w:pStyle w:val="Heading4"/>
      </w:pPr>
      <w:r>
        <w:t xml:space="preserve">Чего Статья V пытается добиться</w:t>
      </w:r>
    </w:p>
    <w:p>
      <w:pPr>
        <w:pStyle w:val="FirstParagraph"/>
      </w:pPr>
      <w:r>
        <w:t xml:space="preserve">Задача: централизовать все кластеры ИИ-чипов (т.е. не совсем маленькие наборы взаимосвязанных чипов) и подавляющее большинство самих ИИ-чипов в контролируемых объектах.</w:t>
      </w:r>
    </w:p>
    <w:p>
      <w:pPr>
        <w:pStyle w:val="BodyText"/>
      </w:pPr>
      <w:r>
        <w:t xml:space="preserve">Централизация чипов на объектах под мониторингом даст ISIA будет куда больше возможностей гарантировать, что эти чипы не используются для нарушения Статьи IV. Методы гарантии обсуждаются в Статье VII.</w:t>
      </w:r>
    </w:p>
    <w:p>
      <w:pPr>
        <w:pStyle w:val="BodyText"/>
      </w:pPr>
      <w:r>
        <w:t xml:space="preserve">Желательно, чтобы была международная проверка этой централизации. Чтобы все Стороны верили, что остальные тоже централизовали свои чипы. Для крупных ИИ-дата-центров такую проверку, вероятно, можно сделать довольно просто, ведь разведслужбы, скорее всего, уже знают, где эти дата-центры находятся. Для дата-центров поменьше ISIA может обеспечить надзор за внутренней консолидацией как меру укрепления доверия.</w:t>
      </w:r>
    </w:p>
    <w:p>
      <w:pPr>
        <w:pStyle w:val="BodyText"/>
      </w:pPr>
      <w:r>
        <w:t xml:space="preserve">Статья фактически делает исключение для малого количества чипов: менее 16 эквивалентов H100. Это достаточно мало, чтобы неконтролируемые чипы вряд ли представляли угрозу (без прорывов в исследованиях). Более низкие пороги труднее успешно отловить, и они могли бы уже накладывать издержки на более широкие слои населения. (Много у кого дома есть несколько GPU. Мало у кого – 16 эквивалентов H100).</w:t>
      </w:r>
    </w:p>
    <w:bookmarkEnd w:id="58"/>
    <w:bookmarkStart w:id="59" w:name="почему-это-нужно"/>
    <w:p>
      <w:pPr>
        <w:pStyle w:val="Heading4"/>
      </w:pPr>
      <w:r>
        <w:t xml:space="preserve">Почему это нужно</w:t>
      </w:r>
    </w:p>
    <w:p>
      <w:pPr>
        <w:pStyle w:val="FirstParagraph"/>
      </w:pPr>
      <w:r>
        <w:t xml:space="preserve">Централизация чипов открывает другие пути для контроля разработки ИИ через чипы.</w:t>
      </w:r>
    </w:p>
    <w:p>
      <w:pPr>
        <w:pStyle w:val="BodyText"/>
      </w:pPr>
      <w:r>
        <w:t xml:space="preserve">Например, если чипы собраны на доложенных объектах, потом можно мониторить их использование (Статья VII) или проверять, что они выключены.</w:t>
      </w:r>
    </w:p>
    <w:p>
      <w:pPr>
        <w:pStyle w:val="BodyText"/>
      </w:pPr>
      <w:r>
        <w:t xml:space="preserve">Ещё она облегчает для Сторон уничтожение этих чипов. Это может стать необходимым согласно Статье XII, если Сторона постоянно нарушает Договор.</w:t>
      </w:r>
    </w:p>
    <w:p>
      <w:pPr>
        <w:pStyle w:val="BodyText"/>
      </w:pPr>
      <w:r>
        <w:t xml:space="preserve">Из-за потенциальной возможности уничтожения CCC, желательно стараться устраивать их вдали от населенных пунктов. Это не включено в текст Статьи из-за проблем осуществимости. (Нынешние дата-центры часто рядом с городами, пришлось бы строить новые.) Ну и в крайнем случае дата-центры, вероятно, могут быть отключены без большого сопутствующего ущерба. И это не основной элемент Договора. Впрочем, из-за их огромной потенциальной опасности кажется уместным относиться к ИИ-дата-центрам как к военным объектам.</w:t>
      </w:r>
    </w:p>
    <w:bookmarkEnd w:id="59"/>
    <w:bookmarkStart w:id="62" w:name="проверка"/>
    <w:p>
      <w:pPr>
        <w:pStyle w:val="Heading4"/>
      </w:pPr>
      <w:r>
        <w:t xml:space="preserve">Проверка</w:t>
      </w:r>
    </w:p>
    <w:p>
      <w:pPr>
        <w:pStyle w:val="FirstParagraph"/>
      </w:pPr>
      <w:r>
        <w:t xml:space="preserve">Проверка – ключевая часть успешного договора по ИИ. Страны не будут доверять друг другу на слово. Они захотят реально проверить. Централизация ИИ-чипов на заявленных объектах должна подтверждаться инспекциями и мониторингом ISIA. Иначе страны не будут достаточно уверены, что другие централизовали свои чипы.</w:t>
      </w:r>
    </w:p>
    <w:p>
      <w:pPr>
        <w:pStyle w:val="BodyText"/>
      </w:pPr>
      <w:r>
        <w:t xml:space="preserve">Будь у нас другие способы мониторинга ИИ-чипов, можно было бы обойтись и без консолидации. К сожалению, механизмы безопасности, доступные на нынешних чипах, не дают нам других реальных вариантов, кроме физического уничтожения всех запасов ИИ-чипов.</w:t>
      </w:r>
    </w:p>
    <w:p>
      <w:pPr>
        <w:pStyle w:val="BodyText"/>
      </w:pPr>
      <w:r>
        <w:t xml:space="preserve">В будущем можно разработать</w:t>
      </w:r>
      <w:r>
        <w:t xml:space="preserve"> </w:t>
      </w:r>
      <w:hyperlink r:id="rId60">
        <w:r>
          <w:rPr>
            <w:rStyle w:val="Hyperlink"/>
          </w:rPr>
          <w:t xml:space="preserve">аппаратные механизмы</w:t>
        </w:r>
      </w:hyperlink>
      <w:r>
        <w:t xml:space="preserve">, позволяющие управлять ИИ-чипами удалённо. Тогда их не обязательно будет свозить в заявленные места.</w:t>
      </w:r>
      <w:r>
        <w:t xml:space="preserve"> </w:t>
      </w:r>
      <w:hyperlink r:id="rId61">
        <w:r>
          <w:rPr>
            <w:rStyle w:val="Hyperlink"/>
          </w:rPr>
          <w:t xml:space="preserve">Аарне и пр. (2024)</w:t>
        </w:r>
      </w:hyperlink>
      <w:r>
        <w:t xml:space="preserve"> </w:t>
      </w:r>
      <w:r>
        <w:t xml:space="preserve">дают оценки времени внедрения некоторых таких механизмов. Они рассмотрели сроки при требованиях устойчивости к разным противникам. Мы ограничимся их оценкой для ситуации скрытного соперничества. Это уместно: государства могут предпринимать компетентные попытки взлома механизмов управления, но их обнаружение повлечет серьезные последствия. Они оценивают время разработки идеальных решений в 2–5 лет. При этом на менее надёжные, но потенциально рабочие варианты понадобится всего несколько месяцев.</w:t>
      </w:r>
    </w:p>
    <w:p>
      <w:pPr>
        <w:pStyle w:val="BodyText"/>
      </w:pPr>
      <w:r>
        <w:t xml:space="preserve">Этому отчету уже больше года. Но нам неизвестно о значительном прогрессе в создании этих механизмов. Думаем, ещё 2-5 лет – самая относящаяся к делу оценка.</w:t>
      </w:r>
    </w:p>
    <w:p>
      <w:pPr>
        <w:pStyle w:val="BodyText"/>
      </w:pPr>
      <w:r>
        <w:t xml:space="preserve">Помимо разработки, средства управления на чипе нужно либо реализовать в новых чипах (и распределить их по существующему запасу), либо адаптировать под уже существующие. Аарне и пр. оценивают, что первый вариант может занять четыре года. Мы оптимистично относимся к тому, что, если чипы уже отслеживаются, второй вариант может занять всего год или два.</w:t>
      </w:r>
    </w:p>
    <w:p>
      <w:pPr>
        <w:pStyle w:val="BodyText"/>
      </w:pPr>
      <w:r>
        <w:t xml:space="preserve">Для ясности: обсуждаемая централизация подразумевает физическую концентрацию и мониторинг (в Статье VII) подпадающих под действие кластеров чипов, но не требует их национализации. Договор разрешает крупному дата-центру и его чипам оставаться на том же месте, по-прежнему в собственности компаний. Главное, чтобы был мониторинг и надзор от национального правительства и ISIA. Нужна гарантия, что дата-центры занимаются только не связанной с ИИ деятельностью, или деятельностью вроде запуска старых моделей. Но не созданием новых, более способных ИИ. Меньшее количество чипов может потребоваться физически переместить в более крупный дата-центр. Но владелец чипов всё ещё будет обладать к ним удалённым доступом, подобно некоторым нынешним моделям облачных вычислений. Альтернативно, чипы могут быть переданы в государственную собственность за справедливую компенсацию.</w:t>
      </w:r>
    </w:p>
    <w:bookmarkEnd w:id="62"/>
    <w:bookmarkStart w:id="64" w:name="осуществимость"/>
    <w:p>
      <w:pPr>
        <w:pStyle w:val="Heading4"/>
      </w:pPr>
      <w:r>
        <w:t xml:space="preserve">Осуществимость</w:t>
      </w:r>
    </w:p>
    <w:p>
      <w:pPr>
        <w:pStyle w:val="FirstParagraph"/>
      </w:pPr>
      <w:r>
        <w:t xml:space="preserve">Скорее всего, собрать (и международно подтвердить сбор) большинство ИИ-чипов вполне реально. Международная проверка самых крупных ИИ-дата-центров (скажем, с более чем 100 000 эквивалентами H100) кажется сравнительно простой. Эти дата-центры трудно скрыть. Разведслужбы, вероятно, уже знают, где они. (Мы полагаем, в середине 2025 года их пока никто и не прячет). Их физический след и энергопотребление легко заметны. О многих из них</w:t>
      </w:r>
      <w:r>
        <w:t xml:space="preserve"> </w:t>
      </w:r>
      <w:hyperlink r:id="rId63">
        <w:r>
          <w:rPr>
            <w:rStyle w:val="Hyperlink"/>
          </w:rPr>
          <w:t xml:space="preserve">сообщается публично</w:t>
        </w:r>
      </w:hyperlink>
      <w:r>
        <w:t xml:space="preserve">.</w:t>
      </w:r>
    </w:p>
    <w:p>
      <w:pPr>
        <w:pStyle w:val="BodyText"/>
      </w:pPr>
      <w:r>
        <w:t xml:space="preserve">Правдоподобно, что такие методы обнаружат дата-центры начиная от примерно 10 000 эквивалентов H100. Помимо НТС и разведслужб Сторон, план централизации чипов подразумевает использование различных полномочий национальными властями и инспекции со стороны ISIA, чтобы помешать ухода дата-центров от консолидации.</w:t>
      </w:r>
    </w:p>
    <w:p>
      <w:pPr>
        <w:pStyle w:val="BodyText"/>
      </w:pPr>
      <w:r>
        <w:t xml:space="preserve">У государств будет набор инструментов для отслеживания чипов внутри страны. Они могут законодательно потребовать отчитываться обо всех кластерах чипов больше, чем в 16 H100; использовать записи о продажах и другую финансовую информацию от дистрибьюторов чипов; опрашивать техников с опытом строительства дата-центров и т.д. При подозрении контрабанды или сокрытия чипов, можно задействовать правоохранительные органы для расследования. Инспекторы ISIA будут присматривать за этим процессом внутренней централизации, чтобы всё делали как надо.</w:t>
      </w:r>
    </w:p>
    <w:p>
      <w:pPr>
        <w:pStyle w:val="BodyText"/>
      </w:pPr>
      <w:r>
        <w:t xml:space="preserve">Так, скорее всего, можно быстро обнаружить существующие дата-центры. Вероятно, на кластеры больше чем в 1000 эквивалентов H100, хватит дней или недель.</w:t>
      </w:r>
    </w:p>
    <w:p>
      <w:pPr>
        <w:pStyle w:val="BodyText"/>
      </w:pPr>
      <w:r>
        <w:t xml:space="preserve">Чтобы действительно их</w:t>
      </w:r>
      <w:r>
        <w:t xml:space="preserve"> </w:t>
      </w:r>
      <w:r>
        <w:rPr>
          <w:i/>
          <w:iCs/>
        </w:rPr>
        <w:t xml:space="preserve">централизовать</w:t>
      </w:r>
      <w:r>
        <w:t xml:space="preserve"> </w:t>
      </w:r>
      <w:r>
        <w:t xml:space="preserve">может уйти больше времени. Может понадобиться подготовить объекты, которые станут CCC к обслуживанию дополнительных мощностей. Насколько это будет долго, неясно. Насколько в некоторых странах будет реально найти все кластеры, скажем, по 100 H100 – тоже. Они будут запрещены, но обеспечить соблюдение этого запрета может быть непросто.</w:t>
      </w:r>
    </w:p>
    <w:p>
      <w:pPr>
        <w:pStyle w:val="BodyText"/>
      </w:pPr>
      <w:r>
        <w:t xml:space="preserve">Одна из крупнейших проблем осуществимости централизации чипов – как дать другим странам обоснованную уверенность, что одна Сторона не ведет секретный проект с незаявленными ИИ-чипами. Международная проверка внутренней централизации поможет. Но не факт, что её хватит. Ведь усилия по внутренней централизации могут быть неполными намеренно.</w:t>
      </w:r>
    </w:p>
    <w:p>
      <w:pPr>
        <w:pStyle w:val="BodyText"/>
      </w:pPr>
      <w:r>
        <w:t xml:space="preserve">Ограничения из этой Статьи стараются выдать Сторонам больше гарантий, что другие правительства не поддерживают у себя секретные проекты ИИ. Помимо надзора ISIA за внутренней централизацией, тут могут существенно помочь сбор разведданных и инспекции по запросу. Они обсуждаются в Статье X.</w:t>
      </w:r>
    </w:p>
    <w:bookmarkEnd w:id="64"/>
    <w:bookmarkStart w:id="65" w:name="почему-такое-определение-ccc"/>
    <w:p>
      <w:pPr>
        <w:pStyle w:val="Heading4"/>
      </w:pPr>
      <w:r>
        <w:t xml:space="preserve">Почему такое определение CCC</w:t>
      </w:r>
    </w:p>
    <w:p>
      <w:pPr>
        <w:pStyle w:val="FirstParagraph"/>
      </w:pPr>
      <w:r>
        <w:t xml:space="preserve">Эта Статья и определение CCC проводят черту на уровне 16 эквивалентов H100. Почему выбран именно такой порог:</w:t>
      </w:r>
    </w:p>
    <w:p>
      <w:pPr>
        <w:pStyle w:val="Compact"/>
        <w:numPr>
          <w:ilvl w:val="0"/>
          <w:numId w:val="1046"/>
        </w:numPr>
      </w:pPr>
      <w:r>
        <w:t xml:space="preserve">Мониторинг кластеров чипов более 16 H100 хорошо сочетается с порогами FLOP на обучение в Статье IV. Обучение на 16 H100 (точность FP8, 50-процентная загрузка – реалистичные, но оптимистичные параметры) достигнет 10</w:t>
      </w:r>
      <w:r>
        <w:t xml:space="preserve">22</w:t>
      </w:r>
      <w:r>
        <w:t xml:space="preserve"> </w:t>
      </w:r>
      <w:r>
        <w:t xml:space="preserve">FLOP за 7,3 дня, а 10</w:t>
      </w:r>
      <w:r>
        <w:t xml:space="preserve">24</w:t>
      </w:r>
      <w:r>
        <w:t xml:space="preserve"> </w:t>
      </w:r>
      <w:r>
        <w:t xml:space="preserve">– за 2 года. Получается, до нижнего порога использовать незаявленные чипы реально, а для верхнего, запрещённого – уже весьма непрактично.</w:t>
      </w:r>
    </w:p>
    <w:p>
      <w:pPr>
        <w:pStyle w:val="Compact"/>
        <w:numPr>
          <w:ilvl w:val="0"/>
          <w:numId w:val="1046"/>
        </w:numPr>
      </w:pPr>
      <w:r>
        <w:t xml:space="preserve">Вероятно, этого, вместе с запретами исследований из Статьи VIII, достаточно, чтобы предотвратить развитие способностей ИИ. Статья IV ограничивает обучение. Крупномасштабное запрещено, а среднемасштабное разрешено, но под надзором. Вероятно, разрешение мелкомасштабного обучения, которое можно выполнить на 16 H100 в реалистичные сроки, приемлемо (то есть, риск минимален).</w:t>
      </w:r>
    </w:p>
    <w:p>
      <w:pPr>
        <w:pStyle w:val="Compact"/>
        <w:numPr>
          <w:ilvl w:val="0"/>
          <w:numId w:val="1046"/>
        </w:numPr>
      </w:pPr>
      <w:r>
        <w:t xml:space="preserve">Этот порог мало влияет на обычных людей и любителей. Мало кто лично владеет более чем 16 H100. В середине 2025 года 16 чипов H100 стоят около 500 000 долларов. Это не обычный потребительский товар. Никто не превысит порог случайно, купив пару игровых консолей.</w:t>
      </w:r>
    </w:p>
    <w:p>
      <w:pPr>
        <w:pStyle w:val="Compact"/>
        <w:numPr>
          <w:ilvl w:val="0"/>
          <w:numId w:val="1046"/>
        </w:numPr>
      </w:pPr>
      <w:r>
        <w:t xml:space="preserve">Сбор ИИ-чипов становится тем труднее, чем меньшее количество разрешено. Найти дата-центры со 100 000 чипов легко. С 10 000, вероятно, тоже довольно просто. С 1000 – неясно. С сотней – может быть довольно сложно. Обеспечить соблюдение более низкого порога было бы не очень реалистично. И с 16 H100 контроль может быть непростой задачей.</w:t>
      </w:r>
    </w:p>
    <w:p>
      <w:pPr>
        <w:pStyle w:val="Compact"/>
        <w:numPr>
          <w:ilvl w:val="0"/>
          <w:numId w:val="1046"/>
        </w:numPr>
      </w:pPr>
      <w:r>
        <w:t xml:space="preserve">Возможно, это определение придется пересмотреть, а порог снизить (например, до 8 эквивалентов H100). Договор поручит ISIA переоценивать это определение и по мере необходимости его менять.</w:t>
      </w:r>
    </w:p>
    <w:bookmarkEnd w:id="65"/>
    <w:bookmarkStart w:id="66" w:name="прочие-соображения"/>
    <w:p>
      <w:pPr>
        <w:pStyle w:val="Heading4"/>
      </w:pPr>
      <w:r>
        <w:t xml:space="preserve">Прочие соображения</w:t>
      </w:r>
    </w:p>
    <w:p>
      <w:pPr>
        <w:pStyle w:val="FirstParagraph"/>
      </w:pPr>
      <w:r>
        <w:t xml:space="preserve">Эта Статья призывает стороны пытаться избегать совместного размещения ИИ-чипов с не относящимися к ИИ чипами, кроме вспомогательных. Причина – совместное размещение может затруднить проверку использования чипов (Статья VII). И тогда чипы не для ИИ тоже должны будут подвергаться некоторому мониторингу, иначе не получится эффективно проверять использование ИИ-чипов. Но это не строго обязательно. Возможно, иногда даже нежелательно. Например, сейчас ИИ-чипы часто размещаются вместе с другими чипами. Неудобство изменения этого может перевесить неудобство мониторинга и других чипов тоже.</w:t>
      </w:r>
    </w:p>
    <w:p>
      <w:pPr>
        <w:pStyle w:val="BodyText"/>
      </w:pPr>
      <w:r>
        <w:t xml:space="preserve">Подобно существующим соглашениям, Статья требует, чтобы CCC были доступны инспекторам для быстрой проверки. Вероятно, многие объекты будут проверяться постоянно (Статья VII), так что доступ к аэропортам полезен.</w:t>
      </w:r>
    </w:p>
    <w:p>
      <w:pPr>
        <w:pStyle w:val="BodyText"/>
      </w:pPr>
      <w:r>
        <w:t xml:space="preserve">Есть некоторый риск, что частные лица могут соорудить неконтролируемый CCC из «свободных» чипов, эквивалентных H100. Для борьбы с этим договор устанавливает, что Стороны приложат «разумные усилия» для отслеживания продаж чипов (свыше 1 эквивалента H100) и обнаружения новых CCC. Можно было бы принять меры и построже. Например, требовать официальной регистрации и отслеживания всех таких чипов и их продаж. Наш договор не заходит так далеко. Мы не ожидаем, что так уж много «свободных» эквивалентов H100 останутся не учтены после каталогизации всех чипов в CCC. К тому же, другие механизмы (такие как защита информаторов) помогут обнаруживать новые CCC.</w:t>
      </w:r>
    </w:p>
    <w:bookmarkEnd w:id="66"/>
    <w:bookmarkStart w:id="67" w:name="альтернативы"/>
    <w:p>
      <w:pPr>
        <w:pStyle w:val="Heading4"/>
      </w:pPr>
      <w:r>
        <w:t xml:space="preserve">Альтернативы</w:t>
      </w:r>
    </w:p>
    <w:p>
      <w:pPr>
        <w:pStyle w:val="FirstParagraph"/>
      </w:pPr>
      <w:r>
        <w:t xml:space="preserve">Вместо требования немедленной централизации малых кластеров (например, 100 H100), переход мог бы быть поэтапным. Например, в первые 10 дней должны быть централизованы и заявлены все дата-центры с более чем 100 000 эквивалентов H100. Затем в следующие 30 дней – все с более чем 10 000. И так далее.</w:t>
      </w:r>
    </w:p>
    <w:p>
      <w:pPr>
        <w:pStyle w:val="BodyText"/>
      </w:pPr>
      <w:r>
        <w:t xml:space="preserve">Такой подход может лучше соответствовать тому, как с ростом усилий разведслужб международное сообщество сможет постепенно выявлять всё меньшие и меньшие кластеры. Сначала разведслужбы, вероятно, знают, где находятся самые крупные дата-центры, но не средние (если они раньше их не искали). Вот сначала и будут заявлены только крупные дата-центры, а затем, по мере того как разведслужбы будут продолжать искать чипы, порог снизится.</w:t>
      </w:r>
    </w:p>
    <w:p>
      <w:pPr>
        <w:pStyle w:val="BodyText"/>
      </w:pPr>
      <w:r>
        <w:t xml:space="preserve">Это лучше соответствует аналогичным вопросам в предыдущих международных соглашениях. Например, Договор о частичном запрещении ядерных испытаний 1963 года не запрещал подземные испытания ядерного оружия из-за того, как сложно их обнаружить. Группа технического управления MIRI планирует выпустить отчет о таком поэтапном подходе.</w:t>
      </w:r>
    </w:p>
    <w:p>
      <w:pPr>
        <w:pStyle w:val="BodyText"/>
      </w:pPr>
      <w:r>
        <w:t xml:space="preserve">Один из минусов этого подхода – у государств может быть больше возможностей спрятать чипы и создать секретные дата-центры.</w:t>
      </w:r>
    </w:p>
    <w:bookmarkEnd w:id="67"/>
    <w:bookmarkEnd w:id="68"/>
    <w:bookmarkStart w:id="86" w:name="прецеденты-4"/>
    <w:p>
      <w:pPr>
        <w:pStyle w:val="Heading3"/>
      </w:pPr>
      <w:r>
        <w:t xml:space="preserve">Прецеденты</w:t>
      </w:r>
    </w:p>
    <w:p>
      <w:pPr>
        <w:pStyle w:val="FirstParagraph"/>
      </w:pPr>
      <w:r>
        <w:t xml:space="preserve">Частый первый шаг в ограничительных договорах –продекларировать беспокоящие объекты. Стороны Вашингтонского морского соглашения 1922 года предоставили инвентарные списки линкоров и их тоннажа. А ещё обязались уведомлять друг друга при их замене. В договоре СНВ-1 1991 года было секретное Соглашение об обмене координатами и схемами объектов (в</w:t>
      </w:r>
      <w:r>
        <w:t xml:space="preserve"> </w:t>
      </w:r>
      <w:hyperlink r:id="rId69">
        <w:r>
          <w:rPr>
            <w:rStyle w:val="Hyperlink"/>
          </w:rPr>
          <w:t xml:space="preserve">Статье VIII</w:t>
        </w:r>
      </w:hyperlink>
      <w:r>
        <w:t xml:space="preserve">). Там описывался обмен информацией о том, где находятся все заявленные стратегические вооружения. Статья V, Пункт 3 нашего проекта соглашения требует, чтобы Стороны за 120 дней обнаружили, инвентаризировали и консолидировали подпадающие под действие кластеры чипов.</w:t>
      </w:r>
    </w:p>
    <w:p>
      <w:pPr>
        <w:pStyle w:val="BodyText"/>
      </w:pPr>
      <w:r>
        <w:t xml:space="preserve">Консолидация активов, чтобы было легче проверять соблюдение, тоже часто встречается в ограничительных договорах.</w:t>
      </w:r>
      <w:r>
        <w:t xml:space="preserve"> </w:t>
      </w:r>
      <w:hyperlink r:id="rId70">
        <w:r>
          <w:rPr>
            <w:rStyle w:val="Hyperlink"/>
          </w:rPr>
          <w:t xml:space="preserve">Статья III</w:t>
        </w:r>
      </w:hyperlink>
      <w:r>
        <w:t xml:space="preserve"> </w:t>
      </w:r>
      <w:r>
        <w:t xml:space="preserve">СНВ-1 запрещала совместное размещение МБР с объектами для запуска космических аппаратов, что облегчало мониторинг. Пункт 1.a нашей Статьи V обязывает Стороны «избегать совместного размещения ИИ-чипов с не вспомогательным и не относящимся к ИИ компьютерным оборудованием». Причина та же.</w:t>
      </w:r>
    </w:p>
    <w:p>
      <w:pPr>
        <w:pStyle w:val="BodyText"/>
      </w:pPr>
      <w:r>
        <w:t xml:space="preserve">История показывает, что консолидация ещё и ограничивает проблемы несоблюдения. Она облегчает нанесение ударов по активам нарушителя при сломе доверия. В СВПД 2016 года</w:t>
      </w:r>
      <w:r>
        <w:rPr>
          <w:rStyle w:val="FootnoteReference"/>
        </w:rPr>
        <w:footnoteReference w:id="71"/>
      </w:r>
      <w:r>
        <w:t xml:space="preserve"> </w:t>
      </w:r>
      <w:r>
        <w:t xml:space="preserve">(также известном как «иранская ядерная сделка») Иран согласился держать свои действующие центрифуги для обогащения урана только на двух обозначенных объектах (Натанз и Фордо). В июне 2025 года Израиль и США</w:t>
      </w:r>
      <w:r>
        <w:t xml:space="preserve"> </w:t>
      </w:r>
      <w:hyperlink r:id="rId74">
        <w:r>
          <w:rPr>
            <w:rStyle w:val="Hyperlink"/>
          </w:rPr>
          <w:t xml:space="preserve">нанесли удары</w:t>
        </w:r>
      </w:hyperlink>
      <w:r>
        <w:t xml:space="preserve"> </w:t>
      </w:r>
      <w:r>
        <w:t xml:space="preserve">по обоим. Вот и мы в примечании к Статье V предложили Сторонам размещать свои подпадающие под действие кластеры чипов (CCC) вдали от населенных пунктов.</w:t>
      </w:r>
    </w:p>
    <w:p>
      <w:pPr>
        <w:pStyle w:val="BodyText"/>
      </w:pPr>
      <w:r>
        <w:t xml:space="preserve">Мониторинг и инспекции – обычное дело в договорах в контексте ограниченного доверия. Мы, где уместно (Пункты 1, 4, 6 и 7 этой Статьи), их описали. Вот несколько прецедентов:</w:t>
      </w:r>
    </w:p>
    <w:p>
      <w:pPr>
        <w:pStyle w:val="Compact"/>
        <w:numPr>
          <w:ilvl w:val="0"/>
          <w:numId w:val="1047"/>
        </w:numPr>
      </w:pPr>
      <w:r>
        <w:t xml:space="preserve">Проверка СНВ-1 в первые несколько лет включала</w:t>
      </w:r>
      <w:r>
        <w:t xml:space="preserve"> </w:t>
      </w:r>
      <w:hyperlink r:id="rId75">
        <w:r>
          <w:rPr>
            <w:rStyle w:val="Hyperlink"/>
          </w:rPr>
          <w:t xml:space="preserve">сотни инспекций на местах</w:t>
        </w:r>
      </w:hyperlink>
      <w:r>
        <w:t xml:space="preserve">.</w:t>
      </w:r>
    </w:p>
    <w:p>
      <w:pPr>
        <w:pStyle w:val="Compact"/>
        <w:numPr>
          <w:ilvl w:val="0"/>
          <w:numId w:val="1047"/>
        </w:numPr>
      </w:pPr>
      <w:r>
        <w:t xml:space="preserve">КЗХО требует декларирования и инспекции всех объектов по производству химического оружия. 97 таких объектов было заявлено, и большинство из них было надёжно уничтожено. (Эти соглашения не только требуют задекларировать существующие объекты, но и запрещают определенную деятельность за их пределами. Как и наш запрет на неконтролируемые CCC.)</w:t>
      </w:r>
    </w:p>
    <w:p>
      <w:pPr>
        <w:pStyle w:val="Compact"/>
        <w:numPr>
          <w:ilvl w:val="0"/>
          <w:numId w:val="1047"/>
        </w:numPr>
      </w:pPr>
      <w:r>
        <w:t xml:space="preserve">МАГАТЭ в рамках ДНЯО мониторит более</w:t>
      </w:r>
      <w:r>
        <w:t xml:space="preserve"> </w:t>
      </w:r>
      <w:hyperlink r:id="rId76">
        <w:r>
          <w:rPr>
            <w:rStyle w:val="Hyperlink"/>
          </w:rPr>
          <w:t xml:space="preserve">700 заявленных ядерных объектов</w:t>
        </w:r>
      </w:hyperlink>
      <w:r>
        <w:t xml:space="preserve"> </w:t>
      </w:r>
      <w:r>
        <w:t xml:space="preserve">по всему миру.</w:t>
      </w:r>
    </w:p>
    <w:p>
      <w:pPr>
        <w:pStyle w:val="FirstParagraph"/>
      </w:pPr>
      <w:r>
        <w:t xml:space="preserve">Подобно Пункту 3 этой Статьи, многие соглашения о контроле над вооружениями требуют, чтобы стороны не вмешивались в работу НТС друг друга по проверке соблюдения договора. Примеры: ОСВ-1</w:t>
      </w:r>
      <w:r>
        <w:rPr>
          <w:rStyle w:val="FootnoteReference"/>
        </w:rPr>
        <w:footnoteReference w:id="77"/>
      </w:r>
      <w:r>
        <w:t xml:space="preserve">, Договор по ПРО</w:t>
      </w:r>
      <w:r>
        <w:rPr>
          <w:rStyle w:val="FootnoteReference"/>
        </w:rPr>
        <w:footnoteReference w:id="79"/>
      </w:r>
      <w:r>
        <w:t xml:space="preserve">, ДРСМД</w:t>
      </w:r>
      <w:r>
        <w:rPr>
          <w:rStyle w:val="FootnoteReference"/>
        </w:rPr>
        <w:footnoteReference w:id="81"/>
      </w:r>
      <w:r>
        <w:t xml:space="preserve"> </w:t>
      </w:r>
      <w:r>
        <w:t xml:space="preserve">и СНВ-1.</w:t>
      </w:r>
    </w:p>
    <w:p>
      <w:pPr>
        <w:pStyle w:val="BodyText"/>
      </w:pPr>
      <w:r>
        <w:t xml:space="preserve">У ограничения Сторонами своей внутренней частной промышленности для выполнения обязательств по договору (как это потребовалось бы в случае с ИИ) тоже есть прецедент. После ратификации КЗХО в законодательстве США появился</w:t>
      </w:r>
      <w:r>
        <w:t xml:space="preserve"> </w:t>
      </w:r>
      <w:hyperlink r:id="rId83">
        <w:r>
          <w:rPr>
            <w:rStyle w:val="Hyperlink"/>
          </w:rPr>
          <w:t xml:space="preserve">закон о реализации Конвенции о запрещении химического оружия 1998 года</w:t>
        </w:r>
      </w:hyperlink>
      <w:r>
        <w:t xml:space="preserve">. Он и регуляции Министерства торговли обеспечили соблюдение требований американскими организациями. Ещё, после ратификации Монреальского протокола Конгресс США внес</w:t>
      </w:r>
      <w:r>
        <w:t xml:space="preserve"> </w:t>
      </w:r>
      <w:hyperlink r:id="rId84">
        <w:r>
          <w:rPr>
            <w:rStyle w:val="Hyperlink"/>
          </w:rPr>
          <w:t xml:space="preserve">поправки</w:t>
        </w:r>
      </w:hyperlink>
      <w:r>
        <w:t xml:space="preserve"> </w:t>
      </w:r>
      <w:r>
        <w:t xml:space="preserve">в Закон о чистом воздухе. Они запретили использование веществ, разрушающих озоновый слой.</w:t>
      </w:r>
    </w:p>
    <w:p>
      <w:pPr>
        <w:pStyle w:val="BodyText"/>
      </w:pPr>
      <w:r>
        <w:t xml:space="preserve">Реализация централизации чипов в США может пройти через</w:t>
      </w:r>
      <w:r>
        <w:t xml:space="preserve"> </w:t>
      </w:r>
      <w:hyperlink r:id="rId85">
        <w:r>
          <w:rPr>
            <w:rStyle w:val="Hyperlink"/>
          </w:rPr>
          <w:t xml:space="preserve">Положение о конфискации</w:t>
        </w:r>
      </w:hyperlink>
      <w:r>
        <w:t xml:space="preserve"> </w:t>
      </w:r>
      <w:r>
        <w:t xml:space="preserve">Пятой поправки. Согласно нему правительство может использовать свое право на принудительное отчуждение частной собственности для общественных целей при условии выплаты соответствующей компенсации.</w:t>
      </w:r>
    </w:p>
    <w:bookmarkEnd w:id="86"/>
    <w:bookmarkEnd w:id="87"/>
    <w:bookmarkStart w:id="104" w:name="X3e58a7bd1cc9d8e201d12d4e88a650c0b0a1905"/>
    <w:p>
      <w:pPr>
        <w:pStyle w:val="Heading2"/>
      </w:pPr>
      <w:r>
        <w:t xml:space="preserve">Статья VI: Мониторинг производства ИИ-чипов</w:t>
      </w:r>
    </w:p>
    <w:p>
      <w:pPr>
        <w:numPr>
          <w:ilvl w:val="0"/>
          <w:numId w:val="1048"/>
        </w:numPr>
      </w:pPr>
      <w:r>
        <w:t xml:space="preserve">ISIA будет осуществлять мониторинг объектов по производству ИИ-чипов и ключевых исходных материалов для производства чипов. Он обеспечит немедленное отслеживание и мониторинг всех вновь произведённых ИИ-чипов вплоть до их установки в заявленных CCC, а также предотвращение создания неконтролируемых цепочек поставок.</w:t>
      </w:r>
    </w:p>
    <w:p>
      <w:pPr>
        <w:pStyle w:val="Compact"/>
        <w:numPr>
          <w:ilvl w:val="1"/>
          <w:numId w:val="1049"/>
        </w:numPr>
      </w:pPr>
    </w:p>
    <w:p>
      <w:pPr>
        <w:pStyle w:val="Compact"/>
        <w:numPr>
          <w:ilvl w:val="2"/>
          <w:numId w:val="1050"/>
        </w:numPr>
      </w:pPr>
      <w:r>
        <w:t xml:space="preserve">ISIA будет осуществлять мониторинг объектов, про которые определено, что они производят или потенциально могут производить ИИ-чипы и соответствующее оборудование [точные определения объектов по производству ИИ-чипов, ИИ-чипов и соответствующего оборудования, а также методы мониторинга должны быть дополнительно описаны в Приложении; методы мониторинга также должны быть описаны в Приложении].</w:t>
      </w:r>
    </w:p>
    <w:p>
      <w:pPr>
        <w:pStyle w:val="Compact"/>
        <w:numPr>
          <w:ilvl w:val="1"/>
          <w:numId w:val="1049"/>
        </w:numPr>
      </w:pPr>
    </w:p>
    <w:p>
      <w:pPr>
        <w:pStyle w:val="Compact"/>
        <w:numPr>
          <w:ilvl w:val="2"/>
          <w:numId w:val="1051"/>
        </w:numPr>
      </w:pPr>
      <w:r>
        <w:t xml:space="preserve">Мониторинг вновь произведенных ИИ-чипов будет включать мониторинг производства, продажи, передачи и установки. Мониторинг производства чипов будет начинаться с изготовления и охватывает изготовление памяти с высокой пропускной способностью (HBM), изготовление логических чипов, тестирование, упаковку и сборку [этот набор действий должен быть указан в Приложении].</w:t>
      </w:r>
    </w:p>
    <w:p>
      <w:pPr>
        <w:numPr>
          <w:ilvl w:val="0"/>
          <w:numId w:val="1048"/>
        </w:numPr>
      </w:pPr>
      <w:r>
        <w:t xml:space="preserve">Производство ИИ-чипов на объектах, где отслеживание и мониторинг ISIA невозможны или не реализованы, будет остановлено. Производство ИИ-чипов может быть продолжено, когда ISIA объявит, что были реализованы приемлемые меры отслеживания и мониторинга.</w:t>
      </w:r>
    </w:p>
    <w:p>
      <w:pPr>
        <w:numPr>
          <w:ilvl w:val="0"/>
          <w:numId w:val="1048"/>
        </w:numPr>
      </w:pPr>
      <w:r>
        <w:t xml:space="preserve">Если контролируемый объект по производству чипов выводится из эксплуатации или перепрофилируется, ISIA будет осуществлять надзор над этим процессом. Если процесс выполнен к удовлетворению ISIA, это прекращает требование мониторинга.</w:t>
      </w:r>
    </w:p>
    <w:p>
      <w:pPr>
        <w:numPr>
          <w:ilvl w:val="0"/>
          <w:numId w:val="1048"/>
        </w:numPr>
      </w:pPr>
      <w:r>
        <w:t xml:space="preserve">Ни одна Сторона не должна продавать или передавать ИИ-чипы или оборудование для производства ИИ-чипов, кроме как с разрешения и под отслеживанием ISIA.</w:t>
      </w:r>
    </w:p>
    <w:p>
      <w:pPr>
        <w:pStyle w:val="Compact"/>
        <w:numPr>
          <w:ilvl w:val="1"/>
          <w:numId w:val="1052"/>
        </w:numPr>
      </w:pPr>
    </w:p>
    <w:p>
      <w:pPr>
        <w:pStyle w:val="Compact"/>
        <w:numPr>
          <w:ilvl w:val="2"/>
          <w:numId w:val="1053"/>
        </w:numPr>
      </w:pPr>
      <w:r>
        <w:t xml:space="preserve">Продажа или передача ИИ-чипов внутри или между Сторонами Договора имеет презумпцию одобрения и отслеживается ISIA.</w:t>
      </w:r>
    </w:p>
    <w:p>
      <w:pPr>
        <w:pStyle w:val="Compact"/>
        <w:numPr>
          <w:ilvl w:val="1"/>
          <w:numId w:val="1052"/>
        </w:numPr>
      </w:pPr>
    </w:p>
    <w:p>
      <w:pPr>
        <w:pStyle w:val="Compact"/>
        <w:numPr>
          <w:ilvl w:val="2"/>
          <w:numId w:val="1054"/>
        </w:numPr>
      </w:pPr>
      <w:r>
        <w:t xml:space="preserve">Продажа или передача оборудования для производства ИИ-чипов внутри или между Сторонами Договора не имеет презумпции одобрения. Одобрение такой передачи основывается на оценке риска подрыва Договора или выхода из него получающей Стороной.</w:t>
      </w:r>
    </w:p>
    <w:p>
      <w:pPr>
        <w:pStyle w:val="Compact"/>
        <w:numPr>
          <w:ilvl w:val="1"/>
          <w:numId w:val="1052"/>
        </w:numPr>
      </w:pPr>
    </w:p>
    <w:p>
      <w:pPr>
        <w:pStyle w:val="Compact"/>
        <w:numPr>
          <w:ilvl w:val="2"/>
          <w:numId w:val="1055"/>
        </w:numPr>
      </w:pPr>
      <w:r>
        <w:t xml:space="preserve">Продажа или передача ИИ-чипов и оборудования для производства ИИ-чипов государствам, не являющимся Сторонами, или лицам за пределами государства-Стороны имеет презумпцию отказа.</w:t>
      </w:r>
    </w:p>
    <w:p>
      <w:pPr>
        <w:numPr>
          <w:ilvl w:val="0"/>
          <w:numId w:val="1048"/>
        </w:numPr>
      </w:pPr>
      <w:r>
        <w:t xml:space="preserve">Ни одна Сторона не должна продавать или передавать передовые компьютерные чипы, не относящиеся к ИИ, или оборудование для производства передовых компьютерных чипов, не относящихся к ИИ, государствам, не являющимся Сторонами, или организациям за пределами государства-Стороны, кроме как с разрешения и под отслеживанием ISIA.</w:t>
      </w:r>
    </w:p>
    <w:p>
      <w:pPr>
        <w:numPr>
          <w:ilvl w:val="0"/>
          <w:numId w:val="1048"/>
        </w:numPr>
      </w:pPr>
      <w:r>
        <w:t xml:space="preserve">Продажа или передача передовых компьютерных чипов, не относящихся к ИИ, или оборудования для производства передовых компьютерных чипов, не относящихся к ИИ, внутри или между Сторонами Договора не ограничивается настоящей Статьей.</w:t>
      </w:r>
    </w:p>
    <w:bookmarkStart w:id="96" w:name="примечания-4"/>
    <w:p>
      <w:pPr>
        <w:pStyle w:val="Heading3"/>
      </w:pPr>
      <w:r>
        <w:t xml:space="preserve">Примечания</w:t>
      </w:r>
    </w:p>
    <w:p>
      <w:pPr>
        <w:pStyle w:val="FirstParagraph"/>
      </w:pPr>
      <w:hyperlink r:id="rId88">
        <w:r>
          <w:rPr>
            <w:rStyle w:val="Hyperlink"/>
          </w:rPr>
          <w:t xml:space="preserve">Цепочка поставок ИИ-чипов</w:t>
        </w:r>
      </w:hyperlink>
      <w:r>
        <w:t xml:space="preserve"> </w:t>
      </w:r>
      <w:r>
        <w:t xml:space="preserve">узкая и специализированная. Поэтому мониторинг их производства реален.</w:t>
      </w:r>
      <w:r>
        <w:t xml:space="preserve"> </w:t>
      </w:r>
      <w:hyperlink r:id="rId89">
        <w:r>
          <w:rPr>
            <w:rStyle w:val="Hyperlink"/>
          </w:rPr>
          <w:t xml:space="preserve">Подавляющее большинство</w:t>
        </w:r>
      </w:hyperlink>
      <w:r>
        <w:t xml:space="preserve"> </w:t>
      </w:r>
      <w:r>
        <w:t xml:space="preserve">ИИ-чипов разрабатывается NVIDIA. Почти все самые передовые логические чипы (основной процессор), которые используются в ИИ-чипах, производятся TSMC. На долю этой компании приходится</w:t>
      </w:r>
      <w:r>
        <w:t xml:space="preserve"> </w:t>
      </w:r>
      <w:hyperlink r:id="rId90">
        <w:r>
          <w:rPr>
            <w:rStyle w:val="Hyperlink"/>
          </w:rPr>
          <w:t xml:space="preserve">около 90 процентов</w:t>
        </w:r>
      </w:hyperlink>
      <w:r>
        <w:t xml:space="preserve"> </w:t>
      </w:r>
      <w:r>
        <w:t xml:space="preserve">рынка.</w:t>
      </w:r>
      <w:r>
        <w:t xml:space="preserve"> </w:t>
      </w:r>
      <w:hyperlink r:id="rId91">
        <w:r>
          <w:rPr>
            <w:rStyle w:val="Hyperlink"/>
          </w:rPr>
          <w:t xml:space="preserve">Большинство ИИ-чипов</w:t>
        </w:r>
      </w:hyperlink>
      <w:r>
        <w:t xml:space="preserve"> </w:t>
      </w:r>
      <w:r>
        <w:t xml:space="preserve">изготавливается вариациями 5-нанометрового техпроцесса TSMC. Его, вероятно, поддерживают только</w:t>
      </w:r>
      <w:r>
        <w:t xml:space="preserve"> </w:t>
      </w:r>
      <w:hyperlink r:id="rId92">
        <w:r>
          <w:rPr>
            <w:rStyle w:val="Hyperlink"/>
          </w:rPr>
          <w:t xml:space="preserve">два или три завода</w:t>
        </w:r>
      </w:hyperlink>
      <w:r>
        <w:t xml:space="preserve">. Литографические машины EUV, ключевой компонент производства передовых логических чипов, делает</w:t>
      </w:r>
      <w:r>
        <w:t xml:space="preserve"> </w:t>
      </w:r>
      <w:hyperlink r:id="rId90">
        <w:r>
          <w:rPr>
            <w:rStyle w:val="Hyperlink"/>
          </w:rPr>
          <w:t xml:space="preserve">исключительно</w:t>
        </w:r>
      </w:hyperlink>
      <w:r>
        <w:t xml:space="preserve"> </w:t>
      </w:r>
      <w:r>
        <w:t xml:space="preserve">ASML. В производстве памяти с высокой пропускной способностью (HBM), еще одного ключевого компонента ИИ-чипов, доминируют</w:t>
      </w:r>
      <w:r>
        <w:t xml:space="preserve"> </w:t>
      </w:r>
      <w:hyperlink r:id="rId93">
        <w:r>
          <w:rPr>
            <w:rStyle w:val="Hyperlink"/>
          </w:rPr>
          <w:t xml:space="preserve">две или три</w:t>
        </w:r>
      </w:hyperlink>
      <w:r>
        <w:t xml:space="preserve"> </w:t>
      </w:r>
      <w:r>
        <w:t xml:space="preserve">компании. При желании мониторить эту узкую цепочку поставок было бы довольно легко.</w:t>
      </w:r>
    </w:p>
    <w:p>
      <w:pPr>
        <w:pStyle w:val="BodyText"/>
      </w:pPr>
      <w:r>
        <w:t xml:space="preserve">К мониторинга производства ИИ-чипов были бы сравнительно небольшие побочные эффекты. Хотя для производства ИИ-чипов используются некоторые из тех же процессов, что и для других чипов (нужных, например, в смартфонах), сами чипы отличаются. При мониторинге их можно отличить. Со временем они будут меняться, но сейчас их, вероятно, можно опознать по большому объему HBM, специализированным компонентам для матричного умножения, и возможностям для масштабирования и соединения друг с другом.</w:t>
      </w:r>
    </w:p>
    <w:p>
      <w:pPr>
        <w:pStyle w:val="BodyText"/>
      </w:pPr>
      <w:r>
        <w:t xml:space="preserve">Для определения, какие части цепочки поставок ИИ-чипов лучше всего подходят для мониторинга, ещё потребуются исследования. Первоначальная догадка, основанная на</w:t>
      </w:r>
      <w:r>
        <w:t xml:space="preserve"> </w:t>
      </w:r>
      <w:hyperlink r:id="rId88">
        <w:r>
          <w:rPr>
            <w:rStyle w:val="Hyperlink"/>
          </w:rPr>
          <w:t xml:space="preserve">нынешних узких местах</w:t>
        </w:r>
      </w:hyperlink>
      <w:r>
        <w:t xml:space="preserve">: стоит сосредоточить мониторинг на производстве HBM, изготовлении кристаллов логики и последующих этапах (например, упаковке, тестировании, сборке серверов). А ещё на мониторинге ключевых исходных материалов, вроде литографических машин EUV.</w:t>
      </w:r>
    </w:p>
    <w:p>
      <w:pPr>
        <w:pStyle w:val="BodyText"/>
      </w:pPr>
      <w:r>
        <w:t xml:space="preserve">В Статье отмечается, что продажи чипов внутри государств-Сторон будут иметь презумпцию одобрения, а оборудование для их производства – нет. Не исключено, что разрешить широкую продажу оборудования для производства чипов внутри государств-Сторон тоже было бы приемлемо. Но к этому, вероятно, следует относиться консервативнее, чем продаже самих чипов. Эффект продажи чипов, скорее всего, краткосрочный – их жизненный цикл ИИ-чипов обычно составляет</w:t>
      </w:r>
      <w:r>
        <w:t xml:space="preserve"> </w:t>
      </w:r>
      <w:hyperlink r:id="rId94">
        <w:r>
          <w:rPr>
            <w:rStyle w:val="Hyperlink"/>
          </w:rPr>
          <w:t xml:space="preserve">всего несколько лет</w:t>
        </w:r>
      </w:hyperlink>
      <w:r>
        <w:t xml:space="preserve">. А вот мощности по их производству могут за несколько лет создать немало чипов. Это особенно тревожно, если страна с развитым внутренним производством ИИ-чипов выйдет из Договора. Поэтому мы предлагаем более консервативный подход к оборудованию для производства чипов, чем к ним самим.</w:t>
      </w:r>
    </w:p>
    <w:p>
      <w:pPr>
        <w:pStyle w:val="BodyText"/>
      </w:pPr>
      <w:r>
        <w:t xml:space="preserve">Пункты 4 и 5 этой Статьи разрешают продажу ИИ-чипов и оборудования для производства чипов Сторонам Договора, но не другим странам и не лицам за пределами Сторон. Стороны принимают риски от производства и концентрации чипов, но только когда чипы будут мониториться и дальше. Так возможность производить и обладать чипами без защитной реакции других государств становится положительным стимулом для присоединения к договору.</w:t>
      </w:r>
    </w:p>
    <w:p>
      <w:pPr>
        <w:pStyle w:val="BodyText"/>
      </w:pPr>
      <w:r>
        <w:t xml:space="preserve">Это само по себе не мешает странам, не входящим в Договор, получать удаленный доступ к ИИ-чипам в странах-Сторонах (т.е. облачные вычисления или «</w:t>
      </w:r>
      <w:hyperlink r:id="rId95">
        <w:r>
          <w:rPr>
            <w:rStyle w:val="Hyperlink"/>
          </w:rPr>
          <w:t xml:space="preserve">инфраструктура как услуга</w:t>
        </w:r>
      </w:hyperlink>
      <w:r>
        <w:t xml:space="preserve">»). Но такие чипы будут находиться под мониторингом ISIA, чтобы гарантировать, что их использование не нарушает Статью IV.</w:t>
      </w:r>
    </w:p>
    <w:p>
      <w:pPr>
        <w:pStyle w:val="BodyText"/>
      </w:pPr>
      <w:r>
        <w:t xml:space="preserve">При необходимости, ограничения для стран, не участвующих в Договоре, могут пойти дальше. Например, им может быть запрещен удаленный доступ к ИИ-чипам (т.е. аренда ИИ-чипов в странах Договора через облако) или доступ к ИИ-моделям через API.</w:t>
      </w:r>
    </w:p>
    <w:p>
      <w:pPr>
        <w:pStyle w:val="BodyText"/>
      </w:pPr>
      <w:r>
        <w:t xml:space="preserve">Эта Статья использует тот факт, что чипы – это необходимый для разработки ИИ ресурс, доступ к которому можно легко ограничить. Она предлагает мониторинг производства чипов и обеспечение того, чтобы чипы не вывозились тайно за пределы стран Договора или на незаявленные объекты. Другим подходом был бы полный запрет производства новых ИИ-чипов. Так было бы меньше риска, что чипы затеряются. Но мы бы лишились пользы от применения этих чипов для приложений ИИ, не связанных с его исследованием и разработкой. Некоторый мониторинг объектов по производству чипов всё равно был бы нужен. Например, чтобы гарантировать, что они производят только чипы, не относящиеся к ИИ, или что они выведены из эксплуатации. Наш Договор позволяет производству чипов продолжиться, потому что они могут приносить огромную пользу миру. Но безопасное продолжение производства потребует мониторинга цепочки поставок и использования чипов (Статья VII). Мы считаем всё это осуществимым. Но если бы что-то оказалось невозможным, альтернатива – полная остановка производства.</w:t>
      </w:r>
    </w:p>
    <w:bookmarkEnd w:id="96"/>
    <w:bookmarkStart w:id="103" w:name="прецеденты-5"/>
    <w:p>
      <w:pPr>
        <w:pStyle w:val="Heading3"/>
      </w:pPr>
      <w:r>
        <w:t xml:space="preserve">Прецеденты</w:t>
      </w:r>
    </w:p>
    <w:p>
      <w:pPr>
        <w:pStyle w:val="FirstParagraph"/>
      </w:pPr>
      <w:r>
        <w:t xml:space="preserve">Положения договора о мониторинге производственных объектов не новы. Статья XI ДРСМД 1987 года на 13 лет разрешала инспекции обозначенных объектов, где до этого производились средства доставки ядерного оружия средней дальности. К этому договору прилагался</w:t>
      </w:r>
      <w:r>
        <w:t xml:space="preserve"> </w:t>
      </w:r>
      <w:hyperlink r:id="rId97">
        <w:r>
          <w:rPr>
            <w:rStyle w:val="Hyperlink"/>
          </w:rPr>
          <w:t xml:space="preserve">протокол об инспекциях</w:t>
        </w:r>
      </w:hyperlink>
      <w:r>
        <w:t xml:space="preserve">. Его Раздел VII непрерывный мониторинг периметра и портальный мониторинг, в том числе взвешивание (а иногда – рентгеновское просвечивание) любого выезжающего с объекта транспортного средства, достаточно большого для перевозки соответствующей ракеты.</w:t>
      </w:r>
    </w:p>
    <w:p>
      <w:pPr>
        <w:pStyle w:val="BodyText"/>
      </w:pPr>
      <w:r>
        <w:t xml:space="preserve">Мониторинг производства ИИ-чипов сложнее. Трудно определить функции и возможности чипа по внешним характеристикам. Поэтому наша Статья VI оговаривает, что соответствующее оборудование и методы мониторинга должны быть дополнительно описаны в Приложении. Опыт проверок МАГАТЭ согласно ДНЯО показывает, что мониторинг разнообразных производственных компонентов и прекурсоров по всей цепочке поставок возможен. В частности, для этого МАГАТЭ</w:t>
      </w:r>
      <w:r>
        <w:t xml:space="preserve"> </w:t>
      </w:r>
      <w:hyperlink r:id="rId98">
        <w:r>
          <w:rPr>
            <w:rStyle w:val="Hyperlink"/>
          </w:rPr>
          <w:t xml:space="preserve">предоставляет</w:t>
        </w:r>
      </w:hyperlink>
      <w:r>
        <w:t xml:space="preserve"> </w:t>
      </w:r>
      <w:hyperlink r:id="rId99">
        <w:r>
          <w:rPr>
            <w:rStyle w:val="Hyperlink"/>
          </w:rPr>
          <w:t xml:space="preserve">рекомендации</w:t>
        </w:r>
      </w:hyperlink>
      <w:r>
        <w:t xml:space="preserve"> </w:t>
      </w:r>
      <w:r>
        <w:t xml:space="preserve">по проектированию объектов, чтобы инспектировать и обеспечивать соблюдение требований было проще и дешевле.</w:t>
      </w:r>
    </w:p>
    <w:p>
      <w:pPr>
        <w:pStyle w:val="BodyText"/>
      </w:pPr>
      <w:r>
        <w:t xml:space="preserve">Здесь предлагается эмбарго передачи ИИ-чипов и оборудования для производства передовых компьютерных чипов странам, не участвующим в Договоре. Прецеденты такого солидные:</w:t>
      </w:r>
    </w:p>
    <w:p>
      <w:pPr>
        <w:pStyle w:val="Compact"/>
        <w:numPr>
          <w:ilvl w:val="0"/>
          <w:numId w:val="1056"/>
        </w:numPr>
      </w:pPr>
      <w:r>
        <w:t xml:space="preserve">В Статье I</w:t>
      </w:r>
      <w:r>
        <w:t xml:space="preserve"> </w:t>
      </w:r>
      <w:hyperlink r:id="rId13">
        <w:r>
          <w:rPr>
            <w:rStyle w:val="Hyperlink"/>
          </w:rPr>
          <w:t xml:space="preserve">ДНЯО</w:t>
        </w:r>
      </w:hyperlink>
      <w:r>
        <w:t xml:space="preserve"> </w:t>
      </w:r>
      <w:r>
        <w:t xml:space="preserve">каждое государство, обладающее ядерным оружием, обязуется «не передавать кому бы то ни было ядерное оружие или другие ядерные взрывные устройства». В Статье III, Пункт 2, они также соглашаются не предоставлять «исходный или специальный расщепляющийся материал» или оборудование, «специально предназначенное или подготовленное для обработки, использования или производства специального расщепляющегося материала».</w:t>
      </w:r>
    </w:p>
    <w:p>
      <w:pPr>
        <w:pStyle w:val="Compact"/>
        <w:numPr>
          <w:ilvl w:val="0"/>
          <w:numId w:val="1056"/>
        </w:numPr>
      </w:pPr>
      <w:r>
        <w:t xml:space="preserve">Статья I КЗХО также обязывает участников никогда «не передавать прямо или косвенно химическое оружие кому бы то ни было». Статья VI – запрещает «производство, приобретение, сохранение, передачу и использование» перечисленных веществ.</w:t>
      </w:r>
    </w:p>
    <w:p>
      <w:pPr>
        <w:pStyle w:val="Compact"/>
        <w:numPr>
          <w:ilvl w:val="0"/>
          <w:numId w:val="1056"/>
        </w:numPr>
      </w:pPr>
      <w:hyperlink r:id="rId100">
        <w:r>
          <w:rPr>
            <w:rStyle w:val="Hyperlink"/>
          </w:rPr>
          <w:t xml:space="preserve">Координационный комитет по экспортному контролю</w:t>
        </w:r>
      </w:hyperlink>
      <w:r>
        <w:t xml:space="preserve"> </w:t>
      </w:r>
      <w:r>
        <w:t xml:space="preserve">(КоКом) времен Холодной войны установил скоординированные экспортные ограничения для стран Западного блока в отношении Коммунистического блока. Он касался материалов, связанных с ядерной сферой, боеприпасы и промышленные товары двойного назначения, вроде полупроводников.</w:t>
      </w:r>
    </w:p>
    <w:p>
      <w:pPr>
        <w:pStyle w:val="Compact"/>
        <w:numPr>
          <w:ilvl w:val="0"/>
          <w:numId w:val="1056"/>
        </w:numPr>
      </w:pPr>
      <w:hyperlink r:id="rId101">
        <w:r>
          <w:rPr>
            <w:rStyle w:val="Hyperlink"/>
          </w:rPr>
          <w:t xml:space="preserve">Группа ядерных поставщиков</w:t>
        </w:r>
      </w:hyperlink>
      <w:r>
        <w:t xml:space="preserve"> </w:t>
      </w:r>
      <w:r>
        <w:t xml:space="preserve">– это режим многостороннего контроля экспорта, который ограничивает поставки ядерных и связанных с ядерными технологий, которые могут быть использованы программами создания ядерного оружия.</w:t>
      </w:r>
    </w:p>
    <w:p>
      <w:pPr>
        <w:pStyle w:val="Compact"/>
        <w:numPr>
          <w:ilvl w:val="0"/>
          <w:numId w:val="1056"/>
        </w:numPr>
      </w:pPr>
      <w:r>
        <w:t xml:space="preserve">Особенно актуальный пример: серия</w:t>
      </w:r>
      <w:r>
        <w:t xml:space="preserve"> </w:t>
      </w:r>
      <w:hyperlink r:id="rId102">
        <w:r>
          <w:rPr>
            <w:rStyle w:val="Hyperlink"/>
          </w:rPr>
          <w:t xml:space="preserve">экспортных ограничений</w:t>
        </w:r>
      </w:hyperlink>
      <w:r>
        <w:t xml:space="preserve"> </w:t>
      </w:r>
      <w:r>
        <w:t xml:space="preserve">США в последние пару лет, сосредоточенные на ИИ-чипах и передовом оборудовании для производства чипов.</w:t>
      </w:r>
    </w:p>
    <w:bookmarkEnd w:id="103"/>
    <w:bookmarkEnd w:id="104"/>
    <w:bookmarkStart w:id="118" w:name="статья-vii-проверка-использования-чипов"/>
    <w:p>
      <w:pPr>
        <w:pStyle w:val="Heading2"/>
      </w:pPr>
      <w:r>
        <w:t xml:space="preserve">Статья VII: Проверка использования чипов</w:t>
      </w:r>
    </w:p>
    <w:p>
      <w:pPr>
        <w:numPr>
          <w:ilvl w:val="0"/>
          <w:numId w:val="1057"/>
        </w:numPr>
      </w:pPr>
      <w:r>
        <w:t xml:space="preserve">Стороны соглашаются с непрерывной проверкой ISIA общего использования чипов в заявленных CCC на местах. Методы проверки будут определяться и обновляться Техническим секретариатом в соответствии с процессом, описанным в Статье III. Исполнительный совет может наложить вето на такие решения большинством в две трети голосов. Эти методы могут включать, помимо прочего:</w:t>
      </w:r>
    </w:p>
    <w:p>
      <w:pPr>
        <w:pStyle w:val="Compact"/>
        <w:numPr>
          <w:ilvl w:val="1"/>
          <w:numId w:val="1058"/>
        </w:numPr>
      </w:pPr>
    </w:p>
    <w:p>
      <w:pPr>
        <w:pStyle w:val="Compact"/>
        <w:numPr>
          <w:ilvl w:val="2"/>
          <w:numId w:val="1059"/>
        </w:numPr>
      </w:pPr>
      <w:r>
        <w:t xml:space="preserve">Личное присутствие инспекторов;</w:t>
      </w:r>
    </w:p>
    <w:p>
      <w:pPr>
        <w:pStyle w:val="Compact"/>
        <w:numPr>
          <w:ilvl w:val="1"/>
          <w:numId w:val="1058"/>
        </w:numPr>
      </w:pPr>
    </w:p>
    <w:p>
      <w:pPr>
        <w:pStyle w:val="Compact"/>
        <w:numPr>
          <w:ilvl w:val="2"/>
          <w:numId w:val="1060"/>
        </w:numPr>
      </w:pPr>
      <w:r>
        <w:t xml:space="preserve">Защищенные от взлома камеры;</w:t>
      </w:r>
    </w:p>
    <w:p>
      <w:pPr>
        <w:pStyle w:val="Compact"/>
        <w:numPr>
          <w:ilvl w:val="1"/>
          <w:numId w:val="1058"/>
        </w:numPr>
      </w:pPr>
    </w:p>
    <w:p>
      <w:pPr>
        <w:pStyle w:val="Compact"/>
        <w:numPr>
          <w:ilvl w:val="2"/>
          <w:numId w:val="1061"/>
        </w:numPr>
      </w:pPr>
      <w:r>
        <w:t xml:space="preserve">Измерения энергетических, тепловых и сетевых характеристик;</w:t>
      </w:r>
    </w:p>
    <w:p>
      <w:pPr>
        <w:pStyle w:val="Compact"/>
        <w:numPr>
          <w:ilvl w:val="1"/>
          <w:numId w:val="1058"/>
        </w:numPr>
      </w:pPr>
    </w:p>
    <w:p>
      <w:pPr>
        <w:pStyle w:val="Compact"/>
        <w:numPr>
          <w:ilvl w:val="2"/>
          <w:numId w:val="1062"/>
        </w:numPr>
      </w:pPr>
      <w:r>
        <w:t xml:space="preserve">Аппаратно-реализованные механизмы на чипе, включая добавленные к чипам после производства;</w:t>
      </w:r>
    </w:p>
    <w:p>
      <w:pPr>
        <w:pStyle w:val="Compact"/>
        <w:numPr>
          <w:ilvl w:val="1"/>
          <w:numId w:val="1058"/>
        </w:numPr>
      </w:pPr>
    </w:p>
    <w:p>
      <w:pPr>
        <w:pStyle w:val="Compact"/>
        <w:numPr>
          <w:ilvl w:val="2"/>
          <w:numId w:val="1063"/>
        </w:numPr>
      </w:pPr>
      <w:r>
        <w:t xml:space="preserve">Декларирование рабочих нагрузок и операций чипов оператором CCC;</w:t>
      </w:r>
    </w:p>
    <w:p>
      <w:pPr>
        <w:pStyle w:val="Compact"/>
        <w:numPr>
          <w:ilvl w:val="1"/>
          <w:numId w:val="1058"/>
        </w:numPr>
      </w:pPr>
    </w:p>
    <w:p>
      <w:pPr>
        <w:pStyle w:val="Compact"/>
        <w:numPr>
          <w:ilvl w:val="2"/>
          <w:numId w:val="1064"/>
        </w:numPr>
      </w:pPr>
      <w:r>
        <w:t xml:space="preserve">Повторный запуск заявленных рабочих нагрузок на объекте ISIA для подтверждения верности деклараций.</w:t>
      </w:r>
    </w:p>
    <w:p>
      <w:pPr>
        <w:numPr>
          <w:ilvl w:val="0"/>
          <w:numId w:val="1057"/>
        </w:numPr>
      </w:pPr>
      <w:r>
        <w:t xml:space="preserve">Цель проверки – обеспечение того, что чипы не используются для запрещенной деятельности, такой как крупномасштабное обучение ИИ, описанное в Статье IV.</w:t>
      </w:r>
    </w:p>
    <w:p>
      <w:pPr>
        <w:numPr>
          <w:ilvl w:val="0"/>
          <w:numId w:val="1057"/>
        </w:numPr>
      </w:pPr>
      <w:r>
        <w:t xml:space="preserve">В случаях, когда ISIA оценивает, что текущие методы проверки не могут обеспечить достаточную уверенность в том, что ИИ-оборудование не используется для запрещенной деятельности, ИИ-оборудование должно быть обесточено. Его нерабочее состояние должно постоянно проверяться лично инспекторами или другими утвержденными ISIA механизмами проверки.</w:t>
      </w:r>
    </w:p>
    <w:p>
      <w:pPr>
        <w:numPr>
          <w:ilvl w:val="0"/>
          <w:numId w:val="1057"/>
        </w:numPr>
      </w:pPr>
      <w:r>
        <w:t xml:space="preserve">ISIA может налагать различные ограничения на то, как могут работать чипы, чтобы обеспечить надлежащую проверку. Эти ограничения могут включать, помимо прочего:</w:t>
      </w:r>
    </w:p>
    <w:p>
      <w:pPr>
        <w:pStyle w:val="Compact"/>
        <w:numPr>
          <w:ilvl w:val="1"/>
          <w:numId w:val="1065"/>
        </w:numPr>
      </w:pPr>
    </w:p>
    <w:p>
      <w:pPr>
        <w:pStyle w:val="Compact"/>
        <w:numPr>
          <w:ilvl w:val="2"/>
          <w:numId w:val="1066"/>
        </w:numPr>
      </w:pPr>
      <w:r>
        <w:t xml:space="preserve">Ограничения пропускной способности и времени задержки между различными чипами или между чипами и сетью их дата-центра, чтобы отличить разрешенный вывод от запрещенного обучения.</w:t>
      </w:r>
    </w:p>
    <w:p>
      <w:pPr>
        <w:pStyle w:val="Compact"/>
        <w:numPr>
          <w:ilvl w:val="1"/>
          <w:numId w:val="1065"/>
        </w:numPr>
      </w:pPr>
    </w:p>
    <w:p>
      <w:pPr>
        <w:pStyle w:val="Compact"/>
        <w:numPr>
          <w:ilvl w:val="2"/>
          <w:numId w:val="1067"/>
        </w:numPr>
      </w:pPr>
      <w:r>
        <w:t xml:space="preserve">Ограничения числа или скорости FLOP/s или пропускной способности памяти, для работы чипов, чтобы отличить разрешенный вывод от запрещенного обучения или других запрещенных рабочих нагрузок.</w:t>
      </w:r>
    </w:p>
    <w:p>
      <w:pPr>
        <w:pStyle w:val="Compact"/>
        <w:numPr>
          <w:ilvl w:val="1"/>
          <w:numId w:val="1065"/>
        </w:numPr>
      </w:pPr>
    </w:p>
    <w:p>
      <w:pPr>
        <w:pStyle w:val="Compact"/>
        <w:numPr>
          <w:ilvl w:val="2"/>
          <w:numId w:val="1068"/>
        </w:numPr>
      </w:pPr>
      <w:r>
        <w:t xml:space="preserve">Ограничения численной точности операций чипа, чтобы отличить рабочие нагрузки ИИ от рабочих нагрузок, не связанных с ИИ.</w:t>
      </w:r>
    </w:p>
    <w:p>
      <w:pPr>
        <w:numPr>
          <w:ilvl w:val="0"/>
          <w:numId w:val="1057"/>
        </w:numPr>
      </w:pPr>
      <w:r>
        <w:t xml:space="preserve">ISIA будет по-разному подходить к проверке различных CCC, основываясь на вероятности их использования для деятельности в области ИИ и их важности для национальной безопасности.</w:t>
      </w:r>
    </w:p>
    <w:p>
      <w:pPr>
        <w:numPr>
          <w:ilvl w:val="0"/>
          <w:numId w:val="1057"/>
        </w:numPr>
      </w:pPr>
      <w:r>
        <w:t xml:space="preserve">ISIA будет возглавлять исследования и инженерные разработки для создания лучших технологий мониторинга и проверки использования чипов. Стороны будут поддерживать эти усилия [более подробная информация будет предоставлена в Приложении].</w:t>
      </w:r>
    </w:p>
    <w:bookmarkStart w:id="111" w:name="примечания-5"/>
    <w:p>
      <w:pPr>
        <w:pStyle w:val="Heading3"/>
      </w:pPr>
      <w:r>
        <w:t xml:space="preserve">Примечания</w:t>
      </w:r>
    </w:p>
    <w:p>
      <w:pPr>
        <w:pStyle w:val="FirstParagraph"/>
      </w:pPr>
      <w:r>
        <w:t xml:space="preserve">Страны захотят убедиться, что существующие ИИ-чипы не используются для опасного обучения ИИ. Но будут и законные причины использовать эти чипы для запуска существующих ИИ-сервисов (например, уже существующих версий ChatGPT). Чтобы разрешить это противоречие, ISIA может проверять, для чего ИИ-чипы используются. Так будет гарантия, что они не заняты в запрещенной деятельности.</w:t>
      </w:r>
    </w:p>
    <w:p>
      <w:pPr>
        <w:pStyle w:val="BodyText"/>
      </w:pPr>
      <w:r>
        <w:t xml:space="preserve">Это положительный стимул для присоединения к Договору: тогда вы можете продолжать использовать ИИ-чипы. Но только пока надзор может подтвердить, что вы не используете в нарушение Договора (например, для крупномасштабного обучения ИИ). Постоянный мониторинг ISIA может показаться нежелательным, но мы считаем, что это лучший путь. Для предотвращения крупномасштабного обучения ИИ есть два основных подхода. Первый – гарантировать, что необходимого оборудования ни у кого нет. (т.е. ИИ-чипам нельзя существовать). Второй – гарантировать, что существующее оборудование не используют для крупномасштабного обучения (т.е. отслеживание чипов и проверка их использования, как описано в Статьях V, VI и VII). Это по сути аналогично мерам, которые применяет МАГАТЭ. Чтобы стране, не обладающей ядерным оружием, разрешили иметь ядерные материалы и объекты, МАГАТЭ проводит инспекции и гарантирует использование только в мирных целях.</w:t>
      </w:r>
    </w:p>
    <w:p>
      <w:pPr>
        <w:pStyle w:val="BodyText"/>
      </w:pPr>
      <w:r>
        <w:t xml:space="preserve">Для эффективной проверки использования чипов ISIA должны иметь возможность увериться, что чипы не используются запрещенными способами. Простой способ – выключить их все. Но тогда Стороны не смогут с пользой применять чипы в безопасных целях. Проверку можно облегчить техническими средствами. С оговоркой, что в нынешних технологиях,</w:t>
      </w:r>
      <w:r>
        <w:t xml:space="preserve"> </w:t>
      </w:r>
      <w:hyperlink r:id="rId105">
        <w:r>
          <w:rPr>
            <w:rStyle w:val="Hyperlink"/>
          </w:rPr>
          <w:t xml:space="preserve">вероятно</w:t>
        </w:r>
      </w:hyperlink>
      <w:r>
        <w:t xml:space="preserve">, есть уязвимости, которые позволили бы обходить мониторинг. Эти технологии сейчас в зачаточном состоянии. Так что проверка, вероятно, потребует либо постоянного мониторинга на месте, либо отключения чипов до появления технических средств получше. Вот тогда сильные аппаратно-реализованные механизмы управления смогут позволить уверенно контролировать чипы удаленно.</w:t>
      </w:r>
      <w:r>
        <w:rPr>
          <w:rStyle w:val="FootnoteReference"/>
        </w:rPr>
        <w:footnoteReference w:id="106"/>
      </w:r>
    </w:p>
    <w:p>
      <w:pPr>
        <w:pStyle w:val="BodyText"/>
      </w:pPr>
      <w:r>
        <w:t xml:space="preserve">Некоторые ограничения облегчат мониторинг использования чипов. У разных рабочих нагрузок, например, обучения и использования ИИ, разные технические требования. Потенциально (если эти различия достаточно надёжны), можно строить проверку на этом.</w:t>
      </w:r>
    </w:p>
    <w:p>
      <w:pPr>
        <w:pStyle w:val="BodyText"/>
      </w:pPr>
      <w:r>
        <w:t xml:space="preserve">Например, одним из механизмов проверки могли бы быть ограничения межсоединений: объёма связи чипов с внешним миром через сетевые кабели с низкой пропускной способностью. По сути, можно взять небольшой набор чипов (скажем, 8 H100) и ограничить их внешнюю коммуникацию так, чтобы их можно было эффективно использовать для вывода, но не крупномасштабного обучения ИИ. Обучение (при алгоритмах 2025 года) требует гораздо больше коммуникации, чем вывод. Когда запуск существующих ИИ приемлем, а обучение новых – нет, это может быть хороший план.</w:t>
      </w:r>
    </w:p>
    <w:p>
      <w:pPr>
        <w:pStyle w:val="BodyText"/>
      </w:pPr>
      <w:r>
        <w:t xml:space="preserve">В этих и многих других потенциальных механизмах проверки есть ещё много разных нюансов. Любопытные читатели могут ознакомиться с</w:t>
      </w:r>
      <w:r>
        <w:t xml:space="preserve"> </w:t>
      </w:r>
      <w:hyperlink r:id="rId107">
        <w:r>
          <w:rPr>
            <w:rStyle w:val="Hyperlink"/>
          </w:rPr>
          <w:t xml:space="preserve">предыдущими</w:t>
        </w:r>
      </w:hyperlink>
      <w:r>
        <w:t xml:space="preserve"> </w:t>
      </w:r>
      <w:hyperlink r:id="rId108">
        <w:r>
          <w:rPr>
            <w:rStyle w:val="Hyperlink"/>
          </w:rPr>
          <w:t xml:space="preserve">работами</w:t>
        </w:r>
      </w:hyperlink>
      <w:r>
        <w:t xml:space="preserve"> </w:t>
      </w:r>
      <w:hyperlink r:id="rId109">
        <w:r>
          <w:rPr>
            <w:rStyle w:val="Hyperlink"/>
          </w:rPr>
          <w:t xml:space="preserve">по этой теме</w:t>
        </w:r>
      </w:hyperlink>
      <w:r>
        <w:t xml:space="preserve">. Перед ISIA ставится широко определённая задача разработки и реализации лучших механизмов проверки. Мы считаем, что эта гибкость необходима из-за быстро меняющейся сферы ИИ. Да и сложно прогнозировать, что могло бы помешать проверкам. Исследования верификации ИИ тоже в зачаточном состоянии. Чтобы у ISIA появился надежный набор инструментов, нужны новые разработки.</w:t>
      </w:r>
    </w:p>
    <w:p>
      <w:pPr>
        <w:pStyle w:val="BodyText"/>
      </w:pPr>
      <w:r>
        <w:t xml:space="preserve">Статья IV запрещает крупное обучение ИИ. Если высокоспособные (и, следовательно, опасные) ИИ еще не были обучены к моменту начала проверок, те могут сосредоточиться именно на обучении. А вот если достаточно способные ИИ уже созданы, может потребоваться отслеживать ещё и то, не работают ли они на ИИ-чипах или чем занимаются. Тогда проверка не сможет быть сосредоточена только на предотвращении обучения. Существование достаточно опасных ИИ-систем (например, способные существенно способствовать разработке новых ИИ) сильно усложнит проверки. Удостовериться, что они не делают ничего запрещённого, куда сложнее, чем что не происходит крупномасштабного обучения. Отличить обучение от запуска, вероятно, куда проще, чем запуск для одной задачи от запуска для другой. Так что работа этого Договора была бы сильно проще, если развитие возможностей ИИ остановить скоро. Чем дальше движется прогресс, тем больше работы, расходов и ограничений может потребоваться.</w:t>
      </w:r>
    </w:p>
    <w:p>
      <w:pPr>
        <w:pStyle w:val="BodyText"/>
      </w:pPr>
      <w:r>
        <w:t xml:space="preserve">Ещё может быть желательно отслеживать выводы ИИ, для гарантии, что они не используются во вредных целях. Многие ИИ-компании это уже делают. Например, для обнаружения попыток пользователей применять ИИ для создания</w:t>
      </w:r>
      <w:r>
        <w:t xml:space="preserve"> </w:t>
      </w:r>
      <w:hyperlink r:id="rId110">
        <w:r>
          <w:rPr>
            <w:rStyle w:val="Hyperlink"/>
          </w:rPr>
          <w:t xml:space="preserve">биологического оружия</w:t>
        </w:r>
      </w:hyperlink>
      <w:r>
        <w:t xml:space="preserve">. Если получится снизить риски для конфиденциальности и безопасности, такой мониторинг можно применить и глобально.</w:t>
      </w:r>
    </w:p>
    <w:p>
      <w:pPr>
        <w:pStyle w:val="BodyText"/>
      </w:pPr>
      <w:r>
        <w:t xml:space="preserve">Пункт 5 этой Статьи позволяет ISIA применять разные методы проверки для разных CCC. Одна из причин – практическая: для обоснованной уверенности, что не происходит опасная разработка ИИ, на разных CCC нужны разные подходы. Например, крупные дата-центры, которые уже использовались для обучения передового ИИ, тут особо опасны, и для них может потребоваться больше мониторинга.</w:t>
      </w:r>
    </w:p>
    <w:p>
      <w:pPr>
        <w:pStyle w:val="BodyText"/>
      </w:pPr>
      <w:r>
        <w:t xml:space="preserve">Во-вторых, разные подходы к проверке позволяют менее инвазивный мониторинг для особо значимых для нацбезопасности CCC. Это делает Договор более приемлемым. Например, спецслужбы или военные не захотят, чтобы ISIA мониторило их дата-центры. Но проверить, что они не используются для опасной деятельности в области ИИ, всё равно надо. Это положение помогает найти баланс. ISIA работало бы с этими группами, чтобы гарантировать получение необходимой информации удовлетворительными для владельцев CCC в аспектах конфиденциальности и безопасности способами. С другой стороны, разрешение разных протоколов может и навредить жизнеспособности договора, если это будет воспринято как несправедливость. Особенно если принятие таких решений будет несбалансированным.</w:t>
      </w:r>
    </w:p>
    <w:p>
      <w:pPr>
        <w:pStyle w:val="BodyText"/>
      </w:pPr>
      <w:r>
        <w:t xml:space="preserve">Согласно этому договору всё ещё можно использовать и производить ИИ-чипы. Это даст миру выгоду их безобидных приложений. Альтернативный подход – закрыть производство новых чипов и/или уничтожить существующие. Если уничтожить чипы, это сильно увеличит время на нарушение договора – от начала опасной деятельности до успеха, если ее не остановить. Нарушителям пришлось бы сначала произвести много ИИ-чипов. Это, вероятно, было бы заметно и заняло бы годы или десятилетия, в зависимости от состояния цепочки поставок чипов. Так что этот вариант выгоден тем, что разработать опасный ИИ становится намного сложнее. Но и цена большая – мир не сможет пользоваться этими чипами во благо. Мы считаем, что отслеживать чипы и проверять их использование реально. Поэтому мы избрали для нашего проекта договора этот путь, а не путь ликвидации ИИ-чипов. Но у обоих свои достоинства.</w:t>
      </w:r>
    </w:p>
    <w:bookmarkEnd w:id="111"/>
    <w:bookmarkStart w:id="117" w:name="прецеденты-6"/>
    <w:p>
      <w:pPr>
        <w:pStyle w:val="Heading3"/>
      </w:pPr>
      <w:r>
        <w:t xml:space="preserve">Прецеденты</w:t>
      </w:r>
    </w:p>
    <w:p>
      <w:pPr>
        <w:pStyle w:val="FirstParagraph"/>
      </w:pPr>
      <w:r>
        <w:t xml:space="preserve">В обсуждении прецедентов для Статьи VI упоминался непрерывный мониторинг бывших объектов по производству ракет средней дальности в рамках ДРСМД. Он позволял взвешивать и сканировать покидающий объект транспорт. Но он не допускал инспекторов внутрь грузовиков или на сами объекты. Аналогичный мониторинг дата-центров по периметру может собирать информацию о энергопотреблении, тепловом излучении и пропускной способности сети. Из этого можно сделать какие-то выводы о проводящихся там операциях. Но для разумной уверенности, что ничего запрещённого там не происходит, вероятно, потребуется сочетание перечисленных в Пункте 1 Статьи VII методов, включая защищенные от взлома камеры, аппаратно-реализованные механизмы на чипе и личное присутствие инспекторов.</w:t>
      </w:r>
    </w:p>
    <w:p>
      <w:pPr>
        <w:pStyle w:val="BodyText"/>
      </w:pPr>
      <w:r>
        <w:t xml:space="preserve">Всё это – уже обычное дело для Международного агентства по атомной энергии. Оно всё чаще в дополнение к инспекциям</w:t>
      </w:r>
      <w:r>
        <w:t xml:space="preserve"> </w:t>
      </w:r>
      <w:hyperlink r:id="rId112">
        <w:r>
          <w:rPr>
            <w:rStyle w:val="Hyperlink"/>
          </w:rPr>
          <w:t xml:space="preserve">использует непрерывные методы наблюдения</w:t>
        </w:r>
      </w:hyperlink>
      <w:r>
        <w:t xml:space="preserve">:</w:t>
      </w:r>
    </w:p>
    <w:p>
      <w:pPr>
        <w:pStyle w:val="BlockText"/>
      </w:pPr>
      <w:r>
        <w:t xml:space="preserve">Более чем 1400 камер наблюдения и 400 радиационных и других датчиков собирают более миллиона единиц зашифрованных проверочных данных по всему миру. Более 23 000 печатей, установленных на ядерных объектах, обеспечивают изоляцию материалов и оборудования.</w:t>
      </w:r>
    </w:p>
    <w:p>
      <w:pPr>
        <w:pStyle w:val="FirstParagraph"/>
      </w:pPr>
      <w:r>
        <w:t xml:space="preserve">В рамках СНВ-1 проверка соблюдения допустимых тактико-технических характеристик ракет совершалась в частности путём обмена почти всеми телеметрическими данными с датчиков при лётных испытаниях. Это было указано в</w:t>
      </w:r>
      <w:r>
        <w:t xml:space="preserve"> </w:t>
      </w:r>
      <w:hyperlink r:id="rId113">
        <w:r>
          <w:rPr>
            <w:rStyle w:val="Hyperlink"/>
          </w:rPr>
          <w:t xml:space="preserve">протоколе по телеметрии</w:t>
        </w:r>
      </w:hyperlink>
      <w:r>
        <w:t xml:space="preserve">. Ещё он требовал от сторон предоставлять нужное оборудование для воспроизведения данных и информацию о их формате. ISIA может использовать схожие методы, подходящие для принятых стратегий проверки. Можно строить это поверх «легкого» мониторинга, подобного тому, как провайдеры облачных вычислений</w:t>
      </w:r>
      <w:r>
        <w:t xml:space="preserve"> </w:t>
      </w:r>
      <w:hyperlink r:id="rId95">
        <w:r>
          <w:rPr>
            <w:rStyle w:val="Hyperlink"/>
          </w:rPr>
          <w:t xml:space="preserve">собирают данные</w:t>
        </w:r>
      </w:hyperlink>
      <w:r>
        <w:t xml:space="preserve"> </w:t>
      </w:r>
      <w:r>
        <w:t xml:space="preserve">о рабочих нагрузках своих клиентов.</w:t>
      </w:r>
    </w:p>
    <w:p>
      <w:pPr>
        <w:pStyle w:val="BodyText"/>
      </w:pPr>
      <w:r>
        <w:t xml:space="preserve">У непрерывного государственного мониторинга частных коммерческих объектов (как большинство дата-центров) тоже много прецедентов. Комиссии по ядерному регулированию США поручен надзор за безопасностью внутренних ядерных реакторов. Она размещает</w:t>
      </w:r>
      <w:r>
        <w:t xml:space="preserve"> </w:t>
      </w:r>
      <w:hyperlink r:id="rId114">
        <w:r>
          <w:rPr>
            <w:rStyle w:val="Hyperlink"/>
          </w:rPr>
          <w:t xml:space="preserve">двух постоянных инспекторов</w:t>
        </w:r>
      </w:hyperlink>
      <w:r>
        <w:t xml:space="preserve"> </w:t>
      </w:r>
      <w:r>
        <w:t xml:space="preserve">на каждой коммерческой электростанции США. А производители мяса в США</w:t>
      </w:r>
      <w:r>
        <w:t xml:space="preserve"> </w:t>
      </w:r>
      <w:hyperlink r:id="rId115">
        <w:r>
          <w:rPr>
            <w:rStyle w:val="Hyperlink"/>
          </w:rPr>
          <w:t xml:space="preserve">не могут забивать животных</w:t>
        </w:r>
      </w:hyperlink>
      <w:r>
        <w:t xml:space="preserve"> </w:t>
      </w:r>
      <w:r>
        <w:t xml:space="preserve">без надзора присутствующих на месте инспекторов FSIS</w:t>
      </w:r>
      <w:r>
        <w:rPr>
          <w:rStyle w:val="FootnoteReference"/>
        </w:rPr>
        <w:footnoteReference w:id="116"/>
      </w:r>
      <w:r>
        <w:t xml:space="preserve">.</w:t>
      </w:r>
    </w:p>
    <w:p>
      <w:r>
        <w:pict>
          <v:rect style="width:0;height:1.5pt" o:hralign="center" o:hrstd="t" o:hr="t"/>
        </w:pict>
      </w:r>
    </w:p>
    <w:bookmarkEnd w:id="117"/>
    <w:bookmarkEnd w:id="118"/>
    <w:bookmarkStart w:id="136" w:name="Xe334693d63fd3e760fcf13e2321f78a401e93e4"/>
    <w:p>
      <w:pPr>
        <w:pStyle w:val="Heading2"/>
      </w:pPr>
      <w:r>
        <w:t xml:space="preserve">Статья VIII: Ограниченные исследования: Алгоритмы ИИ и оборудование</w:t>
      </w:r>
    </w:p>
    <w:p>
      <w:pPr>
        <w:numPr>
          <w:ilvl w:val="0"/>
          <w:numId w:val="1069"/>
        </w:numPr>
      </w:pPr>
      <w:r>
        <w:t xml:space="preserve">В целях предотвращения конкретных исследований, которые продвигают передовой уровень возможностей ИИ или подрывают способность Сторон реализовывать меры настоящего Договора, настоящий Договор определяет исследования, соответствующие любому из нижеперечисленных условий, как Ограниченные исследования:</w:t>
      </w:r>
    </w:p>
    <w:p>
      <w:pPr>
        <w:pStyle w:val="Compact"/>
        <w:numPr>
          <w:ilvl w:val="1"/>
          <w:numId w:val="1070"/>
        </w:numPr>
      </w:pPr>
    </w:p>
    <w:p>
      <w:pPr>
        <w:pStyle w:val="Compact"/>
        <w:numPr>
          <w:ilvl w:val="2"/>
          <w:numId w:val="1071"/>
        </w:numPr>
      </w:pPr>
      <w:r>
        <w:t xml:space="preserve">Улучшения методов создания передовых моделей, как они определены в Статье II, которые улучшили бы возможности моделей или эффективность разработки, развертывания или использования ИИ.</w:t>
      </w:r>
    </w:p>
    <w:p>
      <w:pPr>
        <w:pStyle w:val="Compact"/>
        <w:numPr>
          <w:ilvl w:val="1"/>
          <w:numId w:val="1070"/>
        </w:numPr>
      </w:pPr>
    </w:p>
    <w:p>
      <w:pPr>
        <w:pStyle w:val="Compact"/>
        <w:numPr>
          <w:ilvl w:val="2"/>
          <w:numId w:val="1072"/>
        </w:numPr>
      </w:pPr>
      <w:r>
        <w:t xml:space="preserve">Распределенные или децентрализованные методы обучения, или методы обучения, оптимизированные для использования на широко доступном или потребительском оборудовании.</w:t>
      </w:r>
    </w:p>
    <w:p>
      <w:pPr>
        <w:pStyle w:val="Compact"/>
        <w:numPr>
          <w:ilvl w:val="1"/>
          <w:numId w:val="1070"/>
        </w:numPr>
      </w:pPr>
    </w:p>
    <w:p>
      <w:pPr>
        <w:pStyle w:val="Compact"/>
        <w:numPr>
          <w:ilvl w:val="2"/>
          <w:numId w:val="1073"/>
        </w:numPr>
      </w:pPr>
      <w:r>
        <w:t xml:space="preserve">Исследования парадигм компьютерного искусственного интеллекта за пределами машинного обучения.</w:t>
      </w:r>
    </w:p>
    <w:p>
      <w:pPr>
        <w:pStyle w:val="Compact"/>
        <w:numPr>
          <w:ilvl w:val="1"/>
          <w:numId w:val="1070"/>
        </w:numPr>
      </w:pPr>
    </w:p>
    <w:p>
      <w:pPr>
        <w:pStyle w:val="Compact"/>
        <w:numPr>
          <w:ilvl w:val="2"/>
          <w:numId w:val="1074"/>
        </w:numPr>
      </w:pPr>
      <w:r>
        <w:t xml:space="preserve">Совершенствование изготовления чипов или компонентов чипов, имеющих отношение к ИИ.</w:t>
      </w:r>
    </w:p>
    <w:p>
      <w:pPr>
        <w:pStyle w:val="Compact"/>
        <w:numPr>
          <w:ilvl w:val="1"/>
          <w:numId w:val="1070"/>
        </w:numPr>
      </w:pPr>
    </w:p>
    <w:p>
      <w:pPr>
        <w:pStyle w:val="Compact"/>
        <w:numPr>
          <w:ilvl w:val="2"/>
          <w:numId w:val="1075"/>
        </w:numPr>
      </w:pPr>
      <w:r>
        <w:t xml:space="preserve">Проектирование более производительных или более эффективных ИИ-чипов.</w:t>
      </w:r>
    </w:p>
    <w:p>
      <w:pPr>
        <w:numPr>
          <w:ilvl w:val="0"/>
          <w:numId w:val="1069"/>
        </w:numPr>
      </w:pPr>
      <w:r>
        <w:t xml:space="preserve">Отдел Контроля исследований ISIA должен классифицировать всю деятельность в рамках Ограниченных исследований как</w:t>
      </w:r>
      <w:r>
        <w:t xml:space="preserve"> </w:t>
      </w:r>
      <w:r>
        <w:rPr>
          <w:i/>
          <w:iCs/>
        </w:rPr>
        <w:t xml:space="preserve">Контролируемую</w:t>
      </w:r>
      <w:r>
        <w:t xml:space="preserve"> </w:t>
      </w:r>
      <w:r>
        <w:t xml:space="preserve">или</w:t>
      </w:r>
      <w:r>
        <w:t xml:space="preserve"> </w:t>
      </w:r>
      <w:r>
        <w:rPr>
          <w:i/>
          <w:iCs/>
        </w:rPr>
        <w:t xml:space="preserve">Запрещенную</w:t>
      </w:r>
      <w:r>
        <w:t xml:space="preserve">.</w:t>
      </w:r>
    </w:p>
    <w:p>
      <w:pPr>
        <w:pStyle w:val="Compact"/>
        <w:numPr>
          <w:ilvl w:val="1"/>
          <w:numId w:val="1076"/>
        </w:numPr>
      </w:pPr>
    </w:p>
    <w:p>
      <w:pPr>
        <w:pStyle w:val="Compact"/>
        <w:numPr>
          <w:ilvl w:val="2"/>
          <w:numId w:val="1077"/>
        </w:numPr>
      </w:pPr>
      <w:r>
        <w:t xml:space="preserve">Стороны должны осуществлять мониторинг любой деятельности в рамках Контролируемых исследований в пределах своей юрисдикции и принимать меры для обеспечения того, чтобы все контролируемые исследования отслеживались и предоставлялись отделу Контроля исследований в целях проверки и мониторинга.</w:t>
      </w:r>
    </w:p>
    <w:p>
      <w:pPr>
        <w:pStyle w:val="Compact"/>
        <w:numPr>
          <w:ilvl w:val="1"/>
          <w:numId w:val="1076"/>
        </w:numPr>
      </w:pPr>
    </w:p>
    <w:p>
      <w:pPr>
        <w:pStyle w:val="Compact"/>
        <w:numPr>
          <w:ilvl w:val="2"/>
          <w:numId w:val="1078"/>
        </w:numPr>
      </w:pPr>
      <w:r>
        <w:t xml:space="preserve">Стороны не должны проводить никаких Запрещенных исследований, а также должны запрещать и предотвращать Запрещенные исследования любым субъектом в пределах своей юрисдикции.</w:t>
      </w:r>
    </w:p>
    <w:p>
      <w:pPr>
        <w:numPr>
          <w:ilvl w:val="0"/>
          <w:numId w:val="1069"/>
        </w:numPr>
      </w:pPr>
      <w:r>
        <w:t xml:space="preserve">Стороны обязуются не помогать, не поощрять и не распространять Запрещенные исследования, в том числе путем финансирования, закупок, хостинга, надзора, обучения, публикации, предоставления контролируемых инструментов или чипов, или содействия сотрудничеству.</w:t>
      </w:r>
    </w:p>
    <w:p>
      <w:pPr>
        <w:numPr>
          <w:ilvl w:val="0"/>
          <w:numId w:val="1069"/>
        </w:numPr>
      </w:pPr>
      <w:r>
        <w:t xml:space="preserve">Каждая Сторона должна предоставить представителя в отдел Контроля исследований ISIA при Техническом секретариате (учрежденном в Статье III). Этот отдел получает следующие обязанности:</w:t>
      </w:r>
    </w:p>
    <w:p>
      <w:pPr>
        <w:pStyle w:val="Compact"/>
        <w:numPr>
          <w:ilvl w:val="1"/>
          <w:numId w:val="1079"/>
        </w:numPr>
      </w:pPr>
    </w:p>
    <w:p>
      <w:pPr>
        <w:pStyle w:val="Compact"/>
        <w:numPr>
          <w:ilvl w:val="2"/>
          <w:numId w:val="1080"/>
        </w:numPr>
      </w:pPr>
      <w:r>
        <w:t xml:space="preserve">Интерпретировать и разъяснять категории Ограниченных исследований и отвечать на вопросы о границах Ограниченных исследований в ответ на новую информацию и на запросы от исследователей, организаций или Сторон.</w:t>
      </w:r>
    </w:p>
    <w:p>
      <w:pPr>
        <w:pStyle w:val="Compact"/>
        <w:numPr>
          <w:ilvl w:val="1"/>
          <w:numId w:val="1079"/>
        </w:numPr>
      </w:pPr>
    </w:p>
    <w:p>
      <w:pPr>
        <w:pStyle w:val="Compact"/>
        <w:numPr>
          <w:ilvl w:val="2"/>
          <w:numId w:val="1081"/>
        </w:numPr>
      </w:pPr>
      <w:r>
        <w:t xml:space="preserve">Интерпретировать и разъяснять границу между Контролируемыми исследованиями и Запрещенными исследованиями и отвечать на вопросы об этой границе в ответ на новую информацию и на запросы от исследователей, организаций или Сторон.</w:t>
      </w:r>
    </w:p>
    <w:p>
      <w:pPr>
        <w:pStyle w:val="Compact"/>
        <w:numPr>
          <w:ilvl w:val="1"/>
          <w:numId w:val="1079"/>
        </w:numPr>
      </w:pPr>
    </w:p>
    <w:p>
      <w:pPr>
        <w:pStyle w:val="Compact"/>
        <w:numPr>
          <w:ilvl w:val="2"/>
          <w:numId w:val="1082"/>
        </w:numPr>
      </w:pPr>
      <w:r>
        <w:t xml:space="preserve">Изменять определение Ограниченных исследований и их категории в ответ на изменяющиеся условия или на запросы от исследователей, организаций или Сторон.</w:t>
      </w:r>
    </w:p>
    <w:p>
      <w:pPr>
        <w:pStyle w:val="Compact"/>
        <w:numPr>
          <w:ilvl w:val="1"/>
          <w:numId w:val="1079"/>
        </w:numPr>
      </w:pPr>
    </w:p>
    <w:p>
      <w:pPr>
        <w:pStyle w:val="Compact"/>
        <w:numPr>
          <w:ilvl w:val="2"/>
          <w:numId w:val="1083"/>
        </w:numPr>
      </w:pPr>
      <w:r>
        <w:t xml:space="preserve">Изменять границу между Контролируемыми исследованиями и Запрещенными исследованиями в ответ на изменяющиеся условия или на запросы от исследователей, организаций или Сторон.</w:t>
      </w:r>
    </w:p>
    <w:p>
      <w:pPr>
        <w:pStyle w:val="Compact"/>
        <w:numPr>
          <w:ilvl w:val="1"/>
          <w:numId w:val="1079"/>
        </w:numPr>
      </w:pPr>
    </w:p>
    <w:p>
      <w:pPr>
        <w:pStyle w:val="Compact"/>
        <w:numPr>
          <w:ilvl w:val="2"/>
          <w:numId w:val="1084"/>
        </w:numPr>
      </w:pPr>
      <w:r>
        <w:t xml:space="preserve">Исполнительный совет должен иметь возможность наложить вето на любые изменения в определении Ограниченных исследований или категориях и классификациях внутри них большинством в две трети голосов, как описано в Статье III.</w:t>
      </w:r>
    </w:p>
    <w:p>
      <w:r>
        <w:pict>
          <v:rect style="width:0;height:1.5pt" o:hralign="center" o:hrstd="t" o:hr="t"/>
        </w:pict>
      </w:r>
    </w:p>
    <w:bookmarkStart w:id="120" w:name="примечания-6"/>
    <w:p>
      <w:pPr>
        <w:pStyle w:val="Heading3"/>
      </w:pPr>
      <w:r>
        <w:t xml:space="preserve">Примечания</w:t>
      </w:r>
    </w:p>
    <w:p>
      <w:pPr>
        <w:pStyle w:val="FirstParagraph"/>
      </w:pPr>
      <w:r>
        <w:t xml:space="preserve">Трудно запретить широкие категории исследований, когда нужные знания уже есть у частных лиц. Мы предлагаем ограничивать исследования, если они совершенствуют способности или производительность ИИ. Или если они ставят под угрозу схемы проверки из предыдущих статей.</w:t>
      </w:r>
    </w:p>
    <w:p>
      <w:pPr>
        <w:pStyle w:val="BodyText"/>
      </w:pPr>
      <w:r>
        <w:t xml:space="preserve">Некоторые исследования нужно запретить, чтобы способности ИИ с теми же затратами FLOP на обучение не росли. Этот запрет должен охватывать любые исследования, повышающие эффективность обучения или способности обученного ИИ. Это часто называют «алгоритмическим прогрессом». При нынешней парадигме в это входят входят улучшения алгоритмов предобучения, постобучения и вывода. При смене парадигм могут размыться границы и появиться новые категории. Поэтому в договоре говорится о «разработке, развертывании или использовании».</w:t>
      </w:r>
    </w:p>
    <w:p>
      <w:pPr>
        <w:pStyle w:val="BodyText"/>
      </w:pPr>
      <w:r>
        <w:t xml:space="preserve">Прошлые улучшения, вроде трансформера, демонстрируют, что способности передовых ИИ могут возрасти очень быстро и сильно. Новые алгоритмы могут поменять, как ИИ работают. К тому же, новые парадигмы могут резко снизить требования вычислительных ресурсов для того же уровня способностей. Например, эффективность использования данных у современных ИИ</w:t>
      </w:r>
      <w:r>
        <w:t xml:space="preserve"> </w:t>
      </w:r>
      <w:r>
        <w:rPr>
          <w:i/>
          <w:iCs/>
        </w:rPr>
        <w:t xml:space="preserve">намного</w:t>
      </w:r>
      <w:r>
        <w:t xml:space="preserve"> </w:t>
      </w:r>
      <w:r>
        <w:t xml:space="preserve">ниже, чем у людей. Значит, есть алгоритмы, которые по этому параметру гораздо сильнее. Просто их ещё не нашли.</w:t>
      </w:r>
    </w:p>
    <w:p>
      <w:pPr>
        <w:pStyle w:val="BodyText"/>
      </w:pPr>
      <w:r>
        <w:t xml:space="preserve">Другие исследования нужно запретить, чтобы требования к вычислениям для обучения опасных ИИ не снизились. Иначе их можно будет обучить на малом количестве чипов (или на большом, но распределённом мелкими кластерами по разным местам). Это помешало бы мониторингу.</w:t>
      </w:r>
    </w:p>
    <w:p>
      <w:pPr>
        <w:pStyle w:val="BodyText"/>
      </w:pPr>
      <w:r>
        <w:t xml:space="preserve">Запрет должен касаться и поиска новых способов производства неотслеживаемых ИИ-чипов. Режим мониторинга осуществим во многом благодаря тому, что продвинутое полупроводниковое производство, нужное для ИИ, очень сложное, и мало где доступно.</w:t>
      </w:r>
    </w:p>
    <w:p>
      <w:pPr>
        <w:pStyle w:val="BodyText"/>
      </w:pPr>
      <w:r>
        <w:t xml:space="preserve">Эта статья запрещает ещё и исследование проектирования более производительных или эффективных ИИ-чипов. Без этого они с каждым годом становятся</w:t>
      </w:r>
      <w:r>
        <w:t xml:space="preserve"> </w:t>
      </w:r>
      <w:hyperlink r:id="rId119">
        <w:r>
          <w:rPr>
            <w:rStyle w:val="Hyperlink"/>
          </w:rPr>
          <w:t xml:space="preserve">существенно эффективнее</w:t>
        </w:r>
      </w:hyperlink>
      <w:r>
        <w:t xml:space="preserve">. Дата-центр на более эффективных чипах было бы легче скрыть, ведь он потреблял бы меньше электричества при той же, а то и большей, производительности.</w:t>
      </w:r>
    </w:p>
    <w:p>
      <w:pPr>
        <w:pStyle w:val="BodyText"/>
      </w:pPr>
      <w:r>
        <w:t xml:space="preserve">Нужно будет иногда обновлять конкретный перечень типов ограниченных исследований. Например, в какой-то момент ISIA может захотеть ограничить исследования более совершенного компьютерного оборудования, не связанного с ИИ. Это может понадобиться, если такой прогресс будет угрожать возможности проверок.</w:t>
      </w:r>
    </w:p>
    <w:p>
      <w:pPr>
        <w:pStyle w:val="BodyText"/>
      </w:pPr>
      <w:r>
        <w:t xml:space="preserve">Внутренние усилия по ограничению исследований могут сначала сосредоточиться на публикациях и финансировании. Изменение законов и социальных норм, вероятно, поможет убедить большинство исследователей прекратить опасную работу.</w:t>
      </w:r>
    </w:p>
    <w:p>
      <w:pPr>
        <w:pStyle w:val="BodyText"/>
      </w:pPr>
      <w:r>
        <w:t xml:space="preserve">Такое разнообразие ограниченных действий в Пункте 3 нужно для надежности. Исследовательская деятельность может быть разделена между несколькими юрисдикциями. Например, компания в одной стране нанимает сотрудника во второй, а тот удаленно управляет чипами в третьей. Договор все равно однозначно возложит ответственность за запрет и предотвращение на каждое государство.</w:t>
      </w:r>
    </w:p>
    <w:p>
      <w:r>
        <w:pict>
          <v:rect style="width:0;height:1.5pt" o:hralign="center" o:hrstd="t" o:hr="t"/>
        </w:pict>
      </w:r>
    </w:p>
    <w:bookmarkEnd w:id="120"/>
    <w:bookmarkStart w:id="135" w:name="прецеденты-7"/>
    <w:p>
      <w:pPr>
        <w:pStyle w:val="Heading3"/>
      </w:pPr>
      <w:r>
        <w:t xml:space="preserve">Прецеденты</w:t>
      </w:r>
    </w:p>
    <w:p>
      <w:pPr>
        <w:pStyle w:val="FirstParagraph"/>
      </w:pPr>
      <w:r>
        <w:t xml:space="preserve">У упреждающего ограничения распространения информации об опасных технологиях есть прецедент:</w:t>
      </w:r>
      <w:r>
        <w:t xml:space="preserve"> </w:t>
      </w:r>
      <w:hyperlink r:id="rId121">
        <w:r>
          <w:rPr>
            <w:rStyle w:val="Hyperlink"/>
          </w:rPr>
          <w:t xml:space="preserve">Закон об атомной энергии 1946 года</w:t>
        </w:r>
      </w:hyperlink>
      <w:r>
        <w:t xml:space="preserve"> </w:t>
      </w:r>
      <w:r>
        <w:t xml:space="preserve">в США. Он до сих пор действует. Закон установил, что информация по определенным темам по умолчанию является «Ограниченными данными» (доктрина «секретно по факту создания»). Для исключений нужно было разрешение созданной этим законом Комиссии по атомной энергии:</w:t>
      </w:r>
      <w:r>
        <w:rPr>
          <w:rStyle w:val="FootnoteReference"/>
        </w:rPr>
        <w:footnoteReference w:id="122"/>
      </w:r>
    </w:p>
    <w:p>
      <w:pPr>
        <w:pStyle w:val="BlockText"/>
      </w:pPr>
      <w:r>
        <w:t xml:space="preserve">Термин «ограниченные данные», используемый в этом разделе, означает все данные, касающиеся изготовления или использования атомного оружия, производства расщепляющегося материала или использования расщепляющегося материала в производстве энергии, но не включает никакие данные, которые Комиссия время от времени определяет как возможные для публикации без ущерба для общей обороны и безопасности.</w:t>
      </w:r>
    </w:p>
    <w:p>
      <w:pPr>
        <w:pStyle w:val="FirstParagraph"/>
      </w:pPr>
      <w:r>
        <w:t xml:space="preserve">В отличие от других типов правительственной классификации, «Ограниченные данные» могут быть созданы частным сектором (намеренно или случайно). Насколько это соответствует Конституции, пока не решено.</w:t>
      </w:r>
      <w:r>
        <w:rPr>
          <w:rStyle w:val="FootnoteReference"/>
        </w:rPr>
        <w:footnoteReference w:id="124"/>
      </w:r>
      <w:r>
        <w:t xml:space="preserve"> </w:t>
      </w:r>
      <w:r>
        <w:t xml:space="preserve">Это подчеркивает необходимость регулирующего органа, уполномоченного и способного принимать повседневные решения о точных границах таких данных. В США для ядерных секретов этим занимается</w:t>
      </w:r>
      <w:r>
        <w:t xml:space="preserve"> </w:t>
      </w:r>
      <w:hyperlink r:id="rId126">
        <w:r>
          <w:rPr>
            <w:rStyle w:val="Hyperlink"/>
          </w:rPr>
          <w:t xml:space="preserve">Национальное управление по ядерной безопасности</w:t>
        </w:r>
      </w:hyperlink>
      <w:r>
        <w:t xml:space="preserve"> </w:t>
      </w:r>
      <w:r>
        <w:t xml:space="preserve">(NNSA). Согласно нашему Пункту 5 Статьи VIII, эту роль для ограниченных исследований ИИ взял бы на себя отдел Контроля исследований ISIA. Он выполнял бы и другие аналогичные NNSA функции (описанные в Статье IX): (1) поддержание связи с исследователями и организациями, работающими над близкими к порогу секретности проектами, и (2) создание защищенной инфраструктуры для заявления о непреднамеренных открытиях и их сдерживания.</w:t>
      </w:r>
    </w:p>
    <w:p>
      <w:pPr>
        <w:pStyle w:val="BodyText"/>
      </w:pPr>
      <w:r>
        <w:t xml:space="preserve">У сдерживания и контроля исследований в опасных областях тоже есть прецедент. В последние месяцы Второй мировой войны Великобритания и США совместно провели</w:t>
      </w:r>
      <w:r>
        <w:t xml:space="preserve"> </w:t>
      </w:r>
      <w:hyperlink r:id="rId127">
        <w:r>
          <w:rPr>
            <w:rStyle w:val="Hyperlink"/>
          </w:rPr>
          <w:t xml:space="preserve">миссию «Алсос»</w:t>
        </w:r>
      </w:hyperlink>
      <w:r>
        <w:t xml:space="preserve">. Целью было захватить немецких ученых-ядерщиков, собрать информации о немецком прогрессе в создании атомной бомбы и не дать СССР получить эти ресурсы.</w:t>
      </w:r>
      <w:r>
        <w:t xml:space="preserve"> </w:t>
      </w:r>
      <w:hyperlink r:id="rId128">
        <w:r>
          <w:rPr>
            <w:rStyle w:val="Hyperlink"/>
          </w:rPr>
          <w:t xml:space="preserve">Проект «Оверкаст»</w:t>
        </w:r>
      </w:hyperlink>
      <w:r>
        <w:t xml:space="preserve"> </w:t>
      </w:r>
      <w:r>
        <w:t xml:space="preserve">(известный также как «операция „Скрепка“) был секретной послевоенной программой США по найму немецких инженеров-ракетчиков.</w:t>
      </w:r>
    </w:p>
    <w:p>
      <w:pPr>
        <w:pStyle w:val="BodyText"/>
      </w:pPr>
      <w:r>
        <w:t xml:space="preserve">Сдерживать Ограниченные исследования ИИ государства-Стороны могут через существующие нормативные базы. В США к ним относятся:</w:t>
      </w:r>
    </w:p>
    <w:p>
      <w:pPr>
        <w:numPr>
          <w:ilvl w:val="0"/>
          <w:numId w:val="1085"/>
        </w:numPr>
      </w:pPr>
      <w:r>
        <w:t xml:space="preserve">Концепция «</w:t>
      </w:r>
      <w:hyperlink r:id="rId129">
        <w:r>
          <w:rPr>
            <w:rStyle w:val="Hyperlink"/>
          </w:rPr>
          <w:t xml:space="preserve">подразумеваемого экспорта</w:t>
        </w:r>
      </w:hyperlink>
      <w:r>
        <w:t xml:space="preserve">» в законе об экспортном контроле. Она обязывает американскую организацию получить экспортную лицензию в Бюро промышленности и безопасности</w:t>
      </w:r>
      <w:r>
        <w:rPr>
          <w:rStyle w:val="FootnoteReference"/>
        </w:rPr>
        <w:footnoteReference w:id="130"/>
      </w:r>
      <w:r>
        <w:t xml:space="preserve">, прежде чем делиться контролируемыми технологиями с иностранными лицами. Такой обмен приравнивается к экспорту.</w:t>
      </w:r>
    </w:p>
    <w:p>
      <w:pPr>
        <w:numPr>
          <w:ilvl w:val="0"/>
          <w:numId w:val="1085"/>
        </w:numPr>
      </w:pPr>
      <w:hyperlink r:id="rId131">
        <w:r>
          <w:rPr>
            <w:rStyle w:val="Hyperlink"/>
          </w:rPr>
          <w:t xml:space="preserve">Правила международной торговли оружием</w:t>
        </w:r>
      </w:hyperlink>
      <w:r>
        <w:t xml:space="preserve"> </w:t>
      </w:r>
      <w:r>
        <w:t xml:space="preserve">(ITAR) – набор правил Госдепартамента США, по контролю экспорта военных технологий и некоторых технологий двойного назначения. ITAR до 1996 года использовался для предотвращения широкой разработки и использования криптографических методов частным сектором.</w:t>
      </w:r>
      <w:r>
        <w:t xml:space="preserve"> </w:t>
      </w:r>
      <w:hyperlink r:id="rId132">
        <w:r>
          <w:rPr>
            <w:rStyle w:val="Hyperlink"/>
          </w:rPr>
          <w:t xml:space="preserve">Списком вооружений США</w:t>
        </w:r>
      </w:hyperlink>
      <w:r>
        <w:t xml:space="preserve"> </w:t>
      </w:r>
      <w:r>
        <w:t xml:space="preserve">они классифицировались как «предмет обороны».</w:t>
      </w:r>
    </w:p>
    <w:p>
      <w:pPr>
        <w:numPr>
          <w:ilvl w:val="0"/>
          <w:numId w:val="1085"/>
        </w:numPr>
      </w:pPr>
      <w:hyperlink r:id="rId133">
        <w:r>
          <w:rPr>
            <w:rStyle w:val="Hyperlink"/>
          </w:rPr>
          <w:t xml:space="preserve">Закон о секретности изобретений 1951 года</w:t>
        </w:r>
      </w:hyperlink>
      <w:r>
        <w:t xml:space="preserve">. Он дает правительственным агентствам США право налагать «приказы о секретности» на новые патентные заявки, если они значимы для национальной безопасности. Изобретателям могут не только отказать в патентах, но и юридически запретить раскрывать, публиковать или даже использовать их изобретения.</w:t>
      </w:r>
      <w:r>
        <w:rPr>
          <w:rStyle w:val="FootnoteReference"/>
        </w:rPr>
        <w:footnoteReference w:id="134"/>
      </w:r>
    </w:p>
    <w:p>
      <w:pPr>
        <w:pStyle w:val="FirstParagraph"/>
      </w:pPr>
      <w:r>
        <w:t xml:space="preserve">Проект «Оверкаст» – ещё и прецедент контроля над исследователями путем простой выплаты им хорошего вознаграждения за действия в интересах государства. Другие прецеденты обсуждаются после Статье IX.</w:t>
      </w:r>
    </w:p>
    <w:bookmarkEnd w:id="135"/>
    <w:bookmarkEnd w:id="136"/>
    <w:bookmarkStart w:id="158" w:name="X3abac1700a6880a197fc81e6303dd52646622c0"/>
    <w:p>
      <w:pPr>
        <w:pStyle w:val="Heading2"/>
      </w:pPr>
      <w:r>
        <w:t xml:space="preserve">Статья IX: Проверка ограничений на исследования</w:t>
      </w:r>
    </w:p>
    <w:p>
      <w:pPr>
        <w:pStyle w:val="Compact"/>
        <w:numPr>
          <w:ilvl w:val="0"/>
          <w:numId w:val="1086"/>
        </w:numPr>
      </w:pPr>
      <w:r>
        <w:t xml:space="preserve">Каждая Сторона создает или наделяет полномочиями национальное агентство со следующими обязанностями:</w:t>
      </w:r>
    </w:p>
    <w:p>
      <w:pPr>
        <w:pStyle w:val="Compact"/>
        <w:numPr>
          <w:ilvl w:val="1"/>
          <w:numId w:val="1087"/>
        </w:numPr>
      </w:pPr>
    </w:p>
    <w:p>
      <w:pPr>
        <w:pStyle w:val="Compact"/>
        <w:numPr>
          <w:ilvl w:val="2"/>
          <w:numId w:val="1088"/>
        </w:numPr>
      </w:pPr>
      <w:r>
        <w:t xml:space="preserve">Поддерживать осведомленность и связи с внутренними исследователями и организациями, работающими в областях, смежных с Ограниченными исследованиями, с целью информирования о категориях Ограниченных исследований, установленных в Статье VIII.</w:t>
      </w:r>
    </w:p>
    <w:p>
      <w:pPr>
        <w:pStyle w:val="Compact"/>
        <w:numPr>
          <w:ilvl w:val="1"/>
          <w:numId w:val="1087"/>
        </w:numPr>
      </w:pPr>
    </w:p>
    <w:p>
      <w:pPr>
        <w:pStyle w:val="Compact"/>
        <w:numPr>
          <w:ilvl w:val="2"/>
          <w:numId w:val="1089"/>
        </w:numPr>
      </w:pPr>
      <w:r>
        <w:t xml:space="preserve">Налагать санкции для удерживания внутренних исследователей и организаций от проведения Ограниченных исследований. Эти санкции должны быть соразмерны серьезности нарушения и разработаны так, чтобы служить достаточным сдерживающим фактором. Каждая Сторона принимает или вносит поправки в правовые акты по мере необходимости для обеспечения возможности наложения этих санкций.</w:t>
      </w:r>
    </w:p>
    <w:p>
      <w:pPr>
        <w:pStyle w:val="Compact"/>
        <w:numPr>
          <w:ilvl w:val="1"/>
          <w:numId w:val="1087"/>
        </w:numPr>
      </w:pPr>
    </w:p>
    <w:p>
      <w:pPr>
        <w:pStyle w:val="Compact"/>
        <w:numPr>
          <w:ilvl w:val="2"/>
          <w:numId w:val="1090"/>
        </w:numPr>
      </w:pPr>
      <w:r>
        <w:t xml:space="preserve">Создавать защищенную инфраструктуру для сообщения и сдерживания непреднамеренных открытий, соответствующих условиям Ограниченных исследований. Эти отчеты будут передаваться в отдел Контроля исследований.</w:t>
      </w:r>
    </w:p>
    <w:p>
      <w:pPr>
        <w:pStyle w:val="Compact"/>
        <w:numPr>
          <w:ilvl w:val="0"/>
          <w:numId w:val="1086"/>
        </w:numPr>
      </w:pPr>
      <w:r>
        <w:t xml:space="preserve">Для содействия международной проверке запретов на исследования отдел Контроля исследований будет разрабатывать и внедрять механизмы проверки.</w:t>
      </w:r>
    </w:p>
    <w:p>
      <w:pPr>
        <w:pStyle w:val="Compact"/>
        <w:numPr>
          <w:ilvl w:val="1"/>
          <w:numId w:val="1091"/>
        </w:numPr>
      </w:pPr>
    </w:p>
    <w:p>
      <w:pPr>
        <w:pStyle w:val="Compact"/>
        <w:numPr>
          <w:ilvl w:val="2"/>
          <w:numId w:val="1092"/>
        </w:numPr>
      </w:pPr>
      <w:r>
        <w:t xml:space="preserve">Эти механизмы могут включать, помимо прочего:</w:t>
      </w:r>
    </w:p>
    <w:p>
      <w:pPr>
        <w:pStyle w:val="Compact"/>
        <w:numPr>
          <w:ilvl w:val="2"/>
          <w:numId w:val="1093"/>
        </w:numPr>
      </w:pPr>
    </w:p>
    <w:p>
      <w:pPr>
        <w:pStyle w:val="Compact"/>
        <w:numPr>
          <w:ilvl w:val="3"/>
          <w:numId w:val="1094"/>
        </w:numPr>
      </w:pPr>
      <w:r>
        <w:t xml:space="preserve">Интервьюирование исследователей, которые ранее работали над темами Ограниченных исследований или в настоящее время работают в смежных областях.</w:t>
      </w:r>
    </w:p>
    <w:p>
      <w:pPr>
        <w:pStyle w:val="Compact"/>
        <w:numPr>
          <w:ilvl w:val="2"/>
          <w:numId w:val="1093"/>
        </w:numPr>
      </w:pPr>
    </w:p>
    <w:p>
      <w:pPr>
        <w:pStyle w:val="Compact"/>
        <w:numPr>
          <w:ilvl w:val="3"/>
          <w:numId w:val="1095"/>
        </w:numPr>
      </w:pPr>
      <w:r>
        <w:t xml:space="preserve">Мониторинг статуса занятости и местонахождения исследователей, которые ранее работали над темами Ограниченных исследований или в настоящее время работают в смежных областях.</w:t>
      </w:r>
    </w:p>
    <w:p>
      <w:pPr>
        <w:pStyle w:val="Compact"/>
        <w:numPr>
          <w:ilvl w:val="2"/>
          <w:numId w:val="1093"/>
        </w:numPr>
      </w:pPr>
    </w:p>
    <w:p>
      <w:pPr>
        <w:pStyle w:val="Compact"/>
        <w:numPr>
          <w:ilvl w:val="3"/>
          <w:numId w:val="1096"/>
        </w:numPr>
      </w:pPr>
      <w:r>
        <w:t xml:space="preserve">Внедрение и поддержка аудиторов от ISIA в избранных организациях с высоким уровнем риска (например, в проектах, трудноотличимых от Ограниченных исследований, или в организациях, которые ранее занимались исследованиями ИИ).</w:t>
      </w:r>
    </w:p>
    <w:p>
      <w:pPr>
        <w:pStyle w:val="Compact"/>
        <w:numPr>
          <w:ilvl w:val="1"/>
          <w:numId w:val="1091"/>
        </w:numPr>
      </w:pPr>
    </w:p>
    <w:p>
      <w:pPr>
        <w:pStyle w:val="Compact"/>
        <w:numPr>
          <w:ilvl w:val="2"/>
          <w:numId w:val="1097"/>
        </w:numPr>
      </w:pPr>
      <w:r>
        <w:t xml:space="preserve">Стороны будут оказывать содействие в реализации этих механизмов проверки.</w:t>
      </w:r>
    </w:p>
    <w:p>
      <w:pPr>
        <w:pStyle w:val="Compact"/>
        <w:numPr>
          <w:ilvl w:val="1"/>
          <w:numId w:val="1091"/>
        </w:numPr>
      </w:pPr>
    </w:p>
    <w:p>
      <w:pPr>
        <w:pStyle w:val="Compact"/>
        <w:numPr>
          <w:ilvl w:val="2"/>
          <w:numId w:val="1098"/>
        </w:numPr>
      </w:pPr>
      <w:r>
        <w:t xml:space="preserve">Информация, полученная посредством этих механизмов проверки, будет собираться в отчеты для Исполнительного совета, сохраняя как можно больше чувствительной для защиты частной жизни и секретов отдельных лиц и Сторон информации конфиденциальной.</w:t>
      </w:r>
    </w:p>
    <w:bookmarkStart w:id="140" w:name="примечания-7"/>
    <w:p>
      <w:pPr>
        <w:pStyle w:val="Heading3"/>
      </w:pPr>
      <w:r>
        <w:t xml:space="preserve">Примечания</w:t>
      </w:r>
    </w:p>
    <w:p>
      <w:pPr>
        <w:pStyle w:val="FirstParagraph"/>
      </w:pPr>
      <w:r>
        <w:t xml:space="preserve">В дополнение к ограничениям из Статьи VIII, страны будут проверять, что не ведутся запрещенные исследования ИИ. Ключевой аспект – определить «области, смежные с Ограниченными исследованиями» и наладить связи с исследователями в них. Топовых исследователей ИИ немного. Вполне реально отследить деятельность многих из них. Если считать только техперсонал ведущих ИИ-компаний, наберётся порядка 5000 человек. Если считать участников топовых конференций –</w:t>
      </w:r>
      <w:r>
        <w:t xml:space="preserve"> </w:t>
      </w:r>
      <w:hyperlink r:id="rId137">
        <w:r>
          <w:rPr>
            <w:rStyle w:val="Hyperlink"/>
          </w:rPr>
          <w:t xml:space="preserve">порядка 70 000</w:t>
        </w:r>
      </w:hyperlink>
      <w:r>
        <w:t xml:space="preserve">. Обычно считается, что критически важная для разработки передового ИИ группа, вероятно, ещё меньше – сотни.</w:t>
      </w:r>
      <w:r>
        <w:rPr>
          <w:rStyle w:val="FootnoteReference"/>
        </w:rPr>
        <w:footnoteReference w:id="138"/>
      </w:r>
      <w:r>
        <w:t xml:space="preserve"> </w:t>
      </w:r>
      <w:r>
        <w:t xml:space="preserve">Ещё государства могут опрашивать исследователей об их деятельности. И, наконец, предлагать убежище и финансовые стимулы информаторам (см. Статью X).</w:t>
      </w:r>
    </w:p>
    <w:p>
      <w:pPr>
        <w:pStyle w:val="BodyText"/>
      </w:pPr>
      <w:r>
        <w:t xml:space="preserve">Уже много знаний о нынешних практиках разработки ИИ находятся в открытом доступе. Злоумышленники могут на них опираться. Но мы думаем, юридические ограничения и проверки всё равно очень сильно повлияют на общий прогресс в этой области.</w:t>
      </w:r>
    </w:p>
    <w:p>
      <w:pPr>
        <w:pStyle w:val="BodyText"/>
      </w:pPr>
      <w:r>
        <w:t xml:space="preserve">Если расширить мониторинг на исследователей и инженеров, занятых в проектировании и изготовлении полупроводников, его объем существенно вырастет. Если это невозможно, государства, вероятно, могут мониторить компании, а не людей. Создавать передовые полупроводники – дело масштабное и сложное.</w:t>
      </w:r>
    </w:p>
    <w:p>
      <w:pPr>
        <w:pStyle w:val="BodyText"/>
      </w:pPr>
      <w:r>
        <w:t xml:space="preserve">Пункт 2 этой статьи устанавливает режим повышенной прозрачности. Это помогает проверять запрет на исследования. Такие кооперативные меры должны давать Сторонам необходимые им гарантии. Мы представляем, что Стороны подыскивают уровень прозрачности (разрабатывая конкретные механизмов), которого хватает для уверенности, что запрет исследований соблюдается, но который минимизирует издержки для государственных интересов и частной жизни. Проверка запрета на исследования – сложное и деликатное дело. Оно потребует непрекращающихся усилий и поправок.</w:t>
      </w:r>
    </w:p>
    <w:p>
      <w:pPr>
        <w:pStyle w:val="BodyText"/>
      </w:pPr>
      <w:r>
        <w:t xml:space="preserve">Стороны могут беспокоиться, что другие Стороны введут запреты на словах, но заведут секретные правительственные проекты, скрытые от иностранной разведки. Нарушающие запреты исследования бывают разного масштаба. Вероятно, крупные – где занято много исследователей и ИИ-чипов – замотивированным государствам обнаружить будет легко. Но для меньших, вроде разработки альтернативных парадигм машинного интеллекта, может хватить горстки исследователей и общедоступного оборудования. Трудно убедить другие Стороны, что такой скрытой деятельности нет. Мы предлагаем сочетать механизмов проверки ISIA со сбором разведданных (Статья X) и отмечаем важность защиты информаторов (тоже Статья X).</w:t>
      </w:r>
    </w:p>
    <w:p>
      <w:r>
        <w:pict>
          <v:rect style="width:0;height:1.5pt" o:hralign="center" o:hrstd="t" o:hr="t"/>
        </w:pict>
      </w:r>
    </w:p>
    <w:bookmarkEnd w:id="140"/>
    <w:bookmarkStart w:id="157" w:name="прецеденты-8"/>
    <w:p>
      <w:pPr>
        <w:pStyle w:val="Heading3"/>
      </w:pPr>
      <w:r>
        <w:t xml:space="preserve">Прецеденты</w:t>
      </w:r>
    </w:p>
    <w:p>
      <w:pPr>
        <w:pStyle w:val="FirstParagraph"/>
      </w:pPr>
      <w:r>
        <w:t xml:space="preserve">Уже есть агентства, уполномоченные «поддерживать осведомленность и связи с внутренними исследователями и организациями», у которых есть риск произвести ограниченную информацию, как того требует наша Статья IX, пункт 1.a. Примеры: Министерство энергетики США (DOE) и NNSA, которое мы уже обсуждали в прецедентах к Статье VIII.</w:t>
      </w:r>
    </w:p>
    <w:p>
      <w:pPr>
        <w:pStyle w:val="BodyText"/>
      </w:pPr>
      <w:r>
        <w:t xml:space="preserve">Прецедент «мониторинга статуса занятости и местонахождения исследователей» в сферах высокого риска, как в Пункте 2.(a).(ii) тоже есть. можно найти в (МНТЦ). Международный научно-технический центр (МНТЦ)</w:t>
      </w:r>
      <w:r>
        <w:rPr>
          <w:rStyle w:val="FootnoteReference"/>
        </w:rPr>
        <w:footnoteReference w:id="141"/>
      </w:r>
      <w:r>
        <w:t xml:space="preserve"> </w:t>
      </w:r>
      <w:r>
        <w:t xml:space="preserve">был специально учрежден в 1995 году для снижения рисков распространения ядерного оружия. Он обеспечивал</w:t>
      </w:r>
      <w:r>
        <w:t xml:space="preserve"> </w:t>
      </w:r>
      <w:hyperlink r:id="rId143">
        <w:r>
          <w:rPr>
            <w:rStyle w:val="Hyperlink"/>
          </w:rPr>
          <w:t xml:space="preserve">занятость советских физиков-ядерщиков в мирной деятельности</w:t>
        </w:r>
      </w:hyperlink>
      <w:r>
        <w:t xml:space="preserve"> </w:t>
      </w:r>
      <w:r>
        <w:t xml:space="preserve">и их связь с международным научным сообществом. МНТЦ демонстрирует и потенциал положительных стимулов. В результате нашего Договора технические специалисты могут потерять работу. Чтобы удержать их от участия в Ограниченных исследованиях пригодится и пряник, а не только кнут.</w:t>
      </w:r>
    </w:p>
    <w:p>
      <w:pPr>
        <w:pStyle w:val="BodyText"/>
      </w:pPr>
      <w:r>
        <w:t xml:space="preserve">Пример того, насколько суровые наказания могут использоваться для обеспечения сдерживания по нашей Статье IX.1.(b), можно найти в</w:t>
      </w:r>
      <w:r>
        <w:t xml:space="preserve"> </w:t>
      </w:r>
      <w:hyperlink r:id="rId144">
        <w:r>
          <w:rPr>
            <w:rStyle w:val="Hyperlink"/>
          </w:rPr>
          <w:t xml:space="preserve">главе об обеспечении соблюдения (18)</w:t>
        </w:r>
      </w:hyperlink>
      <w:r>
        <w:t xml:space="preserve"> </w:t>
      </w:r>
      <w:r>
        <w:t xml:space="preserve">Закона об атомной энергии 1946 года. Там несанкционированное распространение «Ограниченных данных» при намерении совершить государственную измену может караться смертью или тюремным заключением.</w:t>
      </w:r>
      <w:r>
        <w:rPr>
          <w:rStyle w:val="FootnoteReference"/>
        </w:rPr>
        <w:footnoteReference w:id="145"/>
      </w:r>
    </w:p>
    <w:p>
      <w:pPr>
        <w:pStyle w:val="BodyText"/>
      </w:pPr>
      <w:r>
        <w:t xml:space="preserve">При разработке защищенной «инфраструктуры для сообщения и сдерживания непреднамеренных открытий, соответствующих условиям Ограниченных исследований» можно пользоваться прецедентами из обширных</w:t>
      </w:r>
      <w:r>
        <w:t xml:space="preserve"> </w:t>
      </w:r>
      <w:hyperlink r:id="rId148">
        <w:r>
          <w:rPr>
            <w:rStyle w:val="Hyperlink"/>
          </w:rPr>
          <w:t xml:space="preserve">процедур DOE</w:t>
        </w:r>
      </w:hyperlink>
      <w:r>
        <w:t xml:space="preserve"> </w:t>
      </w:r>
      <w:r>
        <w:t xml:space="preserve">по обращению с разными категориями чувствительных данных. Ещё могут быть полезны</w:t>
      </w:r>
      <w:r>
        <w:t xml:space="preserve"> </w:t>
      </w:r>
      <w:hyperlink r:id="rId149">
        <w:r>
          <w:rPr>
            <w:rStyle w:val="Hyperlink"/>
          </w:rPr>
          <w:t xml:space="preserve">Система отчетности и обработки происшествий</w:t>
        </w:r>
      </w:hyperlink>
      <w:r>
        <w:t xml:space="preserve"> </w:t>
      </w:r>
      <w:r>
        <w:t xml:space="preserve">DOE и инструкции Комитета по системам национальной безопасности</w:t>
      </w:r>
      <w:r>
        <w:rPr>
          <w:rStyle w:val="FootnoteReference"/>
        </w:rPr>
        <w:footnoteReference w:id="150"/>
      </w:r>
      <w:r>
        <w:t xml:space="preserve"> </w:t>
      </w:r>
      <w:r>
        <w:t xml:space="preserve">касательно утечек секретной информации.</w:t>
      </w:r>
    </w:p>
    <w:p>
      <w:pPr>
        <w:pStyle w:val="BodyText"/>
      </w:pPr>
      <w:r>
        <w:t xml:space="preserve">Разрабатывая протоколы инспекций, отдел Контроля исследований мог бы обратиться к практикам МАГАТЭ. В 1997 году Совет управляющих МАГАТЭ одобрид</w:t>
      </w:r>
      <w:r>
        <w:t xml:space="preserve"> </w:t>
      </w:r>
      <w:hyperlink r:id="rId152">
        <w:r>
          <w:rPr>
            <w:rStyle w:val="Hyperlink"/>
          </w:rPr>
          <w:t xml:space="preserve">Типовой дополнительный протокол</w:t>
        </w:r>
      </w:hyperlink>
      <w:r>
        <w:t xml:space="preserve">. Согласно нему, государства, заключившие всеобъемлющие соглашения о гарантиях</w:t>
      </w:r>
      <w:r>
        <w:rPr>
          <w:rStyle w:val="FootnoteReference"/>
        </w:rPr>
        <w:footnoteReference w:id="153"/>
      </w:r>
      <w:r>
        <w:t xml:space="preserve">, разрешают инспекции с</w:t>
      </w:r>
      <w:r>
        <w:t xml:space="preserve"> </w:t>
      </w:r>
      <w:hyperlink r:id="rId154">
        <w:r>
          <w:rPr>
            <w:rStyle w:val="Hyperlink"/>
          </w:rPr>
          <w:t xml:space="preserve">дополнительным доступом</w:t>
        </w:r>
      </w:hyperlink>
      <w:r>
        <w:t xml:space="preserve">. Они ищут незаявленный ядерный материал. В рамках таких визитов инспекторы могут</w:t>
      </w:r>
      <w:r>
        <w:t xml:space="preserve"> </w:t>
      </w:r>
      <w:hyperlink r:id="rId155">
        <w:r>
          <w:rPr>
            <w:rStyle w:val="Hyperlink"/>
          </w:rPr>
          <w:t xml:space="preserve">опрашивать операторов</w:t>
        </w:r>
      </w:hyperlink>
      <w:r>
        <w:t xml:space="preserve">. В Пункте IX.2.a.i мы предлагаем аналогичные меры.</w:t>
      </w:r>
    </w:p>
    <w:p>
      <w:pPr>
        <w:pStyle w:val="BodyText"/>
      </w:pPr>
      <w:r>
        <w:t xml:space="preserve">Ещё мы предлагаем «поддерживать аудиторов от ISIA в избранных организациях с высоким уровнем риска». Это аналогично тому, как полевые офисы DOE и NNSA сейчас физически расположены в национальных ядерных лабораториях и заводах, управляемых подрядчиками.</w:t>
      </w:r>
    </w:p>
    <w:p>
      <w:pPr>
        <w:pStyle w:val="BodyText"/>
      </w:pPr>
      <w:r>
        <w:t xml:space="preserve">Для «защиты частной жизни и секретов отдельных лиц и Сторон» согласно Пункту 2.(c), отдел Контроля исследований ISIA может адаптировать практики разделения информации разведслужб Сторон и многосторонних</w:t>
      </w:r>
      <w:r>
        <w:t xml:space="preserve"> </w:t>
      </w:r>
      <w:hyperlink r:id="rId156">
        <w:r>
          <w:rPr>
            <w:rStyle w:val="Hyperlink"/>
          </w:rPr>
          <w:t xml:space="preserve">соглашений об обмене разведданными</w:t>
        </w:r>
      </w:hyperlink>
      <w:r>
        <w:t xml:space="preserve">. Например, согласно обычных в таких соглашениях «правилу третьей стороны» или «принципу контроля создателем», запрещено раскрывать общую информацию третьим сторонам (потенциально даже надзорным органам) без разрешения агентства-источника.</w:t>
      </w:r>
    </w:p>
    <w:p>
      <w:r>
        <w:pict>
          <v:rect style="width:0;height:1.5pt" o:hralign="center" o:hrstd="t" o:hr="t"/>
        </w:pict>
      </w:r>
    </w:p>
    <w:bookmarkEnd w:id="157"/>
    <w:bookmarkEnd w:id="158"/>
    <w:bookmarkStart w:id="175" w:name="X1854743c4f46fa0c467117d921c43c21e2c12ae"/>
    <w:p>
      <w:pPr>
        <w:pStyle w:val="Heading2"/>
      </w:pPr>
      <w:r>
        <w:t xml:space="preserve">Статья X: Консолидация информации и инспекции по запросу</w:t>
      </w:r>
    </w:p>
    <w:p>
      <w:pPr>
        <w:pStyle w:val="Compact"/>
        <w:numPr>
          <w:ilvl w:val="0"/>
          <w:numId w:val="1099"/>
        </w:numPr>
      </w:pPr>
      <w:r>
        <w:t xml:space="preserve">Ключевым источником информации для ISIA являются независимые усилия Сторон по сбору информации. Отдел Консолидации информации (Статья III) должен быть готов принимать эту информацию.</w:t>
      </w:r>
    </w:p>
    <w:p>
      <w:pPr>
        <w:pStyle w:val="Compact"/>
        <w:numPr>
          <w:ilvl w:val="1"/>
          <w:numId w:val="1100"/>
        </w:numPr>
      </w:pPr>
    </w:p>
    <w:p>
      <w:pPr>
        <w:pStyle w:val="Compact"/>
        <w:numPr>
          <w:ilvl w:val="2"/>
          <w:numId w:val="1101"/>
        </w:numPr>
      </w:pPr>
      <w:r>
        <w:t xml:space="preserve">Отдел Консолидации информации должен принимать меры предосторожности для защиты коммерческих, промышленных, оборонных и государственных секретов, а также другой конфиденциальной информации, ставшей ему известной в ходе реализации Договора. В эти меры входит поддержание защищенных, конфиденциальных и, опционально, анонимных каналов для сообщений.</w:t>
      </w:r>
    </w:p>
    <w:p>
      <w:pPr>
        <w:pStyle w:val="Compact"/>
        <w:numPr>
          <w:ilvl w:val="1"/>
          <w:numId w:val="1100"/>
        </w:numPr>
      </w:pPr>
    </w:p>
    <w:p>
      <w:pPr>
        <w:pStyle w:val="Compact"/>
        <w:numPr>
          <w:ilvl w:val="2"/>
          <w:numId w:val="1102"/>
        </w:numPr>
      </w:pPr>
      <w:r>
        <w:t xml:space="preserve">В целях обеспечения уверенности в соблюдении положений настоящего Договора каждая Сторона использует имеющиеся в ее распоряжении национальные технические средства (НТС) контроля таким образом, чтобы это соответствовало общепризнанным принципам международного права.</w:t>
      </w:r>
    </w:p>
    <w:p>
      <w:pPr>
        <w:pStyle w:val="Compact"/>
        <w:numPr>
          <w:ilvl w:val="2"/>
          <w:numId w:val="1103"/>
        </w:numPr>
      </w:pPr>
    </w:p>
    <w:p>
      <w:pPr>
        <w:pStyle w:val="Compact"/>
        <w:numPr>
          <w:ilvl w:val="3"/>
          <w:numId w:val="1104"/>
        </w:numPr>
      </w:pPr>
      <w:r>
        <w:t xml:space="preserve">Каждая Сторона обязуется не чинить помех национальным техническим средствам контроля других Сторон, действующих в соответствии с вышеизложенным.</w:t>
      </w:r>
    </w:p>
    <w:p>
      <w:pPr>
        <w:pStyle w:val="Compact"/>
        <w:numPr>
          <w:ilvl w:val="2"/>
          <w:numId w:val="1103"/>
        </w:numPr>
      </w:pPr>
    </w:p>
    <w:p>
      <w:pPr>
        <w:pStyle w:val="Compact"/>
        <w:numPr>
          <w:ilvl w:val="3"/>
          <w:numId w:val="1105"/>
        </w:numPr>
      </w:pPr>
      <w:r>
        <w:t xml:space="preserve">Каждая Сторона обязуется не применять преднамеренные меры маскировки, затрудняющие осуществление контроля национальными техническими средствами за соблюдением положений настоящего Договора.</w:t>
      </w:r>
    </w:p>
    <w:p>
      <w:pPr>
        <w:pStyle w:val="Compact"/>
        <w:numPr>
          <w:ilvl w:val="2"/>
          <w:numId w:val="1103"/>
        </w:numPr>
      </w:pPr>
    </w:p>
    <w:p>
      <w:pPr>
        <w:pStyle w:val="Compact"/>
        <w:numPr>
          <w:ilvl w:val="3"/>
          <w:numId w:val="1106"/>
        </w:numPr>
      </w:pPr>
      <w:r>
        <w:t xml:space="preserve">Сторонам рекомендуется, но не вменяется в обязанность, сотрудничать в усилиях по обнаружению опасной деятельности в области ИИ в странах, не являющихся Сторонами. Сторонам рекомендуется, но не вменяется в обязанность, поддерживать имеющие отношение к настоящему Договору НТС Сторон, направленные на страны, не являющиеся Сторонами.</w:t>
      </w:r>
    </w:p>
    <w:p>
      <w:pPr>
        <w:pStyle w:val="Compact"/>
        <w:numPr>
          <w:ilvl w:val="0"/>
          <w:numId w:val="1099"/>
        </w:numPr>
      </w:pPr>
      <w:r>
        <w:t xml:space="preserve">Ключевым источником информации для ISIA являются лица, предоставляющие свидетельства опасной деятельности в области ИИ в ISIA. На этих лиц распространяются меры защиты информаторов.</w:t>
      </w:r>
    </w:p>
    <w:p>
      <w:pPr>
        <w:pStyle w:val="Compact"/>
        <w:numPr>
          <w:ilvl w:val="1"/>
          <w:numId w:val="1107"/>
        </w:numPr>
      </w:pPr>
    </w:p>
    <w:p>
      <w:pPr>
        <w:pStyle w:val="Compact"/>
        <w:numPr>
          <w:ilvl w:val="2"/>
          <w:numId w:val="1108"/>
        </w:numPr>
      </w:pPr>
      <w:r>
        <w:t xml:space="preserve">Настоящая Статья устанавливает меры защиты, стимулы и помощь для лиц («Подпадающих под защиту информаторов»), которые добросовестно предоставляют ISIA или Стороне достоверную информацию о фактических, попытках или планируемых нарушениях настоящего Договора или другой деятельности, создающей серьезный риск вымирания человечества, включая скрытые чипы, незаявленные дата-центры, запрещенное обучение или исследования, уклонение от проверки или фальсификацию деклараций. К Подпадающим под защиту информаторам относятся сотрудники, подрядчики, государственные служащие, поставщики, исследователи и другие лица, обладающие существенной информацией, а также Связанные лица (члены семей и близкие), которые помогают раскрывать информацию или подвергаются риску из-за раскрытия информации.</w:t>
      </w:r>
    </w:p>
    <w:p>
      <w:pPr>
        <w:pStyle w:val="Compact"/>
        <w:numPr>
          <w:ilvl w:val="1"/>
          <w:numId w:val="1107"/>
        </w:numPr>
      </w:pPr>
    </w:p>
    <w:p>
      <w:pPr>
        <w:pStyle w:val="Compact"/>
        <w:numPr>
          <w:ilvl w:val="2"/>
          <w:numId w:val="1109"/>
        </w:numPr>
      </w:pPr>
      <w:r>
        <w:t xml:space="preserve">Стороны должны запрещать и предотвращать преследование Подпадающих под защиту информаторов и Связанных лиц, включая, помимо прочего, увольнение, понижение в должности, внесение в черные списки, лишение льгот, притеснение, запугивание, угрозы, гражданские или уголовные иски, аннулирование виз, физическое насилие, тюремное заключение, ограничение передвижения или другие неблагоприятные меры. Любые договорные условия (включая соглашения о неразглашении или о недопущении дискредитации), направленные на ограничение защищаемых в соответствии с настоящим Договором раскрытий информации, считаются недействительными и не имеющими исковой силы. Жестокое обращение с информаторами представляет собой нарушение настоящего Договора и рассматривается в соответствии со Статьей XI, Пункт 3.</w:t>
      </w:r>
    </w:p>
    <w:p>
      <w:pPr>
        <w:pStyle w:val="Compact"/>
        <w:numPr>
          <w:ilvl w:val="1"/>
          <w:numId w:val="1107"/>
        </w:numPr>
      </w:pPr>
    </w:p>
    <w:p>
      <w:pPr>
        <w:pStyle w:val="Compact"/>
        <w:numPr>
          <w:ilvl w:val="2"/>
          <w:numId w:val="1110"/>
        </w:numPr>
      </w:pPr>
      <w:r>
        <w:t xml:space="preserve">ISIA поддерживает защищенные, конфиденциальные и, опционально, анонимные каналы для сообщений. Стороны создают внутренние каналы, совместимые с системой ISIA. ISIA и Стороны защищают личность Подпадающих под защиту информаторов и Связанных лиц и раскрывают ее только в случае строгой необходимости и при наличии защитных мер. Несанкционированное раскрытие защищаемых личностей представляет собой нарушение настоящего Договора и рассматривается в соответствии со Статьей XI, Пункт 3.</w:t>
      </w:r>
    </w:p>
    <w:p>
      <w:pPr>
        <w:pStyle w:val="Compact"/>
        <w:numPr>
          <w:ilvl w:val="1"/>
          <w:numId w:val="1107"/>
        </w:numPr>
      </w:pPr>
    </w:p>
    <w:p>
      <w:pPr>
        <w:pStyle w:val="Compact"/>
        <w:numPr>
          <w:ilvl w:val="2"/>
          <w:numId w:val="1111"/>
        </w:numPr>
      </w:pPr>
      <w:r>
        <w:t xml:space="preserve">Стороны предлагают убежище или гуманитарную защиту Подпадающим под защиту информаторам и их семьям, предоставляют проездные документы для безопасного проезда и координируют безопасный транзит.</w:t>
      </w:r>
    </w:p>
    <w:p>
      <w:pPr>
        <w:pStyle w:val="Compact"/>
        <w:numPr>
          <w:ilvl w:val="0"/>
          <w:numId w:val="1099"/>
        </w:numPr>
      </w:pPr>
      <w:r>
        <w:t xml:space="preserve">ISIA может проводить инспекции по запросу на подозрительных объектах при наличии достоверной информации об опасной деятельности в области ИИ.</w:t>
      </w:r>
    </w:p>
    <w:p>
      <w:pPr>
        <w:pStyle w:val="Compact"/>
        <w:numPr>
          <w:ilvl w:val="1"/>
          <w:numId w:val="1112"/>
        </w:numPr>
      </w:pPr>
    </w:p>
    <w:p>
      <w:pPr>
        <w:pStyle w:val="Compact"/>
        <w:numPr>
          <w:ilvl w:val="2"/>
          <w:numId w:val="1113"/>
        </w:numPr>
      </w:pPr>
      <w:r>
        <w:t xml:space="preserve">Стороны могут запрашивать у ISIA проведение инспекции по запросу. Исполнительный совет, либо по запросу, либо на основании анализа, предоставленного отделом Консолидации информации, рассмотрит имеющуюся информацию, чтобы запросить дополнительную информацию у Сторон или стран, не являющихся Сторонами, или предложить инспекцию по запросу, или решить, что дальнейшие действия не требуются.</w:t>
      </w:r>
    </w:p>
    <w:p>
      <w:pPr>
        <w:pStyle w:val="Compact"/>
        <w:numPr>
          <w:ilvl w:val="1"/>
          <w:numId w:val="1112"/>
        </w:numPr>
      </w:pPr>
    </w:p>
    <w:p>
      <w:pPr>
        <w:pStyle w:val="Compact"/>
        <w:numPr>
          <w:ilvl w:val="2"/>
          <w:numId w:val="1114"/>
        </w:numPr>
      </w:pPr>
      <w:r>
        <w:t xml:space="preserve">Инспекция по запросу требует одобрения большинством голосов Исполнительного совета.</w:t>
      </w:r>
    </w:p>
    <w:p>
      <w:pPr>
        <w:pStyle w:val="Compact"/>
        <w:numPr>
          <w:ilvl w:val="1"/>
          <w:numId w:val="1112"/>
        </w:numPr>
      </w:pPr>
    </w:p>
    <w:p>
      <w:pPr>
        <w:pStyle w:val="Compact"/>
        <w:numPr>
          <w:ilvl w:val="2"/>
          <w:numId w:val="1115"/>
        </w:numPr>
      </w:pPr>
      <w:r>
        <w:t xml:space="preserve">Доступ к подозрительному объекту должен быть предоставлен государством, в котором находится объект, в течение 24 часов после того, как ISIA призовет к инспекции по запросу. В течение этого времени за объектом может вестись наблюдение, и любые люди или транспортные средства, покидающие объект, могут быть досмотрены официальными лицами Стороны или ISIA.</w:t>
      </w:r>
    </w:p>
    <w:p>
      <w:pPr>
        <w:pStyle w:val="Compact"/>
        <w:numPr>
          <w:ilvl w:val="1"/>
          <w:numId w:val="1112"/>
        </w:numPr>
      </w:pPr>
    </w:p>
    <w:p>
      <w:pPr>
        <w:pStyle w:val="Compact"/>
        <w:numPr>
          <w:ilvl w:val="2"/>
          <w:numId w:val="1116"/>
        </w:numPr>
      </w:pPr>
      <w:r>
        <w:t xml:space="preserve">Инспекция по запросу проводится группой официальных лиц из ISIA, которые одобрены как инспектируемой Стороной, так и Стороной, запросившей инспекцию. ISIA несет ответственность за работу со Сторонами по ведению списков одобренных инспекторов для этой цели.</w:t>
      </w:r>
    </w:p>
    <w:p>
      <w:pPr>
        <w:pStyle w:val="Compact"/>
        <w:numPr>
          <w:ilvl w:val="1"/>
          <w:numId w:val="1112"/>
        </w:numPr>
      </w:pPr>
    </w:p>
    <w:p>
      <w:pPr>
        <w:pStyle w:val="Compact"/>
        <w:numPr>
          <w:ilvl w:val="2"/>
          <w:numId w:val="1117"/>
        </w:numPr>
      </w:pPr>
      <w:r>
        <w:t xml:space="preserve">Инспекции по запросу могут проводиться на территории каждой Стороны не более 20 раз в год. Это ограничение может быть изменено большинством голосов Исполнительного совета.</w:t>
      </w:r>
    </w:p>
    <w:p>
      <w:pPr>
        <w:pStyle w:val="Compact"/>
        <w:numPr>
          <w:ilvl w:val="1"/>
          <w:numId w:val="1112"/>
        </w:numPr>
      </w:pPr>
    </w:p>
    <w:p>
      <w:pPr>
        <w:pStyle w:val="Compact"/>
        <w:numPr>
          <w:ilvl w:val="2"/>
          <w:numId w:val="1118"/>
        </w:numPr>
      </w:pPr>
      <w:r>
        <w:t xml:space="preserve">Инспекторы будут проявлять абсолютную осторожность для защиты конфиденциальной информации инспектируемого государства, передавая Исполнительному совету только ту информацию, которая имеет отношение к договору.</w:t>
      </w:r>
    </w:p>
    <w:p>
      <w:r>
        <w:pict>
          <v:rect style="width:0;height:1.5pt" o:hralign="center" o:hrstd="t" o:hr="t"/>
        </w:pict>
      </w:r>
    </w:p>
    <w:bookmarkStart w:id="174" w:name="примечания-8"/>
    <w:p>
      <w:pPr>
        <w:pStyle w:val="Heading3"/>
      </w:pPr>
      <w:r>
        <w:t xml:space="preserve">Примечания</w:t>
      </w:r>
    </w:p>
    <w:bookmarkStart w:id="159" w:name="сбор-разведданных"/>
    <w:p>
      <w:pPr>
        <w:pStyle w:val="Heading4"/>
      </w:pPr>
      <w:r>
        <w:t xml:space="preserve">Сбор разведданных</w:t>
      </w:r>
    </w:p>
    <w:p>
      <w:pPr>
        <w:pStyle w:val="FirstParagraph"/>
      </w:pPr>
      <w:r>
        <w:t xml:space="preserve">Мы ожидаем от всех Сторон непрерывные и даже нарастающие усилия по выяснению, не ведет ли кто-то опасную деятельность в области ИИ. Так сбор разведданных государствами будет дополнять и подтверждать прямой мониторинг ISIA (см., например, Статьи IV–VII). Очень важна конфиденциальность данных, поступающих в отдел Консолидации информации. Надо убедить разведслужбы стран, что предоставление ISIA нужной информации оправдывает риски для их источников. Строжайшая секретность сводит эти риски компрометации к минимуму.</w:t>
      </w:r>
    </w:p>
    <w:p>
      <w:pPr>
        <w:pStyle w:val="BodyText"/>
      </w:pPr>
      <w:r>
        <w:t xml:space="preserve">Знакомые Сторонам договора виды сбора разведданных, вроде спутниковых снимков и агентурной разведки, будут использоваться и дальше. Статья направлена на то, чтобы доказательства, полученные такими средствами, можно было использовать для информирования ISIA, не накладывая при этом чрезмерных издержек на тех, кто их добыл.</w:t>
      </w:r>
    </w:p>
    <w:p>
      <w:pPr>
        <w:pStyle w:val="BodyText"/>
      </w:pPr>
      <w:r>
        <w:t xml:space="preserve">Статья затрагивает и наблюдение за не подписавшими договор странами. Там разведданные будет ещё нужнее. Но договор не обязывает Стороны к этому наблюдению. Это кажется излишним. Они собирали бы такие разведданные в любом случае.</w:t>
      </w:r>
    </w:p>
    <w:bookmarkEnd w:id="159"/>
    <w:bookmarkStart w:id="160" w:name="защита-информаторов"/>
    <w:p>
      <w:pPr>
        <w:pStyle w:val="Heading4"/>
      </w:pPr>
      <w:r>
        <w:t xml:space="preserve">Защита информаторов</w:t>
      </w:r>
    </w:p>
    <w:p>
      <w:pPr>
        <w:pStyle w:val="FirstParagraph"/>
      </w:pPr>
      <w:r>
        <w:t xml:space="preserve">Общая эффективность Договора зависит от уверенности Сторон в том, что другие Стороны не ведут запрещенную опасную деятельность в области ИИ. Даже с Национальными техническими средствами (НТС) и другим сбором данных государствам может быть тяжело выявить тайные попытки создания суперинтеллекта. Много о чём государствам собирать данные сложно. Например, о происходящем внутри военных объектов государств-соперников. Стороны могут обоснованно опасаться, что какой-то объект ускользнул от мониторинга. Информаторы могут стать ещё одним источником информации. К тому же, возможность донесения и разоблачения будет сдерживать от несоблюдения правил.</w:t>
      </w:r>
    </w:p>
    <w:p>
      <w:pPr>
        <w:pStyle w:val="BodyText"/>
      </w:pPr>
      <w:r>
        <w:t xml:space="preserve">Эффективности информаторов поможет то, что люди, вовлеченные в тайные нарушения (например, секретные запуски обучения или исследования ИИ), могут и сами бояться опасности СИИ. Статья нацелена на то, чтобы им было безопаснее и дешевле сообщать о нарушениях. Надо сместить личные стимулы от молчания к информированию.</w:t>
      </w:r>
    </w:p>
    <w:p>
      <w:pPr>
        <w:pStyle w:val="BodyText"/>
      </w:pPr>
      <w:r>
        <w:t xml:space="preserve">Информаторы могли бы бить тревогу по поводу разных нарушений Договора:</w:t>
      </w:r>
    </w:p>
    <w:p>
      <w:pPr>
        <w:pStyle w:val="Compact"/>
        <w:numPr>
          <w:ilvl w:val="0"/>
          <w:numId w:val="1119"/>
        </w:numPr>
      </w:pPr>
      <w:r>
        <w:t xml:space="preserve">Статья IV: Сообщать о запусках обучения не под мониторингом, или за приемлемыми порогами, или с запрещенными методами распределенного обучения.</w:t>
      </w:r>
    </w:p>
    <w:p>
      <w:pPr>
        <w:pStyle w:val="Compact"/>
        <w:numPr>
          <w:ilvl w:val="0"/>
          <w:numId w:val="1119"/>
        </w:numPr>
      </w:pPr>
      <w:r>
        <w:t xml:space="preserve">Статья V: Сообщать о незаявленных кластерах чипов, неконсолидированном оборудования или перенаправлении чипов на секретные неконтролируемые объекты.</w:t>
      </w:r>
    </w:p>
    <w:p>
      <w:pPr>
        <w:pStyle w:val="Compact"/>
        <w:numPr>
          <w:ilvl w:val="0"/>
          <w:numId w:val="1119"/>
        </w:numPr>
      </w:pPr>
      <w:r>
        <w:t xml:space="preserve">Статья VI: Сообщать о производстве новых ИИ-чипов вне режима мониторинга или о создании чипов без обязательных функций безопасности.</w:t>
      </w:r>
    </w:p>
    <w:p>
      <w:pPr>
        <w:pStyle w:val="Compact"/>
        <w:numPr>
          <w:ilvl w:val="0"/>
          <w:numId w:val="1119"/>
        </w:numPr>
      </w:pPr>
      <w:r>
        <w:t xml:space="preserve">Статья VIII: Сообщать о запрещенных исследованиях ИИ.</w:t>
      </w:r>
    </w:p>
    <w:p>
      <w:pPr>
        <w:pStyle w:val="FirstParagraph"/>
      </w:pPr>
      <w:r>
        <w:t xml:space="preserve">Некоторые нарушения договора особенно трудно обнаружить одними только стандартными методами разведки. Например, распределенные сети обучения и государственные секретные проекты исследований ИИ.</w:t>
      </w:r>
    </w:p>
    <w:p>
      <w:pPr>
        <w:pStyle w:val="BodyText"/>
      </w:pPr>
      <w:r>
        <w:t xml:space="preserve">Разные модификации этой Статьи могут по-разному повлиять на её эффективность и политическую жизнеспособность. Например, государства могут предлагать добросовестным информаторам финансовую компенсацию. Это создаст дополнительную мотивацию. Но это могут расценить как плату гражданам за предательство своих стран.</w:t>
      </w:r>
    </w:p>
    <w:bookmarkEnd w:id="160"/>
    <w:bookmarkStart w:id="161" w:name="инспекции-по-запросу"/>
    <w:p>
      <w:pPr>
        <w:pStyle w:val="Heading4"/>
      </w:pPr>
      <w:r>
        <w:t xml:space="preserve">Инспекции по запросу</w:t>
      </w:r>
    </w:p>
    <w:p>
      <w:pPr>
        <w:pStyle w:val="FirstParagraph"/>
      </w:pPr>
      <w:r>
        <w:t xml:space="preserve">Инспекции по запросу – критически важная функция Договора и ISIA. Без реальной и надёжной угрозы обнаружения Стороны могут опасаться, что соперники попытаются обмануть договор (даже несмотря на проигрышную для всех природу гонки к суперинтеллекту). Сбор разведданных – один из методов борьбы с (кажущимися, ошибочными) стимулами к нарушению.</w:t>
      </w:r>
    </w:p>
    <w:p>
      <w:pPr>
        <w:pStyle w:val="BodyText"/>
      </w:pPr>
      <w:r>
        <w:t xml:space="preserve">Было бы беспрецедентно и нежелательно организовывать внутри ISIA полноценную разведку, способную давать странам гарантии. Так что вместо этого ISIA полагается в предоставлении ключевых разведданных на Стороны.</w:t>
      </w:r>
    </w:p>
    <w:p>
      <w:r>
        <w:pict>
          <v:rect style="width:0;height:1.5pt" o:hralign="center" o:hrstd="t" o:hr="t"/>
        </w:pict>
      </w:r>
    </w:p>
    <w:bookmarkEnd w:id="161"/>
    <w:bookmarkStart w:id="173" w:name="прецеденты-9"/>
    <w:p>
      <w:pPr>
        <w:pStyle w:val="Heading4"/>
      </w:pPr>
      <w:r>
        <w:t xml:space="preserve">Прецеденты</w:t>
      </w:r>
    </w:p>
    <w:p>
      <w:pPr>
        <w:pStyle w:val="FirstParagraph"/>
      </w:pPr>
      <w:r>
        <w:t xml:space="preserve">Мы уже обсуждали прецеденты консолидации информации после Статьи VIII. Там мы ссылались на соглашения о разведке с практиками разделения информации, вроде «правила третьей стороны». Похожие правила есть у МАГАТЭ, например, в</w:t>
      </w:r>
      <w:r>
        <w:t xml:space="preserve"> </w:t>
      </w:r>
      <w:hyperlink r:id="rId162">
        <w:r>
          <w:rPr>
            <w:rStyle w:val="Hyperlink"/>
          </w:rPr>
          <w:t xml:space="preserve">INFCIRC/153</w:t>
        </w:r>
      </w:hyperlink>
      <w:r>
        <w:t xml:space="preserve"> </w:t>
      </w:r>
      <w:r>
        <w:t xml:space="preserve">Часть 1.5:</w:t>
      </w:r>
    </w:p>
    <w:p>
      <w:pPr>
        <w:pStyle w:val="BlockText"/>
      </w:pPr>
      <w:r>
        <w:t xml:space="preserve">…Агентство принимает все меры предосторожности для защиты коммерческих и промышленных секретов и другой</w:t>
      </w:r>
      <w:r>
        <w:t xml:space="preserve"> </w:t>
      </w:r>
      <w:r>
        <w:t xml:space="preserve">конфидечциальной информации, которая станет ему известной в результате осуществления Соглашения.</w:t>
      </w:r>
    </w:p>
    <w:p>
      <w:pPr>
        <w:pStyle w:val="FirstParagraph"/>
      </w:pPr>
      <w:r>
        <w:t xml:space="preserve">Сотрудники связаны обязательствами о конфиденциальности и несут уголовную ответственность за утечки. Это важно, потому что МАГАТЭ получает пользу от раскрытий разведданных (например, спутниковых снимков и документов) государств-участников. Так было в</w:t>
      </w:r>
      <w:r>
        <w:t xml:space="preserve"> </w:t>
      </w:r>
      <w:hyperlink r:id="rId163">
        <w:r>
          <w:rPr>
            <w:rStyle w:val="Hyperlink"/>
          </w:rPr>
          <w:t xml:space="preserve">случае</w:t>
        </w:r>
      </w:hyperlink>
      <w:r>
        <w:t xml:space="preserve"> </w:t>
      </w:r>
      <w:r>
        <w:t xml:space="preserve">с незаявленным Ираном обогащением урана. А ещё</w:t>
      </w:r>
      <w:r>
        <w:t xml:space="preserve"> </w:t>
      </w:r>
      <w:hyperlink r:id="rId164">
        <w:r>
          <w:rPr>
            <w:rStyle w:val="Hyperlink"/>
          </w:rPr>
          <w:t xml:space="preserve">предоставленные разведданные привели к требованию МАГАТЭ специальной инспекции</w:t>
        </w:r>
      </w:hyperlink>
      <w:r>
        <w:t xml:space="preserve"> </w:t>
      </w:r>
      <w:r>
        <w:t xml:space="preserve">незаявленного производства плутония в Северной Корее.</w:t>
      </w:r>
    </w:p>
    <w:p>
      <w:pPr>
        <w:pStyle w:val="BodyText"/>
      </w:pPr>
      <w:r>
        <w:t xml:space="preserve">Наш Договор признаёт незаменимую роль национальных технических средств (спутниковые снимки, сбор сигналов и другое дистанционное обнаружение) в проверке многосторонних соглашений. Тут мы заимствуем формулировки из Договора по ПРО. Там «каждая из Сторон использует имеющиеся в её распоряжении национальные технические средства контроля» и «обязуется не чинить помех национальным техническим средствам контроля другой Стороны». Похожие формулировки есть в Статье XII</w:t>
      </w:r>
      <w:r>
        <w:t xml:space="preserve"> </w:t>
      </w:r>
      <w:hyperlink r:id="rId82">
        <w:r>
          <w:rPr>
            <w:rStyle w:val="Hyperlink"/>
          </w:rPr>
          <w:t xml:space="preserve">ДРСМД</w:t>
        </w:r>
      </w:hyperlink>
      <w:r>
        <w:t xml:space="preserve"> </w:t>
      </w:r>
      <w:r>
        <w:t xml:space="preserve">1987 года, Статье IV</w:t>
      </w:r>
      <w:r>
        <w:t xml:space="preserve"> </w:t>
      </w:r>
      <w:hyperlink r:id="rId165">
        <w:r>
          <w:rPr>
            <w:rStyle w:val="Hyperlink"/>
          </w:rPr>
          <w:t xml:space="preserve">Договора о всеобъемлющем запрещении ядерных испытаний</w:t>
        </w:r>
      </w:hyperlink>
      <w:r>
        <w:t xml:space="preserve"> </w:t>
      </w:r>
      <w:r>
        <w:t xml:space="preserve">1996 года и</w:t>
      </w:r>
      <w:r>
        <w:t xml:space="preserve"> </w:t>
      </w:r>
      <w:hyperlink r:id="rId42">
        <w:r>
          <w:rPr>
            <w:rStyle w:val="Hyperlink"/>
          </w:rPr>
          <w:t xml:space="preserve">договоре СНВ-3</w:t>
        </w:r>
      </w:hyperlink>
      <w:r>
        <w:t xml:space="preserve"> </w:t>
      </w:r>
      <w:r>
        <w:t xml:space="preserve">2010 года.</w:t>
      </w:r>
    </w:p>
    <w:p>
      <w:pPr>
        <w:pStyle w:val="BodyText"/>
      </w:pPr>
      <w:r>
        <w:t xml:space="preserve">Поскольку в случае СИИ для обнаружения всех опасных нарушений НТС недостаточно, мы позаимствовали элементы</w:t>
      </w:r>
      <w:r>
        <w:t xml:space="preserve"> </w:t>
      </w:r>
      <w:hyperlink r:id="rId166">
        <w:r>
          <w:rPr>
            <w:rStyle w:val="Hyperlink"/>
          </w:rPr>
          <w:t xml:space="preserve">системы гарантий МАГАТЭ</w:t>
        </w:r>
      </w:hyperlink>
      <w:r>
        <w:t xml:space="preserve">. Они поощряют внутреннюю отчетность и предоставляют для этого каналы. Но им мешает отсутствие явной защиты информаторов. Ничто в ДНЯО или этих Гарантиях не защитит информатора от своего государства, если у него нет своих внутренних законов о защите, и оно решит отомстить. Мы включаем в Договор положения о защите информаторов и предоставление им убежища, чтобы исправить этот недостаток.</w:t>
      </w:r>
    </w:p>
    <w:p>
      <w:pPr>
        <w:pStyle w:val="BodyText"/>
      </w:pPr>
      <w:r>
        <w:t xml:space="preserve">Недавнее законодательство ЕС об ИИ приняло аналогичные меры.</w:t>
      </w:r>
      <w:r>
        <w:t xml:space="preserve"> </w:t>
      </w:r>
      <w:hyperlink r:id="rId167">
        <w:r>
          <w:rPr>
            <w:rStyle w:val="Hyperlink"/>
          </w:rPr>
          <w:t xml:space="preserve">Преамбула 172</w:t>
        </w:r>
      </w:hyperlink>
      <w:r>
        <w:t xml:space="preserve"> </w:t>
      </w:r>
      <w:r>
        <w:t xml:space="preserve">Закона ЕС об ИИ прямо распространяет существующую в ЕС</w:t>
      </w:r>
      <w:r>
        <w:t xml:space="preserve"> </w:t>
      </w:r>
      <w:hyperlink r:id="rId168">
        <w:r>
          <w:rPr>
            <w:rStyle w:val="Hyperlink"/>
          </w:rPr>
          <w:t xml:space="preserve">защиту информаторов</w:t>
        </w:r>
      </w:hyperlink>
      <w:r>
        <w:t xml:space="preserve"> </w:t>
      </w:r>
      <w:r>
        <w:t xml:space="preserve">на тех, кто сообщает о нарушениях Закона об ИИ.</w:t>
      </w:r>
    </w:p>
    <w:p>
      <w:pPr>
        <w:pStyle w:val="BodyText"/>
      </w:pPr>
      <w:r>
        <w:t xml:space="preserve">В</w:t>
      </w:r>
      <w:r>
        <w:t xml:space="preserve"> </w:t>
      </w:r>
      <w:hyperlink r:id="rId169">
        <w:r>
          <w:rPr>
            <w:rStyle w:val="Hyperlink"/>
          </w:rPr>
          <w:t xml:space="preserve">Конвенции о статусе беженцев 1951 года</w:t>
        </w:r>
      </w:hyperlink>
      <w:r>
        <w:t xml:space="preserve"> </w:t>
      </w:r>
      <w:r>
        <w:t xml:space="preserve">упомянуты «вполне обоснованные опасения стать жертвой преследований». Это потенциально открывает путь к предоставлению убежища информаторам. Хотя для гарантии, что разоблачение нарушений в сфере ИИ – юридически уважаемая причина преследования, может потребоваться поправка или дополнительное соглашение.</w:t>
      </w:r>
    </w:p>
    <w:p>
      <w:pPr>
        <w:pStyle w:val="BodyText"/>
      </w:pPr>
      <w:r>
        <w:t xml:space="preserve">Во время и чуть после Холодной войны предоставление убежища с деликатными знаниями или опытом было обычным делом. Раздел 7</w:t>
      </w:r>
      <w:r>
        <w:t xml:space="preserve"> </w:t>
      </w:r>
      <w:hyperlink r:id="rId170">
        <w:r>
          <w:rPr>
            <w:rStyle w:val="Hyperlink"/>
          </w:rPr>
          <w:t xml:space="preserve">Закона о ЦРУ 1949 года</w:t>
        </w:r>
      </w:hyperlink>
      <w:r>
        <w:t xml:space="preserve"> </w:t>
      </w:r>
      <w:r>
        <w:t xml:space="preserve">обеспечивал допуск и постоянное проживание до ста перебежчиков и их ближайших родственников в финансовый год. Это должно было быть «в интересах национальной безопасности или необходимо для выполнения миссии национальной разведки». Закон об иммиграции советских ученых 1992 года предоставлял до 750 виз ученым из бывшего СССР и стран Балтики с «опытом в ядерной, химической, биологической или других высокотехнологичных областях или работающим над ядерными, химическими, биологическими или другими высокотехнологичными оборонными проектами».</w:t>
      </w:r>
    </w:p>
    <w:p>
      <w:pPr>
        <w:pStyle w:val="BodyText"/>
      </w:pPr>
      <w:r>
        <w:t xml:space="preserve">Механизм инспекций по запросу из Пункта 3 этой Статьи смоделирован по образцу Статьи IX</w:t>
      </w:r>
      <w:r>
        <w:t xml:space="preserve"> </w:t>
      </w:r>
      <w:hyperlink r:id="rId171">
        <w:r>
          <w:rPr>
            <w:rStyle w:val="Hyperlink"/>
          </w:rPr>
          <w:t xml:space="preserve">КЗХО</w:t>
        </w:r>
      </w:hyperlink>
      <w:r>
        <w:t xml:space="preserve">:</w:t>
      </w:r>
    </w:p>
    <w:p>
      <w:pPr>
        <w:pStyle w:val="BlockText"/>
      </w:pPr>
      <w:r>
        <w:t xml:space="preserve">Каждое государство-участник имеет право просить о проведении инспекции на месте по запросу любого объекта или пункта на территории или в любом другом месте под юрисдикцией или контролем любого другого государства-участника исключительно с целью прояснения и урегулирования любых вопросов, касающихся возможного несоблюдения…</w:t>
      </w:r>
    </w:p>
    <w:p>
      <w:pPr>
        <w:pStyle w:val="FirstParagraph"/>
      </w:pPr>
      <w:r>
        <w:t xml:space="preserve">Помимо КЗХО, другие договоры о контроле над вооружениями, например, ДРСМД и СНВ-1, тоже сочетают НТС с</w:t>
      </w:r>
      <w:r>
        <w:t xml:space="preserve"> </w:t>
      </w:r>
      <w:hyperlink r:id="rId172">
        <w:r>
          <w:rPr>
            <w:rStyle w:val="Hyperlink"/>
          </w:rPr>
          <w:t xml:space="preserve">инспекциями в духе «по запросу»</w:t>
        </w:r>
      </w:hyperlink>
      <w:r>
        <w:t xml:space="preserve"> </w:t>
      </w:r>
      <w:r>
        <w:t xml:space="preserve">для проверки соблюдения.</w:t>
      </w:r>
    </w:p>
    <w:p>
      <w:r>
        <w:pict>
          <v:rect style="width:0;height:1.5pt" o:hralign="center" o:hrstd="t" o:hr="t"/>
        </w:pict>
      </w:r>
    </w:p>
    <w:bookmarkEnd w:id="173"/>
    <w:bookmarkEnd w:id="174"/>
    <w:bookmarkEnd w:id="175"/>
    <w:bookmarkStart w:id="178" w:name="статья-xi-разрешение-споров"/>
    <w:p>
      <w:pPr>
        <w:pStyle w:val="Heading2"/>
      </w:pPr>
      <w:r>
        <w:t xml:space="preserve">Статья XI: Разрешение споров</w:t>
      </w:r>
    </w:p>
    <w:p>
      <w:pPr>
        <w:pStyle w:val="Compact"/>
        <w:numPr>
          <w:ilvl w:val="0"/>
          <w:numId w:val="1120"/>
        </w:numPr>
      </w:pPr>
      <w:r>
        <w:t xml:space="preserve">Любая Сторона («Заинтересованная Сторона») может выразить озабоченность касательно реализации настоящего Договора, включая озабоченность по поводу неоднозначных ситуаций или возможного несоблюдения обязательств другой Стороной («Запрашиваемая Сторона»). Сюда входит злоупотребление Защитными Действиями (Статья XII).</w:t>
      </w:r>
    </w:p>
    <w:p>
      <w:pPr>
        <w:pStyle w:val="Compact"/>
        <w:numPr>
          <w:ilvl w:val="1"/>
          <w:numId w:val="1121"/>
        </w:numPr>
      </w:pPr>
    </w:p>
    <w:p>
      <w:pPr>
        <w:pStyle w:val="Compact"/>
        <w:numPr>
          <w:ilvl w:val="2"/>
          <w:numId w:val="1122"/>
        </w:numPr>
      </w:pPr>
      <w:r>
        <w:t xml:space="preserve">Заинтересованная Сторона должна уведомить Запрашиваемую Сторону о своей озабоченности, одновременно сообщив об этом Генеральному директору и Исполнительному совету. Запрашиваемая Сторона подтверждает получение этого уведомления в течение 36 часов и предоставляет разъяснения в течение 5 дней.</w:t>
      </w:r>
    </w:p>
    <w:p>
      <w:pPr>
        <w:pStyle w:val="Compact"/>
        <w:numPr>
          <w:ilvl w:val="0"/>
          <w:numId w:val="1120"/>
        </w:numPr>
      </w:pPr>
      <w:r>
        <w:t xml:space="preserve">Если вопрос не решен, Заинтересованная Сторона может запросить содействия Исполнительного совета в рассмотрении и прояснении проблемы. Это может включать запрос Заинтересованной Стороны о проведении инспекции по запросу в соответствии со Статьей X.</w:t>
      </w:r>
    </w:p>
    <w:p>
      <w:pPr>
        <w:pStyle w:val="Compact"/>
        <w:numPr>
          <w:ilvl w:val="1"/>
          <w:numId w:val="1123"/>
        </w:numPr>
      </w:pPr>
    </w:p>
    <w:p>
      <w:pPr>
        <w:pStyle w:val="Compact"/>
        <w:numPr>
          <w:ilvl w:val="2"/>
          <w:numId w:val="1124"/>
        </w:numPr>
      </w:pPr>
      <w:r>
        <w:t xml:space="preserve">Исполнительный совет предоставляет соответствующую относящуюся к такой озабоченности информацию, имеющуюся в его распоряжении.</w:t>
      </w:r>
    </w:p>
    <w:p>
      <w:pPr>
        <w:pStyle w:val="Compact"/>
        <w:numPr>
          <w:ilvl w:val="1"/>
          <w:numId w:val="1123"/>
        </w:numPr>
      </w:pPr>
    </w:p>
    <w:p>
      <w:pPr>
        <w:pStyle w:val="Compact"/>
        <w:numPr>
          <w:ilvl w:val="2"/>
          <w:numId w:val="1125"/>
        </w:numPr>
      </w:pPr>
      <w:r>
        <w:t xml:space="preserve">Исполнительный совет может поручить Техническому секретариату собрать дополнительную документацию, созвать закрытые технические заседания и рекомендовать меры по разрешению спора.</w:t>
      </w:r>
    </w:p>
    <w:p>
      <w:pPr>
        <w:pStyle w:val="Compact"/>
        <w:numPr>
          <w:ilvl w:val="0"/>
          <w:numId w:val="1120"/>
        </w:numPr>
      </w:pPr>
      <w:r>
        <w:t xml:space="preserve">Если Исполнительный совет установит факт нарушения Договора, он может предпринять действия для предотвращения опасной деятельности в области ИИ или вынести порицание Запрашиваемой Стороне. Эти действия могут включать:</w:t>
      </w:r>
    </w:p>
    <w:p>
      <w:pPr>
        <w:pStyle w:val="Compact"/>
        <w:numPr>
          <w:ilvl w:val="1"/>
          <w:numId w:val="1126"/>
        </w:numPr>
      </w:pPr>
    </w:p>
    <w:p>
      <w:pPr>
        <w:pStyle w:val="Compact"/>
        <w:numPr>
          <w:ilvl w:val="2"/>
          <w:numId w:val="1127"/>
        </w:numPr>
      </w:pPr>
      <w:r>
        <w:t xml:space="preserve">Требование дополнительного мониторинга или ограничений деятельности в области ИИ;</w:t>
      </w:r>
    </w:p>
    <w:p>
      <w:pPr>
        <w:pStyle w:val="Compact"/>
        <w:numPr>
          <w:ilvl w:val="1"/>
          <w:numId w:val="1126"/>
        </w:numPr>
      </w:pPr>
    </w:p>
    <w:p>
      <w:pPr>
        <w:pStyle w:val="Compact"/>
        <w:numPr>
          <w:ilvl w:val="2"/>
          <w:numId w:val="1128"/>
        </w:numPr>
      </w:pPr>
      <w:r>
        <w:t xml:space="preserve">Требование отказа от ИИ-оборудования;</w:t>
      </w:r>
    </w:p>
    <w:p>
      <w:pPr>
        <w:pStyle w:val="Compact"/>
        <w:numPr>
          <w:ilvl w:val="1"/>
          <w:numId w:val="1126"/>
        </w:numPr>
      </w:pPr>
    </w:p>
    <w:p>
      <w:pPr>
        <w:pStyle w:val="Compact"/>
        <w:numPr>
          <w:ilvl w:val="2"/>
          <w:numId w:val="1129"/>
        </w:numPr>
      </w:pPr>
      <w:r>
        <w:t xml:space="preserve">Призыв к санкциям;</w:t>
      </w:r>
    </w:p>
    <w:p>
      <w:pPr>
        <w:pStyle w:val="Compact"/>
        <w:numPr>
          <w:ilvl w:val="1"/>
          <w:numId w:val="1126"/>
        </w:numPr>
      </w:pPr>
    </w:p>
    <w:p>
      <w:pPr>
        <w:pStyle w:val="Compact"/>
        <w:numPr>
          <w:ilvl w:val="2"/>
          <w:numId w:val="1130"/>
        </w:numPr>
      </w:pPr>
      <w:r>
        <w:t xml:space="preserve">Рекомендацию Сторонам предпринять Защитные Действия согласно Статье XII.</w:t>
      </w:r>
    </w:p>
    <w:p>
      <w:r>
        <w:pict>
          <v:rect style="width:0;height:1.5pt" o:hralign="center" o:hrstd="t" o:hr="t"/>
        </w:pict>
      </w:r>
    </w:p>
    <w:bookmarkStart w:id="176" w:name="примечания-9"/>
    <w:p>
      <w:pPr>
        <w:pStyle w:val="Heading3"/>
      </w:pPr>
      <w:r>
        <w:t xml:space="preserve">Примечания</w:t>
      </w:r>
    </w:p>
    <w:p>
      <w:pPr>
        <w:pStyle w:val="FirstParagraph"/>
      </w:pPr>
      <w:r>
        <w:t xml:space="preserve">Цель тут – описать консультации и прояснение ситуации при возникновении проблем между Сторонами. Инспекции по запросу – механизм, обеспечивающий соблюдение положений Договора всеми Сторонами.</w:t>
      </w:r>
    </w:p>
    <w:p>
      <w:pPr>
        <w:pStyle w:val="BodyText"/>
      </w:pPr>
      <w:r>
        <w:t xml:space="preserve">Учитывая темпы прогресса в ИИ, установить нарушение в разумные сроки может быть непросто. Роль Исполнительного совета – разбираться с любыми опасениями, высказанными Сторонами договора. Роль Технического секретариата – гарантировать, что эксперты, которые проводят инспекции, понимают передовые технологии ИИ. Договор использует весьма агрессивные сроки (счёт идет на часы и дни). Это должно быть достаточно быстро, чтобы Стороны дождались решений, прежде чем прибегать к Защитным Действиям (описанным в Статье XII). Впрочем, Договор нигде не запрещает Сторонам предпринимать Защитные Действия, посчитав их необходимыми для своей безопасности.</w:t>
      </w:r>
    </w:p>
    <w:p>
      <w:r>
        <w:pict>
          <v:rect style="width:0;height:1.5pt" o:hralign="center" o:hrstd="t" o:hr="t"/>
        </w:pict>
      </w:r>
    </w:p>
    <w:bookmarkEnd w:id="176"/>
    <w:bookmarkStart w:id="177" w:name="прецеденты-10"/>
    <w:p>
      <w:pPr>
        <w:pStyle w:val="Heading3"/>
      </w:pPr>
      <w:r>
        <w:t xml:space="preserve">Прецеденты</w:t>
      </w:r>
    </w:p>
    <w:p>
      <w:pPr>
        <w:pStyle w:val="FirstParagraph"/>
      </w:pPr>
      <w:r>
        <w:t xml:space="preserve">Наш порядок разрешения споров в Статье XI подражает Статьям IX, XII и XIV Конвенции о запрещении химического оружия (КЗХО). Статья IX КЗХО требует от подписантов отвечать на запросы о разъяснении «как можно скорее, но в любом случае не позднее чем через 10 дней после поступления просьбы». Цифровые разработки могут распространяться очень быстро. Поэтому мы выбрали срок ответа в 5 дней. Возможно, надо будет скорректировать на ещё меньший срок.</w:t>
      </w:r>
    </w:p>
    <w:p>
      <w:pPr>
        <w:pStyle w:val="BodyText"/>
      </w:pPr>
      <w:r>
        <w:t xml:space="preserve">Пункт 2 подражает Статье XIV КЗХО. Она позволяет Исполнительному совету «любыми средствами, какие он сочтет подходящими, включая предложение своих добрых услуг, призыв к государствам-участникам спора начать процесс урегулирования по своему выбору и рекомендацию сроков для любой согласованной процедуры». Ещё сторонам рекомендуется, когда это уместно, передавать дела в Международный Суд.</w:t>
      </w:r>
    </w:p>
    <w:p>
      <w:pPr>
        <w:pStyle w:val="BodyText"/>
      </w:pPr>
      <w:r>
        <w:t xml:space="preserve">Как у нас в Пункте 3, Статья XII КЗХО уполномочивает Исполнительный совет рекомендовать меры по исправлению положения, включая санкции. Это применяется «в тех случаях, когда в результате деятельности, запрещаемой по настоящей Конвенции … может быть причинен серьезный ущерб предмету и цели настоящей Конвенции». Чтобы придать силу этим рекомендациям, там рекомендуется «доводить данную проблему, включая соответствующую информацию и выводы, до сведения Генеральной Ассамблеи Организации Объединенных Наций и Совета Безопасности Организации Объединенных Наций». Рекомендации Исполнительного совета ISIA можно эскалировать примерно так же.</w:t>
      </w:r>
    </w:p>
    <w:p>
      <w:r>
        <w:pict>
          <v:rect style="width:0;height:1.5pt" o:hralign="center" o:hrstd="t" o:hr="t"/>
        </w:pict>
      </w:r>
    </w:p>
    <w:bookmarkEnd w:id="177"/>
    <w:bookmarkEnd w:id="178"/>
    <w:bookmarkStart w:id="185" w:name="статья-xii-защитные-действия"/>
    <w:p>
      <w:pPr>
        <w:pStyle w:val="Heading2"/>
      </w:pPr>
      <w:r>
        <w:t xml:space="preserve">Статья XII: Защитные Действия</w:t>
      </w:r>
    </w:p>
    <w:p>
      <w:pPr>
        <w:numPr>
          <w:ilvl w:val="0"/>
          <w:numId w:val="1131"/>
        </w:numPr>
      </w:pPr>
      <w:r>
        <w:t xml:space="preserve">Признавая, что разработка ИСИ или другая Опасная деятельность в области ИИ, как изложено в Статьях IV–IX, представляла бы угрозу глобальной безопасности и жизни всех людей, Сторонам настоящего Договора может потребоваться предпринять решительные действия для предотвращения такой разработки. Стороны признают, что разработка искусственного суперинтеллекта (ИСИ) в любом месте на Земле была бы угрозой для всех Сторон. В соответствии со Статьей 51 Устава ООН и давним прецедентом государства имеют право на самооборону. Из-за масштаба и скорости угроз, связанных с ИСИ, самооборона может потребовать превентивных действий для предотвращения разработки ИСИ.</w:t>
      </w:r>
    </w:p>
    <w:p>
      <w:pPr>
        <w:numPr>
          <w:ilvl w:val="0"/>
          <w:numId w:val="1131"/>
        </w:numPr>
      </w:pPr>
      <w:r>
        <w:t xml:space="preserve">Для предотвращения разработки или развертывания ИСИ настоящая Статья санкционирует адресные Защитные Действия. В случаях, когда имеются достоверные свидетельства того, что государство или иной субъект (будь то Сторона или не Сторона) проводит или в ближайшее время намеревается проводить деятельность, направленную на разработку или развертывание ИСИ в нарушение Статьи I, Статьи IV, Статьи V, Статьи VI, Статьи VII или Статьи VIII, государство-Сторона может предпринять Защитные Действия, которые являются необходимыми и соразмерными для предотвращения деятельности. Признавая вред и эскалационный характер Защитных Действий, Защитные Действия следует использовать как крайнюю меру. За исключением чрезвычайных ситуаций и случаев, не терпящих отлагательства, Защитным Действиям должны предшествовать другие подходы, такие как, помимо прочего:</w:t>
      </w:r>
    </w:p>
    <w:p>
      <w:pPr>
        <w:pStyle w:val="Compact"/>
        <w:numPr>
          <w:ilvl w:val="1"/>
          <w:numId w:val="1132"/>
        </w:numPr>
      </w:pPr>
    </w:p>
    <w:p>
      <w:pPr>
        <w:pStyle w:val="Compact"/>
        <w:numPr>
          <w:ilvl w:val="2"/>
          <w:numId w:val="1133"/>
        </w:numPr>
      </w:pPr>
      <w:r>
        <w:t xml:space="preserve">Торговые ограничения или экономические санкции;</w:t>
      </w:r>
    </w:p>
    <w:p>
      <w:pPr>
        <w:pStyle w:val="Compact"/>
        <w:numPr>
          <w:ilvl w:val="1"/>
          <w:numId w:val="1132"/>
        </w:numPr>
      </w:pPr>
    </w:p>
    <w:p>
      <w:pPr>
        <w:pStyle w:val="Compact"/>
        <w:numPr>
          <w:ilvl w:val="2"/>
          <w:numId w:val="1134"/>
        </w:numPr>
      </w:pPr>
      <w:r>
        <w:t xml:space="preserve">Ограничения активов;</w:t>
      </w:r>
    </w:p>
    <w:p>
      <w:pPr>
        <w:pStyle w:val="Compact"/>
        <w:numPr>
          <w:ilvl w:val="1"/>
          <w:numId w:val="1132"/>
        </w:numPr>
      </w:pPr>
    </w:p>
    <w:p>
      <w:pPr>
        <w:pStyle w:val="Compact"/>
        <w:numPr>
          <w:ilvl w:val="2"/>
          <w:numId w:val="1135"/>
        </w:numPr>
      </w:pPr>
      <w:r>
        <w:t xml:space="preserve">Визовые запреты;</w:t>
      </w:r>
    </w:p>
    <w:p>
      <w:pPr>
        <w:pStyle w:val="Compact"/>
        <w:numPr>
          <w:ilvl w:val="1"/>
          <w:numId w:val="1132"/>
        </w:numPr>
      </w:pPr>
    </w:p>
    <w:p>
      <w:pPr>
        <w:pStyle w:val="Compact"/>
        <w:numPr>
          <w:ilvl w:val="2"/>
          <w:numId w:val="1136"/>
        </w:numPr>
      </w:pPr>
      <w:r>
        <w:t xml:space="preserve">Обращение к Совету Безопасности ООН за действиями.</w:t>
      </w:r>
    </w:p>
    <w:p>
      <w:pPr>
        <w:numPr>
          <w:ilvl w:val="0"/>
          <w:numId w:val="1131"/>
        </w:numPr>
      </w:pPr>
      <w:r>
        <w:t xml:space="preserve">Защитные Действия могут включать такие меры, как кибероперации для саботажа разработки ИИ, перехват или конфискация подпадающих под действие кластеров чипов, военные действия для вывода из строя или уничтожения ИИ-оборудования, физический вывод из строя конкретных объектов или активов, непосредственно обеспечивающих разработку ИИ, и методы предотвращения работы исследователей над Ограниченными исследованиями.</w:t>
      </w:r>
    </w:p>
    <w:p>
      <w:pPr>
        <w:numPr>
          <w:ilvl w:val="0"/>
          <w:numId w:val="1131"/>
        </w:numPr>
      </w:pPr>
      <w:r>
        <w:t xml:space="preserve">Стороны должны минимизировать сопутствующий ущерб, в том числе гражданскому населению и жизненно важным службам, везде, где это практически возможно, с учетом требований миссии.</w:t>
      </w:r>
    </w:p>
    <w:p>
      <w:pPr>
        <w:numPr>
          <w:ilvl w:val="0"/>
          <w:numId w:val="1131"/>
        </w:numPr>
      </w:pPr>
      <w:r>
        <w:t xml:space="preserve">Защитные Действия должны быть строго ограничены предотвращением разработки или развертывания ИСИ и не должны использоваться как предлог для территориальных приобретений, смены режима, добычи ресурсов или более широких военных целей. Постоянная оккупация или аннексия территории запрещены. Действия прекращаются после подтверждения ISIA, что угроза больше не существует.</w:t>
      </w:r>
    </w:p>
    <w:p>
      <w:pPr>
        <w:numPr>
          <w:ilvl w:val="0"/>
          <w:numId w:val="1131"/>
        </w:numPr>
      </w:pPr>
      <w:r>
        <w:t xml:space="preserve">Каждое Защитное Действие должно сопровождаться, при начале или как только позволит безопасность, публичным Заявлением о Защитном Действии, которое:</w:t>
      </w:r>
    </w:p>
    <w:p>
      <w:pPr>
        <w:pStyle w:val="Compact"/>
        <w:numPr>
          <w:ilvl w:val="1"/>
          <w:numId w:val="1137"/>
        </w:numPr>
      </w:pPr>
    </w:p>
    <w:p>
      <w:pPr>
        <w:pStyle w:val="Compact"/>
        <w:numPr>
          <w:ilvl w:val="2"/>
          <w:numId w:val="1138"/>
        </w:numPr>
      </w:pPr>
      <w:r>
        <w:t xml:space="preserve">Объясняет защитную цель действия;</w:t>
      </w:r>
    </w:p>
    <w:p>
      <w:pPr>
        <w:pStyle w:val="Compact"/>
        <w:numPr>
          <w:ilvl w:val="1"/>
          <w:numId w:val="1137"/>
        </w:numPr>
      </w:pPr>
    </w:p>
    <w:p>
      <w:pPr>
        <w:pStyle w:val="Compact"/>
        <w:numPr>
          <w:ilvl w:val="2"/>
          <w:numId w:val="1139"/>
        </w:numPr>
      </w:pPr>
      <w:r>
        <w:t xml:space="preserve">Идентифицирует конкретные способствующие ИИ действия и активы, на которые направлено действие;</w:t>
      </w:r>
    </w:p>
    <w:p>
      <w:pPr>
        <w:pStyle w:val="Compact"/>
        <w:numPr>
          <w:ilvl w:val="1"/>
          <w:numId w:val="1137"/>
        </w:numPr>
      </w:pPr>
    </w:p>
    <w:p>
      <w:pPr>
        <w:pStyle w:val="Compact"/>
        <w:numPr>
          <w:ilvl w:val="2"/>
          <w:numId w:val="1140"/>
        </w:numPr>
      </w:pPr>
      <w:r>
        <w:t xml:space="preserve">Излагает условия прекращения;</w:t>
      </w:r>
    </w:p>
    <w:p>
      <w:pPr>
        <w:pStyle w:val="Compact"/>
        <w:numPr>
          <w:ilvl w:val="1"/>
          <w:numId w:val="1137"/>
        </w:numPr>
      </w:pPr>
    </w:p>
    <w:p>
      <w:pPr>
        <w:pStyle w:val="Compact"/>
        <w:numPr>
          <w:ilvl w:val="2"/>
          <w:numId w:val="1141"/>
        </w:numPr>
      </w:pPr>
      <w:r>
        <w:t xml:space="preserve">Обязуется прекратить операции, как только эти условия будут выполнены.</w:t>
      </w:r>
    </w:p>
    <w:p>
      <w:pPr>
        <w:numPr>
          <w:ilvl w:val="0"/>
          <w:numId w:val="1131"/>
        </w:numPr>
      </w:pPr>
      <w:r>
        <w:t xml:space="preserve">Защитные Действия прекращаются без промедления при любом из следующих обстоятельств:</w:t>
      </w:r>
    </w:p>
    <w:p>
      <w:pPr>
        <w:pStyle w:val="Compact"/>
        <w:numPr>
          <w:ilvl w:val="1"/>
          <w:numId w:val="1142"/>
        </w:numPr>
      </w:pPr>
    </w:p>
    <w:p>
      <w:pPr>
        <w:pStyle w:val="Compact"/>
        <w:numPr>
          <w:ilvl w:val="2"/>
          <w:numId w:val="1143"/>
        </w:numPr>
      </w:pPr>
      <w:r>
        <w:t xml:space="preserve">Уверение ISIA о том, что соответствующая деятельность прекращена.</w:t>
      </w:r>
    </w:p>
    <w:p>
      <w:pPr>
        <w:pStyle w:val="Compact"/>
        <w:numPr>
          <w:ilvl w:val="1"/>
          <w:numId w:val="1142"/>
        </w:numPr>
      </w:pPr>
    </w:p>
    <w:p>
      <w:pPr>
        <w:pStyle w:val="Compact"/>
        <w:numPr>
          <w:ilvl w:val="2"/>
          <w:numId w:val="1144"/>
        </w:numPr>
      </w:pPr>
      <w:r>
        <w:t xml:space="preserve">Проверенная сдача или уничтожение подпадающих под действие кластеров чипов или активов, способствующих созданию ИСИ, потенциально включая установление достаточных гарантий для предотвращения деятельности в рамках Ограниченных исследований.</w:t>
      </w:r>
    </w:p>
    <w:p>
      <w:pPr>
        <w:pStyle w:val="Compact"/>
        <w:numPr>
          <w:ilvl w:val="1"/>
          <w:numId w:val="1142"/>
        </w:numPr>
      </w:pPr>
    </w:p>
    <w:p>
      <w:pPr>
        <w:pStyle w:val="Compact"/>
        <w:numPr>
          <w:ilvl w:val="2"/>
          <w:numId w:val="1145"/>
        </w:numPr>
      </w:pPr>
      <w:r>
        <w:t xml:space="preserve">Переданное в ISIA определение действующей Стороной, что угроза миновала.</w:t>
      </w:r>
    </w:p>
    <w:p>
      <w:pPr>
        <w:numPr>
          <w:ilvl w:val="0"/>
          <w:numId w:val="1131"/>
        </w:numPr>
      </w:pPr>
      <w:r>
        <w:t xml:space="preserve">Стороны не должны рассматривать взвешенные Защитные Действия, предпринятые другой Стороной в соответствии с настоящей Статьей, как провокационные акты и не должны на их основании предпринимать репрессалии или санкции. Стороны соглашаются, что Защитные Действия, отвечающие вышеуказанным требованиям, не должны истолковываться как акт агрессии или оправдание применения силы.</w:t>
      </w:r>
    </w:p>
    <w:p>
      <w:pPr>
        <w:numPr>
          <w:ilvl w:val="0"/>
          <w:numId w:val="1131"/>
        </w:numPr>
      </w:pPr>
      <w:r>
        <w:t xml:space="preserve">Исполнительный совет рассматривает каждое Защитное Действие на предмет соответствия настоящей Статье и докладывает Конференции Сторон. Если Исполнительный совет обнаружит, что действие не было необходимым, соразмерным или должным образом нацеленным, могут быть предприняты действия в соответствии со Статьей XI, Пункт 3.</w:t>
      </w:r>
    </w:p>
    <w:p>
      <w:r>
        <w:pict>
          <v:rect style="width:0;height:1.5pt" o:hralign="center" o:hrstd="t" o:hr="t"/>
        </w:pict>
      </w:r>
    </w:p>
    <w:bookmarkStart w:id="179" w:name="примечания-10"/>
    <w:p>
      <w:pPr>
        <w:pStyle w:val="Heading3"/>
      </w:pPr>
      <w:r>
        <w:t xml:space="preserve">Примечания</w:t>
      </w:r>
    </w:p>
    <w:p>
      <w:pPr>
        <w:pStyle w:val="FirstParagraph"/>
      </w:pPr>
      <w:r>
        <w:t xml:space="preserve">Реальный Договор может не говорить так прямо о необходимости Защитных Действий против разрабатывающих ИСИ государств. Возможно, это останется подразумеваемым. В подобных соглашениях так часто. Здесь мы решили быть откровенными, потому что этот режим сдерживания – основа эффективности Договора. Это стоило явно высказать. Откровенность также позволяет упомянуть меры против злоупотребления Защитными Действиями и более подробное описание, когда они приемлемы. Важно, чтобы все Стороны понимали подразумеваемый режим сдерживания и последствия несоблюдения.</w:t>
      </w:r>
    </w:p>
    <w:p>
      <w:pPr>
        <w:pStyle w:val="BodyText"/>
      </w:pPr>
      <w:r>
        <w:t xml:space="preserve">Как уже обсуждалось (см. раздел «А некоторые страны не откажутся от запрета?» материалов к Главе 13), поняв угрозу ИСИ, мировые лидеры, вероятно, будут готовы действовать для остановки запрещённых разработок, вплоть до ограниченных военных вмешательств. Военные действия, например, точечные авиаудары, должны рассматриваться как крайняя мера, когда вся дипломатия провалилась. Но важно, чтобы они были реальной опцией. Тогда режим сдерживания и соблюдения сможет функционировать.</w:t>
      </w:r>
    </w:p>
    <w:p>
      <w:pPr>
        <w:pStyle w:val="BodyText"/>
      </w:pPr>
      <w:r>
        <w:t xml:space="preserve">Мы подчеркиваем, что любое применение силы должно быть нацелено на предотвращение ИСИ и должно прекратиться, когда ясно, что угроза устранена. Статья проясняет, что Стороны не будут мешать разумным Защитным Действиям друг друга. Но действия надо проверять, чтобы не было злоупотреблений.</w:t>
      </w:r>
    </w:p>
    <w:p>
      <w:r>
        <w:pict>
          <v:rect style="width:0;height:1.5pt" o:hralign="center" o:hrstd="t" o:hr="t"/>
        </w:pict>
      </w:r>
    </w:p>
    <w:bookmarkEnd w:id="179"/>
    <w:bookmarkStart w:id="184" w:name="прецеденты-11"/>
    <w:p>
      <w:pPr>
        <w:pStyle w:val="Heading3"/>
      </w:pPr>
      <w:r>
        <w:t xml:space="preserve">Прецеденты</w:t>
      </w:r>
    </w:p>
    <w:p>
      <w:pPr>
        <w:pStyle w:val="FirstParagraph"/>
      </w:pPr>
      <w:r>
        <w:t xml:space="preserve">Идея, что государства могут для своей безопасности предпринимать защитные действия, в любом случае реализуется. Но она и кодифицирована в международном праве – в Главе VII Устава ООН. Она гласит, что в случае необходимости Совет Безопасности может предпринимать военные или невоенные меры для поддержания международного мира и безопасности.</w:t>
      </w:r>
    </w:p>
    <w:p>
      <w:pPr>
        <w:pStyle w:val="BodyText"/>
      </w:pPr>
      <w:r>
        <w:t xml:space="preserve">Концепция Защитных Действий, как они представлены тут, тоже основана на исторических прецедентах. Государства, по отдельности и совместно, действовали, чтобы предотвратить разработку технологий, считающихся угрозой международной безопасности. Действия варьировались от санкций до кибернетических и военных ударов.</w:t>
      </w:r>
    </w:p>
    <w:p>
      <w:pPr>
        <w:pStyle w:val="BodyText"/>
      </w:pPr>
      <w:r>
        <w:t xml:space="preserve">Ясный современный пример: международные усилия по предотвращению разработки Ираном ядерного оружия. СБ ООН несколько раз</w:t>
      </w:r>
      <w:r>
        <w:t xml:space="preserve"> </w:t>
      </w:r>
      <w:hyperlink r:id="rId180">
        <w:r>
          <w:rPr>
            <w:rStyle w:val="Hyperlink"/>
          </w:rPr>
          <w:t xml:space="preserve">налагал</w:t>
        </w:r>
      </w:hyperlink>
      <w:r>
        <w:t xml:space="preserve"> </w:t>
      </w:r>
      <w:r>
        <w:t xml:space="preserve">на Иран санкции из-за его ядерной программы. Большинство из них были сняты, когда в Совместном всеобъемлющем плане действий 2015 года Иран согласился её ограничить.</w:t>
      </w:r>
    </w:p>
    <w:p>
      <w:pPr>
        <w:pStyle w:val="BodyText"/>
      </w:pPr>
      <w:r>
        <w:t xml:space="preserve">США и Израиль (</w:t>
      </w:r>
      <w:hyperlink r:id="rId181">
        <w:r>
          <w:rPr>
            <w:rStyle w:val="Hyperlink"/>
          </w:rPr>
          <w:t xml:space="preserve">как сообщается</w:t>
        </w:r>
      </w:hyperlink>
      <w:r>
        <w:t xml:space="preserve">) сотрудничали по Stuxnet, высокотехнологичному кибероружию, которое уничтожило многие иранские центрифуги для обогащения урана в 2010 году.</w:t>
      </w:r>
    </w:p>
    <w:p>
      <w:pPr>
        <w:pStyle w:val="BodyText"/>
      </w:pPr>
      <w:r>
        <w:t xml:space="preserve">В</w:t>
      </w:r>
      <w:r>
        <w:t xml:space="preserve"> </w:t>
      </w:r>
      <w:hyperlink r:id="rId182">
        <w:r>
          <w:rPr>
            <w:rStyle w:val="Hyperlink"/>
          </w:rPr>
          <w:t xml:space="preserve">июне 2025 года</w:t>
        </w:r>
      </w:hyperlink>
      <w:r>
        <w:t xml:space="preserve"> </w:t>
      </w:r>
      <w:r>
        <w:t xml:space="preserve">Израиль нанес авиаудары по многим ядерным объектам Ирана. Через девять дней последовали авиаудары США. Они были частично направлены на вывод из строя завода по обогащению урана в Фордо.</w:t>
      </w:r>
    </w:p>
    <w:p>
      <w:pPr>
        <w:pStyle w:val="BodyText"/>
      </w:pPr>
      <w:r>
        <w:t xml:space="preserve">Еще один исторический прецедент Защитных Действий: международная реакция на несоблюдение Ираком ядерных обязательств в 1990-х годах. После войны в Персидском заливе 1991 года была создана</w:t>
      </w:r>
      <w:r>
        <w:t xml:space="preserve"> </w:t>
      </w:r>
      <w:hyperlink r:id="rId183">
        <w:r>
          <w:rPr>
            <w:rStyle w:val="Hyperlink"/>
          </w:rPr>
          <w:t xml:space="preserve">Специальная комиссия ООН</w:t>
        </w:r>
      </w:hyperlink>
      <w:r>
        <w:t xml:space="preserve"> </w:t>
      </w:r>
      <w:r>
        <w:t xml:space="preserve">(UNSCOM) для надзора за ликвидацией иракского оружия массового уничтожения. Несоблюдение режима инспекций UNSCOM в конечном итоге привело к операции «Пустынный лис» 1998 года – кампании бомбардировок, направленной на снижение способности Ирака производить ОМУ.</w:t>
      </w:r>
    </w:p>
    <w:p>
      <w:r>
        <w:pict>
          <v:rect style="width:0;height:1.5pt" o:hralign="center" o:hrstd="t" o:hr="t"/>
        </w:pict>
      </w:r>
    </w:p>
    <w:bookmarkEnd w:id="184"/>
    <w:bookmarkEnd w:id="185"/>
    <w:bookmarkStart w:id="189" w:name="статья-xiii-обзоры-isia"/>
    <w:p>
      <w:pPr>
        <w:pStyle w:val="Heading2"/>
      </w:pPr>
      <w:r>
        <w:t xml:space="preserve">Статья XIII: Обзоры ISIA</w:t>
      </w:r>
    </w:p>
    <w:p>
      <w:pPr>
        <w:numPr>
          <w:ilvl w:val="0"/>
          <w:numId w:val="1146"/>
        </w:numPr>
      </w:pPr>
      <w:r>
        <w:t xml:space="preserve">ISIA может требовать проведения оценок и других тестов ИИ-моделей, созданных посредством заявленного обучения или постобучения в пределах ограничений, описанных в Статье IV. Эти тесты дадут информацию о том, нужно ли пересматривать пороги, установленные в Статье IV, Статье V, Статье VII и Статье VIII. Методы, используемые для обзоров, будут определяться ISIA и могут обновляться.</w:t>
      </w:r>
    </w:p>
    <w:p>
      <w:pPr>
        <w:numPr>
          <w:ilvl w:val="0"/>
          <w:numId w:val="1146"/>
        </w:numPr>
      </w:pPr>
      <w:r>
        <w:t xml:space="preserve">Оценки должны проводиться официальными лицами ISIA на объектах ISIA или в контролируемых CCC. Официальные представители Сторон Договора могут быть проинформированы о том, какие тесты проводятся, и ISIA может предоставить краткое изложение результатов тестов. Стороны не получат доступа к ИИ-моделям, которые они не обучали, за исключением случаев предоставления доступа владельцем модели. ISIA предпримет шаги для обеспечения безопасности конфиденциальной информации.</w:t>
      </w:r>
    </w:p>
    <w:p>
      <w:pPr>
        <w:numPr>
          <w:ilvl w:val="0"/>
          <w:numId w:val="1146"/>
        </w:numPr>
      </w:pPr>
      <w:r>
        <w:t xml:space="preserve">ISIA может делиться подробной информацией со Сторонами или общественностью, если Генеральный директор сочтет, что это может быть необходимо для снижения вероятности вымирания человечества от передового ИИ.</w:t>
      </w:r>
    </w:p>
    <w:p>
      <w:r>
        <w:pict>
          <v:rect style="width:0;height:1.5pt" o:hralign="center" o:hrstd="t" o:hr="t"/>
        </w:pict>
      </w:r>
    </w:p>
    <w:bookmarkStart w:id="186" w:name="примечания-11"/>
    <w:p>
      <w:pPr>
        <w:pStyle w:val="Heading3"/>
      </w:pPr>
      <w:r>
        <w:t xml:space="preserve">Примечания</w:t>
      </w:r>
    </w:p>
    <w:p>
      <w:pPr>
        <w:pStyle w:val="FirstParagraph"/>
      </w:pPr>
      <w:r>
        <w:t xml:space="preserve">Цель этой Статьи – гарантировать, что в случае развития ИИ ISIA будет в курсе. Например, обзор заявленного обучения позволит ISIA понять, какого уровня способностей ИИ можно достичь при каких затратах FLOP на обучение.</w:t>
      </w:r>
    </w:p>
    <w:p>
      <w:pPr>
        <w:pStyle w:val="BodyText"/>
      </w:pPr>
      <w:r>
        <w:t xml:space="preserve">Даже при запрете алгоритмических исследований может быть прогресс, который нельзя эффективно остановить. ISIA должно его отслеживать. Еще ISIA должно следить за прогрессом</w:t>
      </w:r>
      <w:r>
        <w:t xml:space="preserve"> </w:t>
      </w:r>
      <w:r>
        <w:rPr>
          <w:i/>
          <w:iCs/>
        </w:rPr>
        <w:t xml:space="preserve">проявления</w:t>
      </w:r>
      <w:r>
        <w:t xml:space="preserve"> </w:t>
      </w:r>
      <w:r>
        <w:t xml:space="preserve">возможностей. Например, могут найти новые методы промптинга, благодаря которым у старого ИИ сильно вырастет какая-то критическая метрика. Это лишь два примера. В разработке ИИ много чего может меняться. В итоге может потребоваться изменить пороги из Статей IV и V и определения Ограниченных исследований из Статьи VIII. Обзоры – механизм, нужный, чтобы ISIA лучше понимало состояние способностей возможностей ИИ и правильно реагировало.</w:t>
      </w:r>
    </w:p>
    <w:p>
      <w:pPr>
        <w:pStyle w:val="BodyText"/>
      </w:pPr>
      <w:r>
        <w:t xml:space="preserve">Учитывая запреты на крупные запуски обучения и алгоритмические достижения, такая статья может и не быть строго обязательной. Но обзоры кажутся уместными. Они помогут миру позволить себе и дальше использовать современные ИИ вроде ChatGPT, не рискуя гонкой к суперинтеллекту.</w:t>
      </w:r>
    </w:p>
    <w:p>
      <w:pPr>
        <w:pStyle w:val="BodyText"/>
      </w:pPr>
      <w:r>
        <w:t xml:space="preserve">Обзоры ISIA могут оценивать опасные способности. Надо убеждаться, что ИИ не становятся слишком способными в конкретных областях. Ещё можно смотреть на обучающие данные. Это поможет гарантировать, что ИИ не обучают для конкретных опасных задач (вроде автоматизации исследований ИИ). Можно и другими путями тестировать ИИ на неожиданное поведение.</w:t>
      </w:r>
    </w:p>
    <w:p>
      <w:r>
        <w:pict>
          <v:rect style="width:0;height:1.5pt" o:hralign="center" o:hrstd="t" o:hr="t"/>
        </w:pict>
      </w:r>
    </w:p>
    <w:bookmarkEnd w:id="186"/>
    <w:bookmarkStart w:id="188" w:name="прецеденты-12"/>
    <w:p>
      <w:pPr>
        <w:pStyle w:val="Heading3"/>
      </w:pPr>
      <w:r>
        <w:t xml:space="preserve">Прецеденты</w:t>
      </w:r>
    </w:p>
    <w:p>
      <w:pPr>
        <w:pStyle w:val="FirstParagraph"/>
      </w:pPr>
      <w:r>
        <w:t xml:space="preserve">У тестов и надзора ISIA те же прецеденты, что у проверки использования чипов (Статья VII). Особенно актуален протокол обмена телеметрией из СНВ-1. Тут мы добавляем ещё и использование собранной информации для потенциальной корректировки порогов (а прецеденты для этого мы обсудим после Статьи XIV).</w:t>
      </w:r>
    </w:p>
    <w:p>
      <w:pPr>
        <w:pStyle w:val="BodyText"/>
      </w:pPr>
      <w:r>
        <w:t xml:space="preserve">Что касается неизбежного конфликта между раскрытием информации общественности (Пункт 3) и положениями о консолидации информации (Статья X): положение о конфиденциальности</w:t>
      </w:r>
      <w:r>
        <w:rPr>
          <w:rStyle w:val="FootnoteReference"/>
        </w:rPr>
        <w:footnoteReference w:id="187"/>
      </w:r>
      <w:r>
        <w:t xml:space="preserve"> </w:t>
      </w:r>
      <w:r>
        <w:t xml:space="preserve">в Статье VII</w:t>
      </w:r>
      <w:r>
        <w:t xml:space="preserve"> </w:t>
      </w:r>
      <w:hyperlink r:id="rId38">
        <w:r>
          <w:rPr>
            <w:rStyle w:val="Hyperlink"/>
          </w:rPr>
          <w:t xml:space="preserve">Устава МАГАТЭ</w:t>
        </w:r>
      </w:hyperlink>
      <w:r>
        <w:t xml:space="preserve"> </w:t>
      </w:r>
      <w:r>
        <w:t xml:space="preserve">не мешало ему публиковать регулярные и подробные отчеты. Они касались крупных событий в области и их последствий для глобальной безопасности.</w:t>
      </w:r>
    </w:p>
    <w:p>
      <w:r>
        <w:pict>
          <v:rect style="width:0;height:1.5pt" o:hralign="center" o:hrstd="t" o:hr="t"/>
        </w:pict>
      </w:r>
    </w:p>
    <w:bookmarkEnd w:id="188"/>
    <w:bookmarkEnd w:id="189"/>
    <w:bookmarkStart w:id="194" w:name="статья-xiv-процесс-пересмотра-договора"/>
    <w:p>
      <w:pPr>
        <w:pStyle w:val="Heading2"/>
      </w:pPr>
      <w:r>
        <w:t xml:space="preserve">Статья XIV: Процесс пересмотра Договора</w:t>
      </w:r>
    </w:p>
    <w:p>
      <w:pPr>
        <w:numPr>
          <w:ilvl w:val="0"/>
          <w:numId w:val="1147"/>
        </w:numPr>
      </w:pPr>
      <w:r>
        <w:t xml:space="preserve">Любое Государство-Сторона может предлагать поправки к настоящему Договору. «Поправками» считаются изменения основного текста и статей Договора. Поправки включают пересмотр целей Статей Договора. Согласно Статье III, Технический секретариат ISIA, при отсутствии вето со стороны Исполнительного совета, может изменять конкретные определения и методы реализации, в частности, относящиеся к Статье IV, Статье V, Статье VI, Статье VII, Статье VIII, Статье IX и Статье X. Фундаментальные изменения целей этих Статей или процедур голосования требуют Поправки.</w:t>
      </w:r>
    </w:p>
    <w:p>
      <w:pPr>
        <w:numPr>
          <w:ilvl w:val="0"/>
          <w:numId w:val="1147"/>
        </w:numPr>
      </w:pPr>
      <w:r>
        <w:t xml:space="preserve">Предлагаемые Поправки представляются Генеральному директору ISIA и рассылаются Государствам-Сторонам.</w:t>
      </w:r>
    </w:p>
    <w:p>
      <w:pPr>
        <w:numPr>
          <w:ilvl w:val="0"/>
          <w:numId w:val="1147"/>
        </w:numPr>
      </w:pPr>
      <w:r>
        <w:t xml:space="preserve">Чтобы поправка была официально рассмотрена, ее рассмотрение должна поддержать одна треть или более Государств-Сторон.</w:t>
      </w:r>
    </w:p>
    <w:p>
      <w:pPr>
        <w:numPr>
          <w:ilvl w:val="0"/>
          <w:numId w:val="1147"/>
        </w:numPr>
      </w:pPr>
      <w:r>
        <w:t xml:space="preserve">Поправки к основному тексту договора не считаются ратифицированными до тех пор, пока они не будут приняты всеми Государствами-Сторонами (при отсутствии голосов против).</w:t>
      </w:r>
    </w:p>
    <w:p>
      <w:pPr>
        <w:numPr>
          <w:ilvl w:val="0"/>
          <w:numId w:val="1147"/>
        </w:numPr>
      </w:pPr>
      <w:r>
        <w:t xml:space="preserve">Если Исполнительный совет рекомендует всем Государствам-Сторонам принять предложение, изменения будут считаться одобренными, если ни одно Государство-Сторона не отклонит их в течение 90 дней.</w:t>
      </w:r>
    </w:p>
    <w:p>
      <w:pPr>
        <w:numPr>
          <w:ilvl w:val="0"/>
          <w:numId w:val="1147"/>
        </w:numPr>
      </w:pPr>
      <w:r>
        <w:t xml:space="preserve">Через три года после вступления настоящего Договора в силу в Женеве (Швейцария) проводится Конференция Сторон для рассмотрения действия настоящего Договора с целью удостовериться, что цели, изложенные в преамбуле, и положения Договора осуществляются. В дальнейшем с интервалом в три года Стороны Договора созывают последующие конференции с той же целью рассмотрения действия Договора.</w:t>
      </w:r>
    </w:p>
    <w:p>
      <w:r>
        <w:pict>
          <v:rect style="width:0;height:1.5pt" o:hralign="center" o:hrstd="t" o:hr="t"/>
        </w:pict>
      </w:r>
    </w:p>
    <w:bookmarkStart w:id="190" w:name="примечания-12"/>
    <w:p>
      <w:pPr>
        <w:pStyle w:val="Heading3"/>
      </w:pPr>
      <w:r>
        <w:t xml:space="preserve">Примечания</w:t>
      </w:r>
    </w:p>
    <w:p>
      <w:pPr>
        <w:pStyle w:val="FirstParagraph"/>
      </w:pPr>
      <w:r>
        <w:t xml:space="preserve">Тут описан процесс внесения крупных изменений в структуру Договора. Для таких правок нужна существенная поддержка Сторон. Планка высока. А вот детали реализации большей части Договора менять куда проще (см. Статью III). Быстрый темп изменений в сфере ИИ вынуждает к этому. Более крупный пересмотр целей Договора можно проводить и через медленные процедуры, как описанная тут.</w:t>
      </w:r>
    </w:p>
    <w:p>
      <w:r>
        <w:pict>
          <v:rect style="width:0;height:1.5pt" o:hralign="center" o:hrstd="t" o:hr="t"/>
        </w:pict>
      </w:r>
    </w:p>
    <w:bookmarkEnd w:id="190"/>
    <w:bookmarkStart w:id="193" w:name="прецеденты-13"/>
    <w:p>
      <w:pPr>
        <w:pStyle w:val="Heading3"/>
      </w:pPr>
      <w:r>
        <w:t xml:space="preserve">Прецеденты</w:t>
      </w:r>
    </w:p>
    <w:p>
      <w:pPr>
        <w:pStyle w:val="FirstParagraph"/>
      </w:pPr>
      <w:r>
        <w:t xml:space="preserve">Процесс внесения поправок в ДНЯО весьма жесткий. Требуется одобрение «большинством голосов всех Участников Договора». Формальные изменения специально сделаны крайне сложными. Наш проект в этом аналогичен. Надо укрепить соглашение против сиюминутных позывов ослабить ограничения или суть.</w:t>
      </w:r>
    </w:p>
    <w:p>
      <w:pPr>
        <w:pStyle w:val="BodyText"/>
      </w:pPr>
      <w:r>
        <w:t xml:space="preserve">Договоры, которые трудно изменить (а значит, и ослабить), для усиления по мере необходимости полагаются на отдельные механизмы. В ДНЯО ни разу не вносились поправки. Но он адаптировался через Конференцию Участников Договора. Статья VIII ДНЯО указывает, что та проходит раз в пять лет. Там принимаются консенсусные соглашения «с целью удостовериться, что цели, изложенные в преамбуле, и положения Договора осуществляются».</w:t>
      </w:r>
    </w:p>
    <w:p>
      <w:pPr>
        <w:pStyle w:val="BodyText"/>
      </w:pPr>
      <w:r>
        <w:t xml:space="preserve">Аналогично, Статья XII</w:t>
      </w:r>
      <w:r>
        <w:t xml:space="preserve"> </w:t>
      </w:r>
      <w:hyperlink r:id="rId191">
        <w:r>
          <w:rPr>
            <w:rStyle w:val="Hyperlink"/>
          </w:rPr>
          <w:t xml:space="preserve">Конвенции о биологическом оружии</w:t>
        </w:r>
      </w:hyperlink>
      <w:r>
        <w:t xml:space="preserve"> </w:t>
      </w:r>
      <w:r>
        <w:t xml:space="preserve">1975 года полагается на свои пятилетние Конференции. Они укрепляют договор через необязательные Меры по укреплению доверия. Формальные поправки редки. Наше соглашение предусматривает конференцию раз в три года, потому что сфера ИИ меняется быстро. Возможно, понадобиться ещё чаще.</w:t>
      </w:r>
    </w:p>
    <w:p>
      <w:pPr>
        <w:pStyle w:val="BodyText"/>
      </w:pPr>
      <w:r>
        <w:t xml:space="preserve">Статья XV КЗХО различает поправки и изменения, которые «касаются лишь вопросов административного или технического характера». Для вторых условия одобрения не такие строгие. В наш проект тоже можно добавить подобные формулировки. Это сделает управление будущими разработками в области ИИ более гибким.</w:t>
      </w:r>
    </w:p>
    <w:p>
      <w:pPr>
        <w:pStyle w:val="BodyText"/>
      </w:pPr>
      <w:r>
        <w:t xml:space="preserve">В Статье XV</w:t>
      </w:r>
      <w:r>
        <w:t xml:space="preserve"> </w:t>
      </w:r>
      <w:hyperlink r:id="rId192">
        <w:r>
          <w:rPr>
            <w:rStyle w:val="Hyperlink"/>
          </w:rPr>
          <w:t xml:space="preserve">Договора о космосе</w:t>
        </w:r>
      </w:hyperlink>
      <w:r>
        <w:t xml:space="preserve"> </w:t>
      </w:r>
      <w:r>
        <w:t xml:space="preserve">есть пункт о поправках. Но формально договор никогда не менялся. Вместо этого для решения новых космических проблем заключались новые договоры. Это другой вариант, как можно устранять выявленные недочёты договора о ИИ.</w:t>
      </w:r>
    </w:p>
    <w:p>
      <w:r>
        <w:pict>
          <v:rect style="width:0;height:1.5pt" o:hralign="center" o:hrstd="t" o:hr="t"/>
        </w:pict>
      </w:r>
    </w:p>
    <w:bookmarkEnd w:id="193"/>
    <w:bookmarkEnd w:id="194"/>
    <w:bookmarkStart w:id="202" w:name="X693e7ddeb0ee957800cc591e1379c48b4e0aadc"/>
    <w:p>
      <w:pPr>
        <w:pStyle w:val="Heading2"/>
      </w:pPr>
      <w:r>
        <w:t xml:space="preserve">Статья XV: Выход из Договора и срок действия Договора</w:t>
      </w:r>
    </w:p>
    <w:p>
      <w:pPr>
        <w:numPr>
          <w:ilvl w:val="0"/>
          <w:numId w:val="1148"/>
        </w:numPr>
      </w:pPr>
      <w:r>
        <w:t xml:space="preserve">Настоящий Договор является бессрочным.</w:t>
      </w:r>
    </w:p>
    <w:p>
      <w:pPr>
        <w:numPr>
          <w:ilvl w:val="0"/>
          <w:numId w:val="1148"/>
        </w:numPr>
      </w:pPr>
      <w:r>
        <w:t xml:space="preserve">Каждая Сторона в порядке осуществления своего государственного суверенитета имеет право выйти из Договора, если она решит, что чрезвычайные обстоятельства, связанные с содержанием настоящего Договора, поставили под угрозу высшие интересы ее страны. Сторона должна уведомить ISIA о таком выходе за 12 месяцев.</w:t>
      </w:r>
    </w:p>
    <w:p>
      <w:pPr>
        <w:numPr>
          <w:ilvl w:val="0"/>
          <w:numId w:val="1148"/>
        </w:numPr>
      </w:pPr>
      <w:r>
        <w:t xml:space="preserve">В течение этого 12-месячного периода выходящее государство сотрудничает с усилиями ISIA по удостоверению того, что после выхода выходящее государство будет не в состоянии разрабатывать, обучать, дообучать или развертывать опасные системы ИИ, включая ИСИ или системы, превышающие пороги Договора. Выходящие государства признают, что такое сотрудничество помогает ISIA и Сторонам избежать применения Статьи XII.</w:t>
      </w:r>
    </w:p>
    <w:p>
      <w:pPr>
        <w:pStyle w:val="Compact"/>
        <w:numPr>
          <w:ilvl w:val="1"/>
          <w:numId w:val="1149"/>
        </w:numPr>
      </w:pPr>
    </w:p>
    <w:p>
      <w:pPr>
        <w:pStyle w:val="Compact"/>
        <w:numPr>
          <w:ilvl w:val="2"/>
          <w:numId w:val="1150"/>
        </w:numPr>
      </w:pPr>
      <w:r>
        <w:t xml:space="preserve">В частности, выходящее государство под надзором ISIA вывозит все подпадающие под действие кластеры чипов и активы, способствующие созданию ИСИ (например, оборудование для производства передовых компьютерных чипов), со своей территории под одобренный ISIA контроль или приводит их в постоянную негодность (как описано в Статье V).</w:t>
      </w:r>
    </w:p>
    <w:p>
      <w:pPr>
        <w:numPr>
          <w:ilvl w:val="0"/>
          <w:numId w:val="1148"/>
        </w:numPr>
      </w:pPr>
      <w:r>
        <w:t xml:space="preserve">Ничто в настоящей Статье не ограничивает применимость Статьи XII. Вышедшее государство (которое, следовательно, не является Стороной), остается объектом Защитных Действий, если достоверные доказательства указывают на деятельность, направленную на разработку или развертывание ИСИ.</w:t>
      </w:r>
    </w:p>
    <w:p>
      <w:r>
        <w:pict>
          <v:rect style="width:0;height:1.5pt" o:hralign="center" o:hrstd="t" o:hr="t"/>
        </w:pict>
      </w:r>
    </w:p>
    <w:bookmarkStart w:id="196" w:name="примечания-13"/>
    <w:p>
      <w:pPr>
        <w:pStyle w:val="Heading3"/>
      </w:pPr>
      <w:r>
        <w:t xml:space="preserve">Примечания</w:t>
      </w:r>
    </w:p>
    <w:p>
      <w:pPr>
        <w:pStyle w:val="FirstParagraph"/>
      </w:pPr>
      <w:r>
        <w:t xml:space="preserve">Исследования и разработка ИСИ очень опасны. И есть риск, что если одна страна решит выйти из договора и начать гонку к суперинтеллекту, то другие последуют за ней. С учётом всего этого для выхода из договора должны быть серьёзные барьеры.</w:t>
      </w:r>
    </w:p>
    <w:p>
      <w:pPr>
        <w:pStyle w:val="BodyText"/>
      </w:pPr>
      <w:r>
        <w:t xml:space="preserve">На практике это сложно. Например, Северная Корея вышла из ДНЯО, чтобы продолжить свою деятельность по заполучению ядерного оружия. Резолюции СБ ООН и связанные с ними санкций её не остановили. Последствий оказалось недостаточно, чтобы заставить Северную Корею прекратить.</w:t>
      </w:r>
    </w:p>
    <w:p>
      <w:pPr>
        <w:pStyle w:val="BodyText"/>
      </w:pPr>
      <w:r>
        <w:t xml:space="preserve">Договор даёт понять, что если страны хотят из него выйти, то в глазах всех Сторон они отказываются от права на инфраструктуру ИИ. И что они станут объектом Защитных Действий согласно Статье XII. Любые дальнейшие переговоры вокруг проблемы ИСИ (например, чтобы избежать Защитных Действий) придётся вести с заинтересованными Сторонами.</w:t>
      </w:r>
    </w:p>
    <w:p>
      <w:pPr>
        <w:pStyle w:val="BodyText"/>
      </w:pPr>
      <w:r>
        <w:t xml:space="preserve">Если возможность выхода из договора достаточно тревожит, можно добавить механизмы, затрудняющие опасные действия после него. Например, США и Китай могли бы договориться об установке взаимных «аварийных рубильников» внутри остающихся дата-центров. Тогда обе стороны при желании смогут навсегда их отключить. Или они могут принять многосторонний режим лицензирования. При нём все новые ИИ-чипы должны будут производиться с</w:t>
      </w:r>
      <w:r>
        <w:t xml:space="preserve"> </w:t>
      </w:r>
      <w:hyperlink r:id="rId195">
        <w:r>
          <w:rPr>
            <w:rStyle w:val="Hyperlink"/>
          </w:rPr>
          <w:t xml:space="preserve">аппаратными блокировками</w:t>
        </w:r>
      </w:hyperlink>
      <w:r>
        <w:t xml:space="preserve">. И для продолжения работы потребуется одобрение нескольких стран. Если одна страна выйдет из договора, другие могут своё одобрение отозвать. Еще одна идея – перенос ключевой инфраструктуры ИИ в третьи страны. Тогда, если сторона выходит из договора, её инфраструктуру можно конфисковать или уничтожить. В нашем проекте методы сдерживания минимальны, но возможностей много. А благодаря технологическим инновациям станет ещё больше.</w:t>
      </w:r>
    </w:p>
    <w:p>
      <w:pPr>
        <w:pStyle w:val="BodyText"/>
      </w:pPr>
      <w:r>
        <w:t xml:space="preserve">Этот проект договора сфокусирован на предотвращении опасной разработки ИИ. Он не предлагает конкретного позитивного видения, как разработки можно будет когда-нибудь продолжить. Например, можно было бы включить сюда совместные инвестиции в аугментацию человека. Но людям не обязательно принимать эти детали, чтобы согласиться – гонку к суперинтеллекту нужно остановить (см. раздел «Работать над остановкой суперинтеллекта можно, даже если вы несогласны по поводу усовершенствования людей.» материалов к Главе 13). Поэтому тут мы это опустили.</w:t>
      </w:r>
    </w:p>
    <w:p>
      <w:r>
        <w:pict>
          <v:rect style="width:0;height:1.5pt" o:hralign="center" o:hrstd="t" o:hr="t"/>
        </w:pict>
      </w:r>
    </w:p>
    <w:bookmarkEnd w:id="196"/>
    <w:bookmarkStart w:id="201" w:name="прецеденты-14"/>
    <w:p>
      <w:pPr>
        <w:pStyle w:val="Heading3"/>
      </w:pPr>
      <w:r>
        <w:t xml:space="preserve">Прецеденты</w:t>
      </w:r>
    </w:p>
    <w:p>
      <w:pPr>
        <w:pStyle w:val="FirstParagraph"/>
      </w:pPr>
      <w:r>
        <w:t xml:space="preserve">Отсутствие срока действия – обычное дело. Первый пункт</w:t>
      </w:r>
      <w:r>
        <w:t xml:space="preserve"> </w:t>
      </w:r>
      <w:hyperlink r:id="rId35">
        <w:r>
          <w:rPr>
            <w:rStyle w:val="Hyperlink"/>
          </w:rPr>
          <w:t xml:space="preserve">Статьи XVI КЗХО</w:t>
        </w:r>
      </w:hyperlink>
      <w:r>
        <w:t xml:space="preserve"> </w:t>
      </w:r>
      <w:r>
        <w:t xml:space="preserve">гласит: «Настоящая Конвенция является бессрочной».</w:t>
      </w:r>
    </w:p>
    <w:p>
      <w:pPr>
        <w:pStyle w:val="BodyText"/>
      </w:pPr>
      <w:r>
        <w:t xml:space="preserve">Бессрочные договоры не обязательно длятся вечно.</w:t>
      </w:r>
      <w:r>
        <w:rPr>
          <w:rStyle w:val="FootnoteReference"/>
        </w:rPr>
        <w:footnoteReference w:id="197"/>
      </w:r>
      <w:r>
        <w:t xml:space="preserve"> </w:t>
      </w:r>
      <w:r>
        <w:t xml:space="preserve">Но они обычно предоставляют механизм для выхода. Как правило, есть обязательный срок уведомления и другие условия, которые позволят уйти как можно меньше тревожа оставшиеся стороны. В той же статье КЗХО позволяет государству выйти, «если оно решит, что чрезвычайные события, касающиеся предмета настоящей Конвенции, поставили под угрозу высшие интересы его страны.». Выходящая страна должна уведомить за 90 дней. Статья XVI</w:t>
      </w:r>
      <w:r>
        <w:t xml:space="preserve"> </w:t>
      </w:r>
      <w:hyperlink r:id="rId192">
        <w:r>
          <w:rPr>
            <w:rStyle w:val="Hyperlink"/>
          </w:rPr>
          <w:t xml:space="preserve">Договора о космосе</w:t>
        </w:r>
      </w:hyperlink>
      <w:r>
        <w:t xml:space="preserve"> </w:t>
      </w:r>
      <w:r>
        <w:t xml:space="preserve">требует уведомления за год.</w:t>
      </w:r>
    </w:p>
    <w:p>
      <w:pPr>
        <w:pStyle w:val="BodyText"/>
      </w:pPr>
      <w:r>
        <w:t xml:space="preserve">Наш проект договора требует уведомления за 12 месяцев. Это даёт достаточно времени для мер из Пункта 3. Цель этих мер (которые выходят за рамки того, что мы легко находим в исторических примерах положений о выходе) – снизить потенциальную потребность Защитных Действий против выходящей Стороны. Ведь ни одной Стороне и ни одному государству, не являющемуся Стороной, нельзя позволить создать ИСИ или ослабить способность мира предотвратить его создание.</w:t>
      </w:r>
    </w:p>
    <w:p>
      <w:pPr>
        <w:pStyle w:val="BodyText"/>
      </w:pPr>
      <w:r>
        <w:t xml:space="preserve">Исторический прецедент, как вышедшая сторона осталась объектом защитных действий:</w:t>
      </w:r>
      <w:r>
        <w:t xml:space="preserve"> </w:t>
      </w:r>
      <w:hyperlink r:id="rId200">
        <w:r>
          <w:rPr>
            <w:rStyle w:val="Hyperlink"/>
          </w:rPr>
          <w:t xml:space="preserve">Резолюция Совета Безопасности ООН 1718</w:t>
        </w:r>
      </w:hyperlink>
      <w:r>
        <w:t xml:space="preserve">. Она наложила санкции против Северной Кореи после её ядерного испытания 2006 года. То, что Северная Корея до этого вышла из ДНЯО, не помешало.</w:t>
      </w:r>
    </w:p>
    <w:p>
      <w:r>
        <w:pict>
          <v:rect style="width:0;height:1.5pt" o:hralign="center" o:hrstd="t" o:hr="t"/>
        </w:pict>
      </w:r>
    </w:p>
    <w:bookmarkEnd w:id="201"/>
    <w:bookmarkEnd w:id="202"/>
    <w:bookmarkEnd w:id="20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Возможно, обеспокоенные искусственным суперинтеллектом государства предпочли бы начинать с меньших шагов. Например, пока не закрывать исследования и разработки ИИ, но оставить открытой возможность закрыть их в будущем. Не советуем. Мы считаем, что ситуация уже явно неприемлема. Не факт, что она станет так уж очевиднее, пока не станет слишком поздно (см. раздел «Будут ли „предупредительные выстрелы“?» материалов к Главе 13). Но группа технического управления MIRI всё равно работает и над предложениями для таких сценариев. Вдруг пригодится. Вы можете следить за их работой</w:t>
      </w:r>
      <w:r>
        <w:t xml:space="preserve"> </w:t>
      </w:r>
      <w:hyperlink r:id="rId10">
        <w:r>
          <w:rPr>
            <w:rStyle w:val="Hyperlink"/>
          </w:rPr>
          <w:t xml:space="preserve">здесь</w:t>
        </w:r>
      </w:hyperlink>
      <w:r>
        <w:t xml:space="preserve">.</w:t>
      </w:r>
    </w:p>
  </w:footnote>
  <w:footnote w:id="11">
    <w:p>
      <w:pPr>
        <w:pStyle w:val="FootnoteText"/>
      </w:pPr>
      <w:r>
        <w:rPr>
          <w:rStyle w:val="FootnoteReference"/>
        </w:rPr>
        <w:footnoteRef/>
      </w:r>
      <w:r>
        <w:t xml:space="preserve"> </w:t>
      </w:r>
      <w:r>
        <w:t xml:space="preserve">Так обстоит дело с соглашениями о ядерном оружии. Отдельные договоры создали МАГАТЭ (</w:t>
      </w:r>
      <w:hyperlink r:id="rId12">
        <w:r>
          <w:rPr>
            <w:rStyle w:val="Hyperlink"/>
          </w:rPr>
          <w:t xml:space="preserve">1956 г.</w:t>
        </w:r>
      </w:hyperlink>
      <w:r>
        <w:t xml:space="preserve">, Конференцией по выработке Устава Международного агентства по атомной энергии, проходившей в штаб-квартире ООН), ввели режим нераспространения (ДНЯО,</w:t>
      </w:r>
      <w:r>
        <w:t xml:space="preserve"> </w:t>
      </w:r>
      <w:hyperlink r:id="rId13">
        <w:r>
          <w:rPr>
            <w:rStyle w:val="Hyperlink"/>
          </w:rPr>
          <w:t xml:space="preserve">1970 г.</w:t>
        </w:r>
      </w:hyperlink>
      <w:r>
        <w:t xml:space="preserve">, путем переговоров в Комитете 18-ти государств по разоружению ООН) и контроль над вооружениями, (например, СНВ, в</w:t>
      </w:r>
      <w:r>
        <w:t xml:space="preserve"> </w:t>
      </w:r>
      <w:hyperlink r:id="rId14">
        <w:r>
          <w:rPr>
            <w:rStyle w:val="Hyperlink"/>
          </w:rPr>
          <w:t xml:space="preserve">1991 г.</w:t>
        </w:r>
      </w:hyperlink>
      <w:r>
        <w:t xml:space="preserve">, после девяти лет переговоров между США и СССР).</w:t>
      </w:r>
    </w:p>
  </w:footnote>
  <w:footnote w:id="16">
    <w:p>
      <w:pPr>
        <w:pStyle w:val="FootnoteText"/>
      </w:pPr>
      <w:r>
        <w:rPr>
          <w:rStyle w:val="FootnoteReference"/>
        </w:rPr>
        <w:footnoteRef/>
      </w:r>
      <w:r>
        <w:t xml:space="preserve"> </w:t>
      </w:r>
      <w:hyperlink r:id="rId13">
        <w:r>
          <w:rPr>
            <w:rStyle w:val="Hyperlink"/>
          </w:rPr>
          <w:t xml:space="preserve">Договор о нераспространении ядерного оружия</w:t>
        </w:r>
      </w:hyperlink>
      <w:r>
        <w:t xml:space="preserve"> </w:t>
      </w:r>
      <w:r>
        <w:t xml:space="preserve">(ДНЯО) вступил в силу в 1970 году и был бессрочно продлен в 1995 году. В нём состоят почти все государства (191 участник). В преамбуле он подчёркивает глобальную опасность распространения ядерного оружия. Но при этом подтверждая, что блага мирного применения ядерной энергии должны быть доступны всем Сторонам.</w:t>
      </w:r>
    </w:p>
  </w:footnote>
  <w:footnote w:id="19">
    <w:p>
      <w:pPr>
        <w:pStyle w:val="FootnoteText"/>
      </w:pPr>
      <w:r>
        <w:rPr>
          <w:rStyle w:val="FootnoteReference"/>
        </w:rPr>
        <w:footnoteRef/>
      </w:r>
      <w:r>
        <w:t xml:space="preserve"> </w:t>
      </w:r>
      <w:r>
        <w:t xml:space="preserve">Обычно признаётся заслуга ДНЯО в том, что государств с ядерным оружием куда меньше, чем могло бы быть. Но всё же были случаи приобретения оружия не подписавшими договор (Индия, Пакистан, Израиль) и вышедшими из него (Северная Корея) странами. Создание даже одного ИСИ любым неподписавшим государством сопоставимо по опасности с массовым обменом термоядерными ударами и должно рассматриваться соответственно.</w:t>
      </w:r>
    </w:p>
  </w:footnote>
  <w:footnote w:id="22">
    <w:p>
      <w:pPr>
        <w:pStyle w:val="FootnoteText"/>
      </w:pPr>
      <w:r>
        <w:rPr>
          <w:rStyle w:val="FootnoteReference"/>
        </w:rPr>
        <w:footnoteRef/>
      </w:r>
      <w:r>
        <w:t xml:space="preserve"> </w:t>
      </w:r>
      <w:r>
        <w:t xml:space="preserve">Конвенция о запрещении или ограничении применения конкретных видов обычного оружия, которые могут считаться наносящими чрезмерные повреждения или имеющими неизбирательное действие (КНО), вступила в силу в 1983 году. По состоянию на 2024 год её 128 участников обязуются защищать комбатантов и некомбатантов от ненужных и чудовищных страданий, ограничивая некоторые категории вооружений.</w:t>
      </w:r>
    </w:p>
  </w:footnote>
  <w:footnote w:id="26">
    <w:p>
      <w:pPr>
        <w:pStyle w:val="FootnoteText"/>
      </w:pPr>
      <w:r>
        <w:rPr>
          <w:rStyle w:val="FootnoteReference"/>
        </w:rPr>
        <w:footnoteRef/>
      </w:r>
      <w:r>
        <w:t xml:space="preserve"> </w:t>
      </w:r>
      <w:r>
        <w:t xml:space="preserve">Это вдвое больше того, что мы в книге упоминали как явно безопасное. Это, скорее всего, всё ещё хоть какое-то время безопасно. Оценка (и изменение с течением времени) правильных ограничений – предмет Статьи III, Статьи V и Статьи XIII.</w:t>
      </w:r>
    </w:p>
  </w:footnote>
  <w:footnote w:id="33">
    <w:p>
      <w:pPr>
        <w:pStyle w:val="FootnoteText"/>
      </w:pPr>
      <w:r>
        <w:rPr>
          <w:rStyle w:val="FootnoteReference"/>
        </w:rPr>
        <w:footnoteRef/>
      </w:r>
      <w:r>
        <w:t xml:space="preserve"> </w:t>
      </w:r>
      <w:hyperlink r:id="rId34">
        <w:r>
          <w:rPr>
            <w:rStyle w:val="Hyperlink"/>
          </w:rPr>
          <w:t xml:space="preserve">Организация по запрещению химического оружия</w:t>
        </w:r>
      </w:hyperlink>
      <w:r>
        <w:t xml:space="preserve"> </w:t>
      </w:r>
      <w:r>
        <w:t xml:space="preserve">(ОЗХО) помимо прочих функций, каждых для</w:t>
      </w:r>
      <w:r>
        <w:t xml:space="preserve"> </w:t>
      </w:r>
      <w:hyperlink r:id="rId35">
        <w:r>
          <w:rPr>
            <w:rStyle w:val="Hyperlink"/>
          </w:rPr>
          <w:t xml:space="preserve">Конвенции о запрещении химического оружия</w:t>
        </w:r>
      </w:hyperlink>
      <w:r>
        <w:t xml:space="preserve"> </w:t>
      </w:r>
      <w:r>
        <w:t xml:space="preserve">(КЗХО), проводит инспекции, контролирует уничтожение запасов химического оружия и помогает в подготовке к защите от химического оружия. КЗХО вступила в силу в 1997 году. 193 участника КЗХО работают над обеспечением и поддержанием запрета на использование, разработку и распространение химического оружия и его прекурсоров, с некоторыми узкими исключениями.</w:t>
      </w:r>
    </w:p>
  </w:footnote>
  <w:footnote w:id="37">
    <w:p>
      <w:pPr>
        <w:pStyle w:val="FootnoteText"/>
      </w:pPr>
      <w:r>
        <w:rPr>
          <w:rStyle w:val="FootnoteReference"/>
        </w:rPr>
        <w:footnoteRef/>
      </w:r>
      <w:r>
        <w:t xml:space="preserve"> </w:t>
      </w:r>
      <w:r>
        <w:t xml:space="preserve">МАГАТЭ было создано в 1957 году. ДНЯО заключили более чем через десять лет. ДНЯО поручил этому уже существующему органу некоторые новые функции. В случае с искусственным интеллектом такого международного органа пока не существует. Поэтому наш проект договора обязывает Стороны его создать.</w:t>
      </w:r>
    </w:p>
  </w:footnote>
  <w:footnote w:id="49">
    <w:p>
      <w:pPr>
        <w:pStyle w:val="FootnoteText"/>
      </w:pPr>
      <w:r>
        <w:rPr>
          <w:rStyle w:val="FootnoteReference"/>
        </w:rPr>
        <w:footnoteRef/>
      </w:r>
      <w:r>
        <w:t xml:space="preserve"> </w:t>
      </w:r>
      <w:r>
        <w:t xml:space="preserve">К этому моменту США и СССР уже договорились прекратить другие виды испытаний ядерного оружия. В 1963 году был заключён</w:t>
      </w:r>
      <w:r>
        <w:t xml:space="preserve"> </w:t>
      </w:r>
      <w:hyperlink r:id="rId50">
        <w:r>
          <w:rPr>
            <w:rStyle w:val="Hyperlink"/>
          </w:rPr>
          <w:t xml:space="preserve">Договор о запрещении испытаний ядерного оружия в атмосфере, в космическом пространстве и под водой</w:t>
        </w:r>
      </w:hyperlink>
      <w:r>
        <w:t xml:space="preserve">.</w:t>
      </w:r>
    </w:p>
  </w:footnote>
  <w:footnote w:id="52">
    <w:p>
      <w:pPr>
        <w:pStyle w:val="FootnoteText"/>
      </w:pPr>
      <w:r>
        <w:rPr>
          <w:rStyle w:val="FootnoteReference"/>
        </w:rPr>
        <w:footnoteRef/>
      </w:r>
      <w:r>
        <w:t xml:space="preserve"> </w:t>
      </w:r>
      <w:hyperlink r:id="rId53">
        <w:r>
          <w:rPr>
            <w:rStyle w:val="Hyperlink"/>
          </w:rPr>
          <w:t xml:space="preserve">Договор между Британской империей, Францией, Италией, Японией и Соединенными Штатами Америки об ограничении морских вооружений</w:t>
        </w:r>
      </w:hyperlink>
      <w:r>
        <w:t xml:space="preserve"> </w:t>
      </w:r>
      <w:r>
        <w:t xml:space="preserve">(Вашингтонское морское соглашение) перечисляет подлежащие слому корабли поимённо в таблице в Разделе II.</w:t>
      </w:r>
    </w:p>
  </w:footnote>
  <w:footnote w:id="54">
    <w:p>
      <w:pPr>
        <w:pStyle w:val="FootnoteText"/>
      </w:pPr>
      <w:r>
        <w:rPr>
          <w:rStyle w:val="FootnoteReference"/>
        </w:rPr>
        <w:footnoteRef/>
      </w:r>
      <w:r>
        <w:t xml:space="preserve"> </w:t>
      </w:r>
      <w:hyperlink r:id="rId14">
        <w:r>
          <w:rPr>
            <w:rStyle w:val="Hyperlink"/>
          </w:rPr>
          <w:t xml:space="preserve">Договор о сокращении и ограничении стратегических наступательных вооружений</w:t>
        </w:r>
      </w:hyperlink>
      <w:r>
        <w:t xml:space="preserve"> </w:t>
      </w:r>
      <w:r>
        <w:t xml:space="preserve">был подписан в 1991 году и вступил в силу в 1994 году. Сторонам было запрещено развёртывать более 6000 ядерных боеголовок на в общей сложности 1600 МБР и бомбардировщиках.</w:t>
      </w:r>
    </w:p>
  </w:footnote>
  <w:footnote w:id="71">
    <w:p>
      <w:pPr>
        <w:pStyle w:val="FootnoteText"/>
      </w:pPr>
      <w:r>
        <w:rPr>
          <w:rStyle w:val="FootnoteReference"/>
        </w:rPr>
        <w:footnoteRef/>
      </w:r>
      <w:r>
        <w:t xml:space="preserve"> </w:t>
      </w:r>
      <w:r>
        <w:t xml:space="preserve">Пять постоянных членов Совета Безопасности ООН, Германия, ЕС и Иран окончательно согласовали</w:t>
      </w:r>
      <w:r>
        <w:t xml:space="preserve"> </w:t>
      </w:r>
      <w:hyperlink r:id="rId72">
        <w:r>
          <w:rPr>
            <w:rStyle w:val="Hyperlink"/>
          </w:rPr>
          <w:t xml:space="preserve">Совместный всеобъемлющий план действий</w:t>
        </w:r>
      </w:hyperlink>
      <w:r>
        <w:t xml:space="preserve"> </w:t>
      </w:r>
      <w:r>
        <w:t xml:space="preserve">в 2015 году. Он вступил в силу в январе 2016 года. Иран получил, в частности, снятие санкций в обмен на принятие</w:t>
      </w:r>
      <w:r>
        <w:t xml:space="preserve"> </w:t>
      </w:r>
      <w:hyperlink r:id="rId73">
        <w:r>
          <w:rPr>
            <w:rStyle w:val="Hyperlink"/>
          </w:rPr>
          <w:t xml:space="preserve">ограничений своей ядерной программы</w:t>
        </w:r>
      </w:hyperlink>
      <w:r>
        <w:t xml:space="preserve">.</w:t>
      </w:r>
    </w:p>
  </w:footnote>
  <w:footnote w:id="77">
    <w:p>
      <w:pPr>
        <w:pStyle w:val="FootnoteText"/>
      </w:pPr>
      <w:r>
        <w:rPr>
          <w:rStyle w:val="FootnoteReference"/>
        </w:rPr>
        <w:footnoteRef/>
      </w:r>
      <w:r>
        <w:t xml:space="preserve"> </w:t>
      </w:r>
      <w:r>
        <w:t xml:space="preserve">Переговоры об ограничении стратегических вооружений (ОСВ) между США и СССР начались в 1969 году. Они привели к договору</w:t>
      </w:r>
      <w:r>
        <w:t xml:space="preserve"> </w:t>
      </w:r>
      <w:hyperlink r:id="rId78">
        <w:r>
          <w:rPr>
            <w:rStyle w:val="Hyperlink"/>
          </w:rPr>
          <w:t xml:space="preserve">ОСВ-1</w:t>
        </w:r>
      </w:hyperlink>
      <w:r>
        <w:t xml:space="preserve">. Его подписали в 1972 году. Он заморозил количество пусковых установок стратегических баллистических ракет и регулировал, например, добавление новых баллистических ракет на подводных лодках.</w:t>
      </w:r>
    </w:p>
  </w:footnote>
  <w:footnote w:id="79">
    <w:p>
      <w:pPr>
        <w:pStyle w:val="FootnoteText"/>
      </w:pPr>
      <w:r>
        <w:rPr>
          <w:rStyle w:val="FootnoteReference"/>
        </w:rPr>
        <w:footnoteRef/>
      </w:r>
      <w:r>
        <w:t xml:space="preserve"> </w:t>
      </w:r>
      <w:hyperlink r:id="rId80">
        <w:r>
          <w:rPr>
            <w:rStyle w:val="Hyperlink"/>
          </w:rPr>
          <w:t xml:space="preserve">Договор по противоракетной обороне</w:t>
        </w:r>
      </w:hyperlink>
      <w:r>
        <w:t xml:space="preserve"> </w:t>
      </w:r>
      <w:r>
        <w:t xml:space="preserve">1972 года (ПРО) вырос из переговоров по ОСВ. Он ограничил каждую сторону двумя комплексами противоракетной обороны. А позже – только одним. Причём с ограничениями на вооружение и возможности отслеживания.</w:t>
      </w:r>
    </w:p>
  </w:footnote>
  <w:footnote w:id="81">
    <w:p>
      <w:pPr>
        <w:pStyle w:val="FootnoteText"/>
      </w:pPr>
      <w:r>
        <w:rPr>
          <w:rStyle w:val="FootnoteReference"/>
        </w:rPr>
        <w:footnoteRef/>
      </w:r>
      <w:r>
        <w:t xml:space="preserve"> </w:t>
      </w:r>
      <w:hyperlink r:id="rId82">
        <w:r>
          <w:rPr>
            <w:rStyle w:val="Hyperlink"/>
          </w:rPr>
          <w:t xml:space="preserve">Договор о ликвидации ракет средней и меньшей дальности</w:t>
        </w:r>
      </w:hyperlink>
      <w:r>
        <w:t xml:space="preserve"> </w:t>
      </w:r>
      <w:r>
        <w:t xml:space="preserve">(ДРСМД) был заключён США и СССР в 1987 году. Они договорились запретить большинство систем доставки ядерного оружия с дальностью между тактическими и межконтинентальными системами. (Удары таких систем дают мало времени на реакцию. Поэтому они рассматривались скорее как дестабилизирующие наступательные системы, а не средства обороны.)</w:t>
      </w:r>
    </w:p>
  </w:footnote>
  <w:footnote w:id="106">
    <w:p>
      <w:pPr>
        <w:pStyle w:val="FootnoteText"/>
      </w:pPr>
      <w:r>
        <w:rPr>
          <w:rStyle w:val="FootnoteReference"/>
        </w:rPr>
        <w:footnoteRef/>
      </w:r>
      <w:r>
        <w:t xml:space="preserve"> </w:t>
      </w:r>
      <w:r>
        <w:t xml:space="preserve">Ещё для мер проверки использования чипов очень важны безопасность и конфиденциальность. Стороны захотят гарантировать, что у ISIA есть доступ только к необходимой для проверки информации. Что они не получают доступ к конфиденциальным данным на чипах (например, военные секреты или чувствительные данные пользователей). По возможности надо выбирать безопасные и узкоприменимые методы проверки.</w:t>
      </w:r>
    </w:p>
  </w:footnote>
  <w:footnote w:id="116">
    <w:p>
      <w:pPr>
        <w:pStyle w:val="FootnoteText"/>
      </w:pPr>
      <w:r>
        <w:rPr>
          <w:rStyle w:val="FootnoteReference"/>
        </w:rPr>
        <w:footnoteRef/>
      </w:r>
      <w:r>
        <w:t xml:space="preserve"> </w:t>
      </w:r>
      <w:r>
        <w:t xml:space="preserve">Служба безопасности и инспекции пищевых продуктов (FSIS) – агентство Министерства сельского хозяйства США, созданное в 1977 году.</w:t>
      </w:r>
    </w:p>
  </w:footnote>
  <w:footnote w:id="122">
    <w:p>
      <w:pPr>
        <w:pStyle w:val="FootnoteText"/>
      </w:pPr>
      <w:r>
        <w:rPr>
          <w:rStyle w:val="FootnoteReference"/>
        </w:rPr>
        <w:footnoteRef/>
      </w:r>
      <w:r>
        <w:t xml:space="preserve"> </w:t>
      </w:r>
      <w:r>
        <w:t xml:space="preserve">За Законом об атомной энергии 1946 года последовал</w:t>
      </w:r>
      <w:r>
        <w:t xml:space="preserve"> </w:t>
      </w:r>
      <w:hyperlink r:id="rId123">
        <w:r>
          <w:rPr>
            <w:rStyle w:val="Hyperlink"/>
          </w:rPr>
          <w:t xml:space="preserve">ещё один, в 1954 году</w:t>
        </w:r>
      </w:hyperlink>
      <w:r>
        <w:t xml:space="preserve">. Целью было разрешить гражданскую атомную промышленность. Для этого потребовалось разрешить обмен некоторыми «Ограниченными данными» с частными компаниями.</w:t>
      </w:r>
    </w:p>
  </w:footnote>
  <w:footnote w:id="124">
    <w:p>
      <w:pPr>
        <w:pStyle w:val="FootnoteText"/>
      </w:pPr>
      <w:r>
        <w:rPr>
          <w:rStyle w:val="FootnoteReference"/>
        </w:rPr>
        <w:footnoteRef/>
      </w:r>
      <w:r>
        <w:t xml:space="preserve"> </w:t>
      </w:r>
      <w:r>
        <w:t xml:space="preserve">В 1979 году было дело «</w:t>
      </w:r>
      <w:hyperlink r:id="rId125">
        <w:r>
          <w:rPr>
            <w:rStyle w:val="Hyperlink"/>
          </w:rPr>
          <w:t xml:space="preserve">Соединенные Штаты против The Progressive</w:t>
        </w:r>
      </w:hyperlink>
      <w:r>
        <w:t xml:space="preserve">» о том, что газета намеревалась раскрыть «секрет» водородной бомбы. Это могло бы дать Верховному суду США вынести решение о том, нарушает ли доктрина «секретно по факту создания» защиту свободы слова Первой поправкой. Но дело было прекращено как утратившее актуальность.</w:t>
      </w:r>
    </w:p>
  </w:footnote>
  <w:footnote w:id="130">
    <w:p>
      <w:pPr>
        <w:pStyle w:val="FootnoteText"/>
      </w:pPr>
      <w:r>
        <w:rPr>
          <w:rStyle w:val="FootnoteReference"/>
        </w:rPr>
        <w:footnoteRef/>
      </w:r>
      <w:r>
        <w:t xml:space="preserve"> </w:t>
      </w:r>
      <w:r>
        <w:t xml:space="preserve">Подразделение Министерства торговли США.</w:t>
      </w:r>
    </w:p>
  </w:footnote>
  <w:footnote w:id="134">
    <w:p>
      <w:pPr>
        <w:pStyle w:val="FootnoteText"/>
      </w:pPr>
      <w:r>
        <w:rPr>
          <w:rStyle w:val="FootnoteReference"/>
        </w:rPr>
        <w:footnoteRef/>
      </w:r>
      <w:r>
        <w:t xml:space="preserve"> </w:t>
      </w:r>
      <w:r>
        <w:t xml:space="preserve">За десятилетия это затронуло сотни связанных с криптографией патентов.</w:t>
      </w:r>
    </w:p>
  </w:footnote>
  <w:footnote w:id="138">
    <w:p>
      <w:pPr>
        <w:pStyle w:val="FootnoteText"/>
      </w:pPr>
      <w:r>
        <w:rPr>
          <w:rStyle w:val="FootnoteReference"/>
        </w:rPr>
        <w:footnoteRef/>
      </w:r>
      <w:r>
        <w:t xml:space="preserve"> </w:t>
      </w:r>
      <w:r>
        <w:t xml:space="preserve">В</w:t>
      </w:r>
      <w:r>
        <w:t xml:space="preserve"> </w:t>
      </w:r>
      <w:hyperlink r:id="rId139">
        <w:r>
          <w:rPr>
            <w:rStyle w:val="Hyperlink"/>
          </w:rPr>
          <w:t xml:space="preserve">интервью 2025 года</w:t>
        </w:r>
      </w:hyperlink>
      <w:r>
        <w:t xml:space="preserve"> </w:t>
      </w:r>
      <w:r>
        <w:t xml:space="preserve">Дэвид Луан, глава исследовательской лаборатории Amazon по AGI, высказал оценку, что людей, которым он бы доверил «гигантское количество долларов на вычисления» для разработки передовой модели, «менее 150».</w:t>
      </w:r>
    </w:p>
  </w:footnote>
  <w:footnote w:id="141">
    <w:p>
      <w:pPr>
        <w:pStyle w:val="FootnoteText"/>
      </w:pPr>
      <w:r>
        <w:rPr>
          <w:rStyle w:val="FootnoteReference"/>
        </w:rPr>
        <w:footnoteRef/>
      </w:r>
      <w:r>
        <w:t xml:space="preserve"> </w:t>
      </w:r>
      <w:r>
        <w:t xml:space="preserve">Международный научно-технический центр вырос из</w:t>
      </w:r>
      <w:r>
        <w:t xml:space="preserve"> </w:t>
      </w:r>
      <w:hyperlink r:id="rId142">
        <w:r>
          <w:rPr>
            <w:rStyle w:val="Hyperlink"/>
          </w:rPr>
          <w:t xml:space="preserve">программы Нанна-Лугара по совместному уменьшению угрозы</w:t>
        </w:r>
      </w:hyperlink>
      <w:r>
        <w:t xml:space="preserve"> </w:t>
      </w:r>
      <w:r>
        <w:t xml:space="preserve">1991 года. Это была инициатива США по обеспечению безопасности и демонтажу ОМУ и связанной инфраструктуры в бывшем СССР.</w:t>
      </w:r>
    </w:p>
  </w:footnote>
  <w:footnote w:id="145">
    <w:p>
      <w:pPr>
        <w:pStyle w:val="FootnoteText"/>
      </w:pPr>
      <w:r>
        <w:rPr>
          <w:rStyle w:val="FootnoteReference"/>
        </w:rPr>
        <w:footnoteRef/>
      </w:r>
      <w:r>
        <w:t xml:space="preserve"> </w:t>
      </w:r>
      <w:r>
        <w:t xml:space="preserve">Стороны нашего договора, возможно, задумаются о расширении понятия</w:t>
      </w:r>
      <w:r>
        <w:t xml:space="preserve"> </w:t>
      </w:r>
      <w:hyperlink r:id="rId146">
        <w:r>
          <w:rPr>
            <w:rStyle w:val="Hyperlink"/>
          </w:rPr>
          <w:t xml:space="preserve">преступлений против человечности</w:t>
        </w:r>
      </w:hyperlink>
      <w:r>
        <w:t xml:space="preserve"> </w:t>
      </w:r>
      <w:r>
        <w:t xml:space="preserve">(кодифицированного в</w:t>
      </w:r>
      <w:r>
        <w:t xml:space="preserve"> </w:t>
      </w:r>
      <w:hyperlink r:id="rId147">
        <w:r>
          <w:rPr>
            <w:rStyle w:val="Hyperlink"/>
          </w:rPr>
          <w:t xml:space="preserve">Римском статуте Международного уголовного суда</w:t>
        </w:r>
      </w:hyperlink>
      <w:r>
        <w:t xml:space="preserve"> </w:t>
      </w:r>
      <w:r>
        <w:t xml:space="preserve">1998 года) на случаи, когда исследователь намеренно стремится разработать ИСИ в ущерб людям Земли.</w:t>
      </w:r>
    </w:p>
  </w:footnote>
  <w:footnote w:id="150">
    <w:p>
      <w:pPr>
        <w:pStyle w:val="FootnoteText"/>
      </w:pPr>
      <w:r>
        <w:rPr>
          <w:rStyle w:val="FootnoteReference"/>
        </w:rPr>
        <w:footnoteRef/>
      </w:r>
      <w:r>
        <w:t xml:space="preserve"> </w:t>
      </w:r>
      <w:hyperlink r:id="rId151">
        <w:r>
          <w:rPr>
            <w:rStyle w:val="Hyperlink"/>
          </w:rPr>
          <w:t xml:space="preserve">Комитет по системам национальной безопасности</w:t>
        </w:r>
      </w:hyperlink>
      <w:r>
        <w:t xml:space="preserve"> </w:t>
      </w:r>
      <w:r>
        <w:t xml:space="preserve">(CNSS) – межведомственная организация США, устанавливающая политику безопасности для правительственных информационных систем.</w:t>
      </w:r>
    </w:p>
  </w:footnote>
  <w:footnote w:id="153">
    <w:p>
      <w:pPr>
        <w:pStyle w:val="FootnoteText"/>
      </w:pPr>
      <w:r>
        <w:rPr>
          <w:rStyle w:val="FootnoteReference"/>
        </w:rPr>
        <w:footnoteRef/>
      </w:r>
      <w:r>
        <w:t xml:space="preserve"> </w:t>
      </w:r>
      <w:r>
        <w:t xml:space="preserve">144 государства по состоянию на июнь 2025 года.</w:t>
      </w:r>
    </w:p>
  </w:footnote>
  <w:footnote w:id="187">
    <w:p>
      <w:pPr>
        <w:pStyle w:val="FootnoteText"/>
      </w:pPr>
      <w:r>
        <w:rPr>
          <w:rStyle w:val="FootnoteReference"/>
        </w:rPr>
        <w:footnoteRef/>
      </w:r>
      <w:r>
        <w:t xml:space="preserve"> </w:t>
      </w:r>
      <w:r>
        <w:t xml:space="preserve">Пункт VII.F гласит, что «[…] с учётом своих обязанностей в отношении Агентства, [Генеральный директор и персонал] не могут раскрывать никаких Конфиденциальных производственных данных или иных конфиденциальных сведений, которые становятся им известными в силу выполнения ими своих служебных обязанностей от имени Агентства».</w:t>
      </w:r>
    </w:p>
  </w:footnote>
  <w:footnote w:id="197">
    <w:p>
      <w:pPr>
        <w:pStyle w:val="FootnoteText"/>
      </w:pPr>
      <w:r>
        <w:rPr>
          <w:rStyle w:val="FootnoteReference"/>
        </w:rPr>
        <w:footnoteRef/>
      </w:r>
      <w:r>
        <w:t xml:space="preserve"> </w:t>
      </w:r>
      <w:r>
        <w:t xml:space="preserve">Иногда они заменяются другими договорами. Так было с</w:t>
      </w:r>
      <w:r>
        <w:t xml:space="preserve"> </w:t>
      </w:r>
      <w:hyperlink r:id="rId198">
        <w:r>
          <w:rPr>
            <w:rStyle w:val="Hyperlink"/>
          </w:rPr>
          <w:t xml:space="preserve">Генеральным соглашением по тарифам и торговле (ГАТТ)</w:t>
        </w:r>
      </w:hyperlink>
      <w:r>
        <w:t xml:space="preserve"> </w:t>
      </w:r>
      <w:r>
        <w:t xml:space="preserve">1947 года: его заменило</w:t>
      </w:r>
      <w:r>
        <w:t xml:space="preserve"> </w:t>
      </w:r>
      <w:hyperlink r:id="rId199">
        <w:r>
          <w:rPr>
            <w:rStyle w:val="Hyperlink"/>
          </w:rPr>
          <w:t xml:space="preserve">Марракешское соглашение</w:t>
        </w:r>
      </w:hyperlink>
      <w:r>
        <w:t xml:space="preserve"> </w:t>
      </w:r>
      <w:r>
        <w:t xml:space="preserve">1994 года. В него были встроены правила ГАТТ, но оно ещё и учредило Всемирную торговую организацию (ВТО) для замены институциональной структуры ГАТТ. Ещё бессрочные договоры иногда заканчиваются, когда Стороны выходят из них таким образом, что договор становится неэффективным. Например, в 1987 году США и СССР изначально согласились на бессрочный</w:t>
      </w:r>
      <w:r>
        <w:t xml:space="preserve"> </w:t>
      </w:r>
      <w:hyperlink r:id="rId82">
        <w:r>
          <w:rPr>
            <w:rStyle w:val="Hyperlink"/>
          </w:rPr>
          <w:t xml:space="preserve">Договор о ликвидации ракет средней и меньшей дальности (ДРСМД)</w:t>
        </w:r>
      </w:hyperlink>
      <w:r>
        <w:t xml:space="preserve">. Но США вышли из него в 2019 году, ссылаясь на несоблюдение обязательств Россией. А в 2025 году Россия объявила, что больше не будет его соблюдать.</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13">
    <w:nsid w:val="00A9971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14">
    <w:nsid w:val="00A9971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511">
    <w:nsid w:val="00A9951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512">
    <w:nsid w:val="00A99512"/>
    <w:multiLevelType w:val="multilevel"/>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abstractNum w:abstractNumId="99513">
    <w:nsid w:val="00A99513"/>
    <w:multiLevelType w:val="multilevel"/>
    <w:lvl w:ilvl="0">
      <w:start w:val="3"/>
      <w:numFmt w:val="lowerRoman"/>
      <w:lvlText w:val="%1."/>
      <w:lvlJc w:val="left"/>
      <w:pPr>
        <w:ind w:left="720" w:hanging="360"/>
      </w:pPr>
    </w:lvl>
    <w:lvl w:ilvl="1">
      <w:start w:val="3"/>
      <w:numFmt w:val="lowerRoman"/>
      <w:lvlText w:val="%2."/>
      <w:lvlJc w:val="left"/>
      <w:pPr>
        <w:ind w:left="1440" w:hanging="360"/>
      </w:pPr>
    </w:lvl>
    <w:lvl w:ilvl="2">
      <w:start w:val="3"/>
      <w:numFmt w:val="lowerRoman"/>
      <w:lvlText w:val="%3."/>
      <w:lvlJc w:val="left"/>
      <w:pPr>
        <w:ind w:left="2160" w:hanging="360"/>
      </w:pPr>
    </w:lvl>
    <w:lvl w:ilvl="3">
      <w:start w:val="3"/>
      <w:numFmt w:val="lowerRoman"/>
      <w:lvlText w:val="%4."/>
      <w:lvlJc w:val="left"/>
      <w:pPr>
        <w:ind w:left="2880" w:hanging="360"/>
      </w:pPr>
    </w:lvl>
    <w:lvl w:ilvl="4">
      <w:start w:val="3"/>
      <w:numFmt w:val="lowerRoman"/>
      <w:lvlText w:val="%5."/>
      <w:lvlJc w:val="left"/>
      <w:pPr>
        <w:ind w:left="3600" w:hanging="360"/>
      </w:pPr>
    </w:lvl>
    <w:lvl w:ilvl="5">
      <w:start w:val="3"/>
      <w:numFmt w:val="lowerRoman"/>
      <w:lvlText w:val="%6."/>
      <w:lvlJc w:val="left"/>
      <w:pPr>
        <w:ind w:left="4320" w:hanging="360"/>
      </w:pPr>
    </w:lvl>
    <w:lvl w:ilvl="6">
      <w:start w:val="3"/>
      <w:numFmt w:val="lowerRoman"/>
      <w:lvlText w:val="%7."/>
      <w:lvlJc w:val="left"/>
      <w:pPr>
        <w:ind w:left="5040" w:hanging="360"/>
      </w:pPr>
    </w:lvl>
    <w:lvl w:ilvl="7">
      <w:start w:val="3"/>
      <w:numFmt w:val="lowerRoman"/>
      <w:lvlText w:val="%8."/>
      <w:lvlJc w:val="left"/>
      <w:pPr>
        <w:ind w:left="5760" w:hanging="360"/>
      </w:pPr>
    </w:lvl>
    <w:lvl w:ilvl="8">
      <w:start w:val="3"/>
      <w:numFmt w:val="lowerRoman"/>
      <w:lvlText w:val="%9."/>
      <w:lvlJc w:val="left"/>
      <w:pPr>
        <w:ind w:left="6480" w:hanging="360"/>
      </w:pPr>
    </w:lvl>
  </w:abstractNum>
  <w:abstractNum w:abstractNumId="99514">
    <w:nsid w:val="00A99514"/>
    <w:multiLevelType w:val="multilevel"/>
    <w:lvl w:ilvl="0">
      <w:start w:val="4"/>
      <w:numFmt w:val="lowerRoman"/>
      <w:lvlText w:val="%1."/>
      <w:lvlJc w:val="left"/>
      <w:pPr>
        <w:ind w:left="720" w:hanging="360"/>
      </w:pPr>
    </w:lvl>
    <w:lvl w:ilvl="1">
      <w:start w:val="4"/>
      <w:numFmt w:val="lowerRoman"/>
      <w:lvlText w:val="%2."/>
      <w:lvlJc w:val="left"/>
      <w:pPr>
        <w:ind w:left="1440" w:hanging="360"/>
      </w:pPr>
    </w:lvl>
    <w:lvl w:ilvl="2">
      <w:start w:val="4"/>
      <w:numFmt w:val="lowerRoman"/>
      <w:lvlText w:val="%3."/>
      <w:lvlJc w:val="left"/>
      <w:pPr>
        <w:ind w:left="2160" w:hanging="360"/>
      </w:pPr>
    </w:lvl>
    <w:lvl w:ilvl="3">
      <w:start w:val="4"/>
      <w:numFmt w:val="lowerRoman"/>
      <w:lvlText w:val="%4."/>
      <w:lvlJc w:val="left"/>
      <w:pPr>
        <w:ind w:left="2880" w:hanging="360"/>
      </w:pPr>
    </w:lvl>
    <w:lvl w:ilvl="4">
      <w:start w:val="4"/>
      <w:numFmt w:val="lowerRoman"/>
      <w:lvlText w:val="%5."/>
      <w:lvlJc w:val="left"/>
      <w:pPr>
        <w:ind w:left="3600" w:hanging="360"/>
      </w:pPr>
    </w:lvl>
    <w:lvl w:ilvl="5">
      <w:start w:val="4"/>
      <w:numFmt w:val="lowerRoman"/>
      <w:lvlText w:val="%6."/>
      <w:lvlJc w:val="left"/>
      <w:pPr>
        <w:ind w:left="4320" w:hanging="360"/>
      </w:pPr>
    </w:lvl>
    <w:lvl w:ilvl="6">
      <w:start w:val="4"/>
      <w:numFmt w:val="lowerRoman"/>
      <w:lvlText w:val="%7."/>
      <w:lvlJc w:val="left"/>
      <w:pPr>
        <w:ind w:left="5040" w:hanging="360"/>
      </w:pPr>
    </w:lvl>
    <w:lvl w:ilvl="7">
      <w:start w:val="4"/>
      <w:numFmt w:val="lowerRoman"/>
      <w:lvlText w:val="%8."/>
      <w:lvlJc w:val="left"/>
      <w:pPr>
        <w:ind w:left="5760" w:hanging="360"/>
      </w:pPr>
    </w:lvl>
    <w:lvl w:ilvl="8">
      <w:start w:val="4"/>
      <w:numFmt w:val="lowerRoman"/>
      <w:lvlText w:val="%9."/>
      <w:lvlJc w:val="left"/>
      <w:pPr>
        <w:ind w:left="6480" w:hanging="360"/>
      </w:pPr>
    </w:lvl>
  </w:abstractNum>
  <w:abstractNum w:abstractNumId="997122">
    <w:nsid w:val="0A997122"/>
    <w:multiLevelType w:val="multilevel"/>
    <w:lvl w:ilvl="0">
      <w:start w:val="22"/>
      <w:numFmt w:val="lowerLetter"/>
      <w:lvlText w:val="%1."/>
      <w:lvlJc w:val="left"/>
      <w:pPr>
        <w:ind w:left="720" w:hanging="360"/>
      </w:pPr>
    </w:lvl>
    <w:lvl w:ilvl="1">
      <w:start w:val="22"/>
      <w:numFmt w:val="lowerLetter"/>
      <w:lvlText w:val="%2."/>
      <w:lvlJc w:val="left"/>
      <w:pPr>
        <w:ind w:left="1440" w:hanging="360"/>
      </w:pPr>
    </w:lvl>
    <w:lvl w:ilvl="2">
      <w:start w:val="22"/>
      <w:numFmt w:val="lowerLetter"/>
      <w:lvlText w:val="%3."/>
      <w:lvlJc w:val="left"/>
      <w:pPr>
        <w:ind w:left="2160" w:hanging="360"/>
      </w:pPr>
    </w:lvl>
    <w:lvl w:ilvl="3">
      <w:start w:val="22"/>
      <w:numFmt w:val="lowerLetter"/>
      <w:lvlText w:val="%4."/>
      <w:lvlJc w:val="left"/>
      <w:pPr>
        <w:ind w:left="2880" w:hanging="360"/>
      </w:pPr>
    </w:lvl>
    <w:lvl w:ilvl="4">
      <w:start w:val="22"/>
      <w:numFmt w:val="lowerLetter"/>
      <w:lvlText w:val="%5."/>
      <w:lvlJc w:val="left"/>
      <w:pPr>
        <w:ind w:left="3600" w:hanging="360"/>
      </w:pPr>
    </w:lvl>
    <w:lvl w:ilvl="5">
      <w:start w:val="22"/>
      <w:numFmt w:val="lowerLetter"/>
      <w:lvlText w:val="%6."/>
      <w:lvlJc w:val="left"/>
      <w:pPr>
        <w:ind w:left="4320" w:hanging="360"/>
      </w:pPr>
    </w:lvl>
    <w:lvl w:ilvl="6">
      <w:start w:val="22"/>
      <w:numFmt w:val="lowerLetter"/>
      <w:lvlText w:val="%7."/>
      <w:lvlJc w:val="left"/>
      <w:pPr>
        <w:ind w:left="5040" w:hanging="360"/>
      </w:pPr>
    </w:lvl>
    <w:lvl w:ilvl="7">
      <w:start w:val="22"/>
      <w:numFmt w:val="lowerLetter"/>
      <w:lvlText w:val="%8."/>
      <w:lvlJc w:val="left"/>
      <w:pPr>
        <w:ind w:left="5760" w:hanging="360"/>
      </w:pPr>
    </w:lvl>
    <w:lvl w:ilvl="8">
      <w:start w:val="22"/>
      <w:numFmt w:val="lowerLetter"/>
      <w:lvlText w:val="%9."/>
      <w:lvlJc w:val="left"/>
      <w:pPr>
        <w:ind w:left="6480" w:hanging="360"/>
      </w:pPr>
    </w:lvl>
  </w:abstractNum>
  <w:abstractNum w:abstractNumId="99516">
    <w:nsid w:val="00A99516"/>
    <w:multiLevelType w:val="multilevel"/>
    <w:lvl w:ilvl="0">
      <w:start w:val="6"/>
      <w:numFmt w:val="lowerRoman"/>
      <w:lvlText w:val="%1."/>
      <w:lvlJc w:val="left"/>
      <w:pPr>
        <w:ind w:left="720" w:hanging="360"/>
      </w:pPr>
    </w:lvl>
    <w:lvl w:ilvl="1">
      <w:start w:val="6"/>
      <w:numFmt w:val="lowerRoman"/>
      <w:lvlText w:val="%2."/>
      <w:lvlJc w:val="left"/>
      <w:pPr>
        <w:ind w:left="1440" w:hanging="360"/>
      </w:pPr>
    </w:lvl>
    <w:lvl w:ilvl="2">
      <w:start w:val="6"/>
      <w:numFmt w:val="lowerRoman"/>
      <w:lvlText w:val="%3."/>
      <w:lvlJc w:val="left"/>
      <w:pPr>
        <w:ind w:left="2160" w:hanging="360"/>
      </w:pPr>
    </w:lvl>
    <w:lvl w:ilvl="3">
      <w:start w:val="6"/>
      <w:numFmt w:val="lowerRoman"/>
      <w:lvlText w:val="%4."/>
      <w:lvlJc w:val="left"/>
      <w:pPr>
        <w:ind w:left="2880" w:hanging="360"/>
      </w:pPr>
    </w:lvl>
    <w:lvl w:ilvl="4">
      <w:start w:val="6"/>
      <w:numFmt w:val="lowerRoman"/>
      <w:lvlText w:val="%5."/>
      <w:lvlJc w:val="left"/>
      <w:pPr>
        <w:ind w:left="3600" w:hanging="360"/>
      </w:pPr>
    </w:lvl>
    <w:lvl w:ilvl="5">
      <w:start w:val="6"/>
      <w:numFmt w:val="lowerRoman"/>
      <w:lvlText w:val="%6."/>
      <w:lvlJc w:val="left"/>
      <w:pPr>
        <w:ind w:left="4320" w:hanging="360"/>
      </w:pPr>
    </w:lvl>
    <w:lvl w:ilvl="6">
      <w:start w:val="6"/>
      <w:numFmt w:val="lowerRoman"/>
      <w:lvlText w:val="%7."/>
      <w:lvlJc w:val="left"/>
      <w:pPr>
        <w:ind w:left="5040" w:hanging="360"/>
      </w:pPr>
    </w:lvl>
    <w:lvl w:ilvl="7">
      <w:start w:val="6"/>
      <w:numFmt w:val="lowerRoman"/>
      <w:lvlText w:val="%8."/>
      <w:lvlJc w:val="left"/>
      <w:pPr>
        <w:ind w:left="5760" w:hanging="360"/>
      </w:pPr>
    </w:lvl>
    <w:lvl w:ilvl="8">
      <w:start w:val="6"/>
      <w:numFmt w:val="lowerRoman"/>
      <w:lvlText w:val="%9."/>
      <w:lvlJc w:val="left"/>
      <w:pPr>
        <w:ind w:left="6480" w:hanging="360"/>
      </w:pPr>
    </w:lvl>
  </w:abstractNum>
  <w:abstractNum w:abstractNumId="99517">
    <w:nsid w:val="00A99517"/>
    <w:multiLevelType w:val="multilevel"/>
    <w:lvl w:ilvl="0">
      <w:start w:val="7"/>
      <w:numFmt w:val="lowerRoman"/>
      <w:lvlText w:val="%1."/>
      <w:lvlJc w:val="left"/>
      <w:pPr>
        <w:ind w:left="720" w:hanging="360"/>
      </w:pPr>
    </w:lvl>
    <w:lvl w:ilvl="1">
      <w:start w:val="7"/>
      <w:numFmt w:val="lowerRoman"/>
      <w:lvlText w:val="%2."/>
      <w:lvlJc w:val="left"/>
      <w:pPr>
        <w:ind w:left="1440" w:hanging="360"/>
      </w:pPr>
    </w:lvl>
    <w:lvl w:ilvl="2">
      <w:start w:val="7"/>
      <w:numFmt w:val="lowerRoman"/>
      <w:lvlText w:val="%3."/>
      <w:lvlJc w:val="left"/>
      <w:pPr>
        <w:ind w:left="2160" w:hanging="360"/>
      </w:pPr>
    </w:lvl>
    <w:lvl w:ilvl="3">
      <w:start w:val="7"/>
      <w:numFmt w:val="lowerRoman"/>
      <w:lvlText w:val="%4."/>
      <w:lvlJc w:val="left"/>
      <w:pPr>
        <w:ind w:left="2880" w:hanging="360"/>
      </w:pPr>
    </w:lvl>
    <w:lvl w:ilvl="4">
      <w:start w:val="7"/>
      <w:numFmt w:val="lowerRoman"/>
      <w:lvlText w:val="%5."/>
      <w:lvlJc w:val="left"/>
      <w:pPr>
        <w:ind w:left="3600" w:hanging="360"/>
      </w:pPr>
    </w:lvl>
    <w:lvl w:ilvl="5">
      <w:start w:val="7"/>
      <w:numFmt w:val="lowerRoman"/>
      <w:lvlText w:val="%6."/>
      <w:lvlJc w:val="left"/>
      <w:pPr>
        <w:ind w:left="4320" w:hanging="360"/>
      </w:pPr>
    </w:lvl>
    <w:lvl w:ilvl="6">
      <w:start w:val="7"/>
      <w:numFmt w:val="lowerRoman"/>
      <w:lvlText w:val="%7."/>
      <w:lvlJc w:val="left"/>
      <w:pPr>
        <w:ind w:left="5040" w:hanging="360"/>
      </w:pPr>
    </w:lvl>
    <w:lvl w:ilvl="7">
      <w:start w:val="7"/>
      <w:numFmt w:val="lowerRoman"/>
      <w:lvlText w:val="%8."/>
      <w:lvlJc w:val="left"/>
      <w:pPr>
        <w:ind w:left="5760" w:hanging="360"/>
      </w:pPr>
    </w:lvl>
    <w:lvl w:ilvl="8">
      <w:start w:val="7"/>
      <w:numFmt w:val="lowerRoman"/>
      <w:lvlText w:val="%9."/>
      <w:lvlJc w:val="left"/>
      <w:pPr>
        <w:ind w:left="6480" w:hanging="360"/>
      </w:pPr>
    </w:lvl>
  </w:abstractNum>
  <w:abstractNum w:abstractNumId="99518">
    <w:nsid w:val="00A99518"/>
    <w:multiLevelType w:val="multilevel"/>
    <w:lvl w:ilvl="0">
      <w:start w:val="8"/>
      <w:numFmt w:val="lowerRoman"/>
      <w:lvlText w:val="%1."/>
      <w:lvlJc w:val="left"/>
      <w:pPr>
        <w:ind w:left="720" w:hanging="360"/>
      </w:pPr>
    </w:lvl>
    <w:lvl w:ilvl="1">
      <w:start w:val="8"/>
      <w:numFmt w:val="lowerRoman"/>
      <w:lvlText w:val="%2."/>
      <w:lvlJc w:val="left"/>
      <w:pPr>
        <w:ind w:left="1440" w:hanging="360"/>
      </w:pPr>
    </w:lvl>
    <w:lvl w:ilvl="2">
      <w:start w:val="8"/>
      <w:numFmt w:val="lowerRoman"/>
      <w:lvlText w:val="%3."/>
      <w:lvlJc w:val="left"/>
      <w:pPr>
        <w:ind w:left="2160" w:hanging="360"/>
      </w:pPr>
    </w:lvl>
    <w:lvl w:ilvl="3">
      <w:start w:val="8"/>
      <w:numFmt w:val="lowerRoman"/>
      <w:lvlText w:val="%4."/>
      <w:lvlJc w:val="left"/>
      <w:pPr>
        <w:ind w:left="2880" w:hanging="360"/>
      </w:pPr>
    </w:lvl>
    <w:lvl w:ilvl="4">
      <w:start w:val="8"/>
      <w:numFmt w:val="lowerRoman"/>
      <w:lvlText w:val="%5."/>
      <w:lvlJc w:val="left"/>
      <w:pPr>
        <w:ind w:left="3600" w:hanging="360"/>
      </w:pPr>
    </w:lvl>
    <w:lvl w:ilvl="5">
      <w:start w:val="8"/>
      <w:numFmt w:val="lowerRoman"/>
      <w:lvlText w:val="%6."/>
      <w:lvlJc w:val="left"/>
      <w:pPr>
        <w:ind w:left="4320" w:hanging="360"/>
      </w:pPr>
    </w:lvl>
    <w:lvl w:ilvl="6">
      <w:start w:val="8"/>
      <w:numFmt w:val="lowerRoman"/>
      <w:lvlText w:val="%7."/>
      <w:lvlJc w:val="left"/>
      <w:pPr>
        <w:ind w:left="5040" w:hanging="360"/>
      </w:pPr>
    </w:lvl>
    <w:lvl w:ilvl="7">
      <w:start w:val="8"/>
      <w:numFmt w:val="lowerRoman"/>
      <w:lvlText w:val="%8."/>
      <w:lvlJc w:val="left"/>
      <w:pPr>
        <w:ind w:left="5760" w:hanging="360"/>
      </w:pPr>
    </w:lvl>
    <w:lvl w:ilvl="8">
      <w:start w:val="8"/>
      <w:numFmt w:val="lowerRoman"/>
      <w:lvlText w:val="%9."/>
      <w:lvlJc w:val="left"/>
      <w:pPr>
        <w:ind w:left="6480" w:hanging="360"/>
      </w:pPr>
    </w:lvl>
  </w:abstractNum>
  <w:abstractNum w:abstractNumId="99715">
    <w:nsid w:val="00A9971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716">
    <w:nsid w:val="00A99716"/>
    <w:multiLevelType w:val="multilevel"/>
    <w:lvl w:ilvl="0">
      <w:start w:val="6"/>
      <w:numFmt w:val="lowerLetter"/>
      <w:lvlText w:val="%1."/>
      <w:lvlJc w:val="left"/>
      <w:pPr>
        <w:ind w:left="720" w:hanging="360"/>
      </w:pPr>
    </w:lvl>
    <w:lvl w:ilvl="1">
      <w:start w:val="6"/>
      <w:numFmt w:val="lowerLetter"/>
      <w:lvlText w:val="%2."/>
      <w:lvlJc w:val="left"/>
      <w:pPr>
        <w:ind w:left="1440" w:hanging="360"/>
      </w:pPr>
    </w:lvl>
    <w:lvl w:ilvl="2">
      <w:start w:val="6"/>
      <w:numFmt w:val="lowerLetter"/>
      <w:lvlText w:val="%3."/>
      <w:lvlJc w:val="left"/>
      <w:pPr>
        <w:ind w:left="2160" w:hanging="360"/>
      </w:pPr>
    </w:lvl>
    <w:lvl w:ilvl="3">
      <w:start w:val="6"/>
      <w:numFmt w:val="lowerLetter"/>
      <w:lvlText w:val="%4."/>
      <w:lvlJc w:val="left"/>
      <w:pPr>
        <w:ind w:left="2880" w:hanging="360"/>
      </w:pPr>
    </w:lvl>
    <w:lvl w:ilvl="4">
      <w:start w:val="6"/>
      <w:numFmt w:val="lowerLetter"/>
      <w:lvlText w:val="%5."/>
      <w:lvlJc w:val="left"/>
      <w:pPr>
        <w:ind w:left="3600" w:hanging="360"/>
      </w:pPr>
    </w:lvl>
    <w:lvl w:ilvl="5">
      <w:start w:val="6"/>
      <w:numFmt w:val="lowerLetter"/>
      <w:lvlText w:val="%6."/>
      <w:lvlJc w:val="left"/>
      <w:pPr>
        <w:ind w:left="4320" w:hanging="360"/>
      </w:pPr>
    </w:lvl>
    <w:lvl w:ilvl="6">
      <w:start w:val="6"/>
      <w:numFmt w:val="lowerLetter"/>
      <w:lvlText w:val="%7."/>
      <w:lvlJc w:val="left"/>
      <w:pPr>
        <w:ind w:left="5040" w:hanging="360"/>
      </w:pPr>
    </w:lvl>
    <w:lvl w:ilvl="7">
      <w:start w:val="6"/>
      <w:numFmt w:val="lowerLetter"/>
      <w:lvlText w:val="%8."/>
      <w:lvlJc w:val="left"/>
      <w:pPr>
        <w:ind w:left="5760" w:hanging="360"/>
      </w:pPr>
    </w:lvl>
    <w:lvl w:ilvl="8">
      <w:start w:val="6"/>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1"/>
  </w:num>
  <w:num w:numId="10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1"/>
  </w:num>
  <w:num w:numId="1015">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5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5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5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9">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0">
    <w:abstractNumId w:val="995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1">
    <w:abstractNumId w:val="995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2">
    <w:abstractNumId w:val="995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3">
    <w:abstractNumId w:val="991"/>
  </w:num>
  <w:num w:numId="102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8">
    <w:abstractNumId w:val="991"/>
  </w:num>
  <w:num w:numId="1029">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5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8">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9">
    <w:abstractNumId w:val="997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0">
    <w:abstractNumId w:val="997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1"/>
  </w:num>
  <w:num w:numId="105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5">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1">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2">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3">
    <w:abstractNumId w:val="997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4">
    <w:abstractNumId w:val="997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5">
    <w:abstractNumId w:val="991"/>
  </w:num>
  <w:num w:numId="106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8">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3">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4">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5">
    <w:abstractNumId w:val="997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6">
    <w:abstractNumId w:val="991"/>
  </w:num>
  <w:num w:numId="107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9">
    <w:abstractNumId w:val="991"/>
  </w:num>
  <w:num w:numId="108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2">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3">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4">
    <w:abstractNumId w:val="997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0">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1">
    <w:abstractNumId w:val="991"/>
  </w:num>
  <w:num w:numId="109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5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6">
    <w:abstractNumId w:val="995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7">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8">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3">
    <w:abstractNumId w:val="991"/>
  </w:num>
  <w:num w:numId="1104">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5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6">
    <w:abstractNumId w:val="995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7">
    <w:abstractNumId w:val="991"/>
  </w:num>
  <w:num w:numId="110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0">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1">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2">
    <w:abstractNumId w:val="991"/>
  </w:num>
  <w:num w:numId="111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5">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6">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7">
    <w:abstractNumId w:val="997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18">
    <w:abstractNumId w:val="997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6">
    <w:abstractNumId w:val="991"/>
  </w:num>
  <w:num w:numId="112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9">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0">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5">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6">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7">
    <w:abstractNumId w:val="991"/>
  </w:num>
  <w:num w:numId="113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0">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1">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2">
    <w:abstractNumId w:val="991"/>
  </w:num>
  <w:num w:numId="114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5">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2" Target="http://kremlin.ru/supplement/512" TargetMode="External" /><Relationship Type="http://schemas.openxmlformats.org/officeDocument/2006/relationships/hyperlink" Id="rId73" Target="https://2009-2017.state.gov/documents/organization/245318.pdf" TargetMode="External" /><Relationship Type="http://schemas.openxmlformats.org/officeDocument/2006/relationships/hyperlink" Id="rId97" Target="https://2009-2017.state.gov/t/avc/trty/102360.htm#inspections" TargetMode="External" /><Relationship Type="http://schemas.openxmlformats.org/officeDocument/2006/relationships/hyperlink" Id="rId127" Target="https://ahf.nuclearmuseum.org/ahf/history/alsos-mission/" TargetMode="External" /><Relationship Type="http://schemas.openxmlformats.org/officeDocument/2006/relationships/hyperlink" Id="rId108" Target="https://aigi.ox.ac.uk/publications/verification-for-international-ai-governance/" TargetMode="External" /><Relationship Type="http://schemas.openxmlformats.org/officeDocument/2006/relationships/hyperlink" Id="rId128" Target="https://airandspace.si.edu/stories/editorial/project-paperclip-and-american-rocketry-after-world-war-ii" TargetMode="External" /><Relationship Type="http://schemas.openxmlformats.org/officeDocument/2006/relationships/hyperlink" Id="rId167" Target="https://artificialintelligenceact.eu/recital/172/" TargetMode="External" /><Relationship Type="http://schemas.openxmlformats.org/officeDocument/2006/relationships/hyperlink" Id="rId195" Target="https://arxiv.org/abs/2506.15093" TargetMode="External" /><Relationship Type="http://schemas.openxmlformats.org/officeDocument/2006/relationships/hyperlink" Id="rId143" Target="https://astanatimes.com/2014/12/istc-headquartered-nazarbayev-university-2015/" TargetMode="External" /><Relationship Type="http://schemas.openxmlformats.org/officeDocument/2006/relationships/hyperlink" Id="rId55" Target="https://bush41library.tamu.edu/archives/public-papers/3263" TargetMode="External" /><Relationship Type="http://schemas.openxmlformats.org/officeDocument/2006/relationships/hyperlink" Id="rId163" Target="https://carnegieendowment.org/posts/2015/12/iran-and-the-evolution-of-safeguards?lang=en" TargetMode="External" /><Relationship Type="http://schemas.openxmlformats.org/officeDocument/2006/relationships/hyperlink" Id="rId85" Target="https://constitution.congress.gov/browse/essay/amdt5-9-1/ALDE_00013280/" TargetMode="External" /><Relationship Type="http://schemas.openxmlformats.org/officeDocument/2006/relationships/hyperlink" Id="rId88" Target="https://cset.georgetown.edu/publication/securing-semiconductor-supply-chains/" TargetMode="External" /><Relationship Type="http://schemas.openxmlformats.org/officeDocument/2006/relationships/hyperlink" Id="rId20" Target="https://disarmament.unoda.org/ru/our-work/conventional-arms/convention-certain-conventional-weapons" TargetMode="External" /><Relationship Type="http://schemas.openxmlformats.org/officeDocument/2006/relationships/hyperlink" Id="rId198" Target="https://docs.cntd.ru/document/1901981" TargetMode="External" /><Relationship Type="http://schemas.openxmlformats.org/officeDocument/2006/relationships/hyperlink" Id="rId199" Target="https://docs.cntd.ru/document/1902152" TargetMode="External" /><Relationship Type="http://schemas.openxmlformats.org/officeDocument/2006/relationships/hyperlink" Id="rId21" Target="https://docs.cntd.ru/document/901755153" TargetMode="External" /><Relationship Type="http://schemas.openxmlformats.org/officeDocument/2006/relationships/hyperlink" Id="rId48" Target="https://docs.historyrussia.org/ru/nodes/408290-dogovor-mezhdu-soyuzom-sovetskih-sotsialisticheskih-respublik-i-soedinennymi-shtatami-ameriki-ob-ogranichenii-podzemnyh-ispytaniy-yadernogo-oruzhiya-3-iyulya-1974-g" TargetMode="External" /><Relationship Type="http://schemas.openxmlformats.org/officeDocument/2006/relationships/hyperlink" Id="rId151" Target="https://en.wikipedia.org/wiki/Committee_on_National_Security_Systems" TargetMode="External" /><Relationship Type="http://schemas.openxmlformats.org/officeDocument/2006/relationships/hyperlink" Id="rId142" Target="https://en.wikipedia.org/wiki/Nunn%E2%80%93Lugar_Cooperative_Threat_Reduction" TargetMode="External" /><Relationship Type="http://schemas.openxmlformats.org/officeDocument/2006/relationships/hyperlink" Id="rId125" Target="https://en.wikipedia.org/wiki/United_States_v._Progressive,_Inc." TargetMode="External" /><Relationship Type="http://schemas.openxmlformats.org/officeDocument/2006/relationships/hyperlink" Id="rId94" Target="https://epoch.ai/data-insights/gpu-frontier-lifespan#:~:text=For%20these%20newer%20chip%20designs,from%200.6%20to%203.7%20years." TargetMode="External" /><Relationship Type="http://schemas.openxmlformats.org/officeDocument/2006/relationships/hyperlink" Id="rId119" Target="https://epoch.ai/data-insights/ml-hardware-energy-efficiency" TargetMode="External" /><Relationship Type="http://schemas.openxmlformats.org/officeDocument/2006/relationships/hyperlink" Id="rId45" Target="https://epoch.ai/data/ai-models" TargetMode="External" /><Relationship Type="http://schemas.openxmlformats.org/officeDocument/2006/relationships/hyperlink" Id="rId63" Target="https://epoch.ai/data/ai-supercomputers" TargetMode="External" /><Relationship Type="http://schemas.openxmlformats.org/officeDocument/2006/relationships/hyperlink" Id="rId91" Target="https://epoch.ai/data/machine-learning-hardware?view=table" TargetMode="External" /><Relationship Type="http://schemas.openxmlformats.org/officeDocument/2006/relationships/hyperlink" Id="rId46" Target="https://epoch.ai/tools/model-counts" TargetMode="External" /><Relationship Type="http://schemas.openxmlformats.org/officeDocument/2006/relationships/hyperlink" Id="rId168" Target="https://eur-lex.europa.eu/eli/dir/2019/1937/oj/eng" TargetMode="External" /><Relationship Type="http://schemas.openxmlformats.org/officeDocument/2006/relationships/hyperlink" Id="rId28" Target="https://fas.org/publication/ntm-obe/" TargetMode="External" /><Relationship Type="http://schemas.openxmlformats.org/officeDocument/2006/relationships/hyperlink" Id="rId156" Target="https://law.yale.edu/mfia/case-disclosed/newly-disclosed-documents-five-eyes-alliance-and-what-they-tell-us-about-intelligence-sharing" TargetMode="External" /><Relationship Type="http://schemas.openxmlformats.org/officeDocument/2006/relationships/hyperlink" Id="rId200" Target="https://main.un.org/securitycouncil/ru/s/res/1718-%282006%29" TargetMode="External" /><Relationship Type="http://schemas.openxmlformats.org/officeDocument/2006/relationships/hyperlink" Id="rId110" Target="https://openai.com/index/preparing-for-future-ai-capabilities-in-biology/" TargetMode="External" /><Relationship Type="http://schemas.openxmlformats.org/officeDocument/2006/relationships/hyperlink" Id="rId137" Target="https://ourworldindata.org/grapher/attendance-major-artificial-intelligence-conferences" TargetMode="External" /><Relationship Type="http://schemas.openxmlformats.org/officeDocument/2006/relationships/hyperlink" Id="rId10" Target="https://techgov.intelligence.org/research" TargetMode="External" /><Relationship Type="http://schemas.openxmlformats.org/officeDocument/2006/relationships/hyperlink" Id="rId107" Target="https://techgov.intelligence.org/research/mechanisms-to-verify-international-agreements-about-ai-development" TargetMode="External" /><Relationship Type="http://schemas.openxmlformats.org/officeDocument/2006/relationships/hyperlink" Id="rId53" Target="https://treaties.fcdo.gov.uk/data/Library2/pdf/1924-TS0005.pdf" TargetMode="External" /><Relationship Type="http://schemas.openxmlformats.org/officeDocument/2006/relationships/hyperlink" Id="rId51" Target="https://web.archive.org/web/20160305011757/http://vladfotki.narod.ru/__navy/HISTORY/WW12/1922wt.htm" TargetMode="External" /><Relationship Type="http://schemas.openxmlformats.org/officeDocument/2006/relationships/hyperlink" Id="rId98" Target="https://www-pub.iaea.org/MTCD/Publications/PDF/Pub1669_web.pdf" TargetMode="External" /><Relationship Type="http://schemas.openxmlformats.org/officeDocument/2006/relationships/hyperlink" Id="rId155" Target="https://www-pub.iaea.org/MTCD/Publications/PDF/SVS-30_web.pdf" TargetMode="External" /><Relationship Type="http://schemas.openxmlformats.org/officeDocument/2006/relationships/hyperlink" Id="rId182" Target="https://www.armscontrol.org/act/2025-07/news/israel-and-us-strike-irans-nuclear-program" TargetMode="External" /><Relationship Type="http://schemas.openxmlformats.org/officeDocument/2006/relationships/hyperlink" Id="rId76" Target="https://www.armscontrol.org/factsheets/iaea-safeguards-agreements-glance" TargetMode="External" /><Relationship Type="http://schemas.openxmlformats.org/officeDocument/2006/relationships/hyperlink" Id="rId75" Target="https://www.armscontrol.org/factsheets/start-i-glance" TargetMode="External" /><Relationship Type="http://schemas.openxmlformats.org/officeDocument/2006/relationships/hyperlink" Id="rId41" Target="https://www.armscontrol.ru/start/rus/docs/dogovor.htm" TargetMode="External" /><Relationship Type="http://schemas.openxmlformats.org/officeDocument/2006/relationships/hyperlink" Id="rId78" Target="https://www.armscontrol.ru/start/rus/docs/osv-1.txt" TargetMode="External" /><Relationship Type="http://schemas.openxmlformats.org/officeDocument/2006/relationships/hyperlink" Id="rId39" Target="https://www.armscontrol.ru/start/rus/docs/rsmd.htm" TargetMode="External" /><Relationship Type="http://schemas.openxmlformats.org/officeDocument/2006/relationships/hyperlink" Id="rId40" Target="https://www.armscontrol.ru/start/rus/docs/start-11.htm" TargetMode="External" /><Relationship Type="http://schemas.openxmlformats.org/officeDocument/2006/relationships/hyperlink" Id="rId70" Target="https://www.armscontrol.ru/start/rus/docs/start-11a.htm" TargetMode="External" /><Relationship Type="http://schemas.openxmlformats.org/officeDocument/2006/relationships/hyperlink" Id="rId69" Target="https://www.armscontrol.ru/start/rus/docs/start-13.htm" TargetMode="External" /><Relationship Type="http://schemas.openxmlformats.org/officeDocument/2006/relationships/hyperlink" Id="rId113" Target="https://www.armscontrol.ru/start/rus/docs/start1/telemetry.txt" TargetMode="External" /><Relationship Type="http://schemas.openxmlformats.org/officeDocument/2006/relationships/hyperlink" Id="rId121" Target="https://www.atomicarchive.com/resources/documents/postwar/atomic-energy-act.html" TargetMode="External" /><Relationship Type="http://schemas.openxmlformats.org/officeDocument/2006/relationships/hyperlink" Id="rId129" Target="https://www.bis.gov/learn-support/deemed-exports/what-deemed-export" TargetMode="External" /><Relationship Type="http://schemas.openxmlformats.org/officeDocument/2006/relationships/hyperlink" Id="rId102" Target="https://www.bis.gov/press-release/commerce-strengthens-export-controls-restrict-chinas-capability-produce-advanced-semiconductors-military" TargetMode="External" /><Relationship Type="http://schemas.openxmlformats.org/officeDocument/2006/relationships/hyperlink" Id="rId92" Target="https://www.blackridgeresearch.com/blog/list-of-tsmc-fabs-in-taiwan-arizona-kumamoto" TargetMode="External" /><Relationship Type="http://schemas.openxmlformats.org/officeDocument/2006/relationships/hyperlink" Id="rId170" Target="https://www.cia.gov/readingroom/docs/CIA-RDP89B00552R000700070018-7.pdf" TargetMode="External" /><Relationship Type="http://schemas.openxmlformats.org/officeDocument/2006/relationships/hyperlink" Id="rId105" Target="https://www.cnas.org/publications/reports/secure-governable-chips" TargetMode="External" /><Relationship Type="http://schemas.openxmlformats.org/officeDocument/2006/relationships/hyperlink" Id="rId180" Target="https://www.cnn.com/2012/01/23/world/meast/iran-sanctions-facts/index.html" TargetMode="External" /><Relationship Type="http://schemas.openxmlformats.org/officeDocument/2006/relationships/hyperlink" Id="rId83" Target="https://www.congress.gov/105/plaws/publ277/PLAW-105publ277.pdf#page=857" TargetMode="External" /><Relationship Type="http://schemas.openxmlformats.org/officeDocument/2006/relationships/hyperlink" Id="rId25" Target="https://www.congress.gov/bill/119th-congress/senate-bill/1792/text" TargetMode="External" /><Relationship Type="http://schemas.openxmlformats.org/officeDocument/2006/relationships/hyperlink" Id="rId133" Target="https://www.congress.gov/bill/82nd-congress/house-bill/4687/text" TargetMode="External" /><Relationship Type="http://schemas.openxmlformats.org/officeDocument/2006/relationships/hyperlink" Id="rId165" Target="https://www.ctbto.org/sites/default/files/Documents/treaty_text_Russian.pdf" TargetMode="External" /><Relationship Type="http://schemas.openxmlformats.org/officeDocument/2006/relationships/hyperlink" Id="rId89" Target="https://www.datacenterdynamics.com/en/news/nvidia-gpu-shipments-totaled-376m-in-2023-equating-to-a-98-market-share-report/" TargetMode="External" /><Relationship Type="http://schemas.openxmlformats.org/officeDocument/2006/relationships/hyperlink" Id="rId149" Target="https://www.directives.doe.gov/directives-documents/200-series/0232.2-BOrder-a-chg1-minchg/@@images/file" TargetMode="External" /><Relationship Type="http://schemas.openxmlformats.org/officeDocument/2006/relationships/hyperlink" Id="rId148" Target="https://www.ecfr.gov/current/title-10/chapter-X/part-1045" TargetMode="External" /><Relationship Type="http://schemas.openxmlformats.org/officeDocument/2006/relationships/hyperlink" Id="rId132" Target="https://www.ecfr.gov/current/title-22/chapter-I/subchapter-M/part-121" TargetMode="External" /><Relationship Type="http://schemas.openxmlformats.org/officeDocument/2006/relationships/hyperlink" Id="rId84" Target="https://www.epa.gov/ozone-layer-protection/ozone-protection-under-title-vi-clean-air-act" TargetMode="External" /><Relationship Type="http://schemas.openxmlformats.org/officeDocument/2006/relationships/hyperlink" Id="rId115" Target="https://www.fsis.usda.gov/sites/default/files/media_file/2021-02/Fed-Food-Inspect-Requirements.pdf" TargetMode="External" /><Relationship Type="http://schemas.openxmlformats.org/officeDocument/2006/relationships/hyperlink" Id="rId90" Target="https://www.governance.ai/analysis/computing-power-and-the-governance-of-ai" TargetMode="External" /><Relationship Type="http://schemas.openxmlformats.org/officeDocument/2006/relationships/hyperlink" Id="rId95" Target="https://www.governance.ai/research-paper/governing-through-the-cloud" TargetMode="External" /><Relationship Type="http://schemas.openxmlformats.org/officeDocument/2006/relationships/hyperlink" Id="rId123" Target="https://www.govinfo.gov/content/pkg/COMPS-1630/pdf/COMPS-1630.pdf" TargetMode="External" /><Relationship Type="http://schemas.openxmlformats.org/officeDocument/2006/relationships/hyperlink" Id="rId144" Target="https://www.govinfo.gov/content/pkg/COMPS-1630/pdf/COMPS-1630.pdf#page=154" TargetMode="External" /><Relationship Type="http://schemas.openxmlformats.org/officeDocument/2006/relationships/hyperlink" Id="rId100" Target="https://www.govinfo.gov/content/pkg/GPO-CRPT-105hrpt851/html/ch9bod.html#anchor5563742" TargetMode="External" /><Relationship Type="http://schemas.openxmlformats.org/officeDocument/2006/relationships/hyperlink" Id="rId112" Target="https://www.iaea.org/newscenter/news/surveying-safeguarded-material-24/7" TargetMode="External" /><Relationship Type="http://schemas.openxmlformats.org/officeDocument/2006/relationships/hyperlink" Id="rId74" Target="https://www.iaea.org/newscenter/pressreleases/update-on-developments-in-iran-5" TargetMode="External" /><Relationship Type="http://schemas.openxmlformats.org/officeDocument/2006/relationships/hyperlink" Id="rId99" Target="https://www.iaea.org/publications/13452/international-safeguards-in-the-design-of-enrichment-plants?utm_source=chatgpt.com" TargetMode="External" /><Relationship Type="http://schemas.openxmlformats.org/officeDocument/2006/relationships/hyperlink" Id="rId12" Target="https://www.iaea.org/ru/o-nas/ustav" TargetMode="External" /><Relationship Type="http://schemas.openxmlformats.org/officeDocument/2006/relationships/hyperlink" Id="rId166" Target="https://www.iaea.org/ru/temy/pravovaya-osnova-garantiy" TargetMode="External" /><Relationship Type="http://schemas.openxmlformats.org/officeDocument/2006/relationships/hyperlink" Id="rId31" Target="https://www.iaea.org/ru/uslugi/mezhdunarodnaya-set-centrov-podgotovki-kadrov-i-sodeystviya-deyatelnosti-v-oblasti-fizicheskoy-yadernoy-bezopasnosti" TargetMode="External" /><Relationship Type="http://schemas.openxmlformats.org/officeDocument/2006/relationships/hyperlink" Id="rId36" Target="https://www.iaea.org/sites/default/files/bgrules_rus.pdf" TargetMode="External" /><Relationship Type="http://schemas.openxmlformats.org/officeDocument/2006/relationships/hyperlink" Id="rId162" Target="https://www.iaea.org/sites/default/files/infcirc153_rus.pdf" TargetMode="External" /><Relationship Type="http://schemas.openxmlformats.org/officeDocument/2006/relationships/hyperlink" Id="rId154" Target="https://www.iaea.org/sites/default/files/safeguards0408.pdf" TargetMode="External" /><Relationship Type="http://schemas.openxmlformats.org/officeDocument/2006/relationships/hyperlink" Id="rId38" Target="https://www.iaea.org/sites/default/files/statute_rus.pdf" TargetMode="External" /><Relationship Type="http://schemas.openxmlformats.org/officeDocument/2006/relationships/hyperlink" Id="rId152" Target="https://www.iaea.org/topics/additional-protocol" TargetMode="External" /><Relationship Type="http://schemas.openxmlformats.org/officeDocument/2006/relationships/hyperlink" Id="rId61" Target="https://www.iaps.ai/research/secure-governable-chips" TargetMode="External" /><Relationship Type="http://schemas.openxmlformats.org/officeDocument/2006/relationships/hyperlink" Id="rId146" Target="https://www.law.cornell.edu/wex/crime_against_humanity" TargetMode="External" /><Relationship Type="http://schemas.openxmlformats.org/officeDocument/2006/relationships/hyperlink" Id="rId72" Target="https://www.mid.ru/ru/foreign_policy/rso/1511905/" TargetMode="External" /><Relationship Type="http://schemas.openxmlformats.org/officeDocument/2006/relationships/hyperlink" Id="rId164" Target="https://www.nonproliferation.org/wp-content/uploads/npr/dembin22.pdf#page=4" TargetMode="External" /><Relationship Type="http://schemas.openxmlformats.org/officeDocument/2006/relationships/hyperlink" Id="rId114" Target="https://www.nrc.gov/reactors/operating/oversight/rop-description/resident-insp-program.html" TargetMode="External" /><Relationship Type="http://schemas.openxmlformats.org/officeDocument/2006/relationships/hyperlink" Id="rId101" Target="https://www.nuclearsuppliersgroup.org/index.php/en/" TargetMode="External" /><Relationship Type="http://schemas.openxmlformats.org/officeDocument/2006/relationships/hyperlink" Id="rId181" Target="https://www.nytimes.com/2012/06/01/world/middleeast/obama-ordered-wave-of-cyberattacks-against-iran.html" TargetMode="External" /><Relationship Type="http://schemas.openxmlformats.org/officeDocument/2006/relationships/hyperlink" Id="rId34" Target="https://www.opcw.org/ru/nasha-rabota" TargetMode="External" /><Relationship Type="http://schemas.openxmlformats.org/officeDocument/2006/relationships/hyperlink" Id="rId171" Target="https://www.opcw.org/sites/default/files/documents/CWC/CWC_en.pdf" TargetMode="External" /><Relationship Type="http://schemas.openxmlformats.org/officeDocument/2006/relationships/hyperlink" Id="rId172" Target="https://www.osti.gov/servlets/purl/7166074" TargetMode="External" /><Relationship Type="http://schemas.openxmlformats.org/officeDocument/2006/relationships/hyperlink" Id="rId131" Target="https://www.pmddtc.state.gov/ddtc_public?id=ddtc_kb_article_page&amp;sys_id=24d528fddbfc930044f9ff621f961987" TargetMode="External" /><Relationship Type="http://schemas.openxmlformats.org/officeDocument/2006/relationships/hyperlink" Id="rId27" Target="https://www.rand.org/pubs/perspectives/PEA3776-1.html" TargetMode="External" /><Relationship Type="http://schemas.openxmlformats.org/officeDocument/2006/relationships/hyperlink" Id="rId60" Target="https://www.rand.org/pubs/working_papers/WRA3056-1.html" TargetMode="External" /><Relationship Type="http://schemas.openxmlformats.org/officeDocument/2006/relationships/hyperlink" Id="rId109" Target="https://www.rand.org/pubs/working_papers/WRA4077-1.html" TargetMode="External" /><Relationship Type="http://schemas.openxmlformats.org/officeDocument/2006/relationships/hyperlink" Id="rId139" Target="https://www.theverge.com/decoder-podcast-with-nilay-patel/761830/amazon-david-luan-agi-lab-adept-ai-interview" TargetMode="External" /><Relationship Type="http://schemas.openxmlformats.org/officeDocument/2006/relationships/hyperlink" Id="rId93" Target="https://www.trendforce.com/news/2024/04/24/news-amid-foundry-overcapacity-competition-for-hbm-intensifies-rapidly/" TargetMode="External" /><Relationship Type="http://schemas.openxmlformats.org/officeDocument/2006/relationships/hyperlink" Id="rId183" Target="https://www.un.org/depts/unscom/" TargetMode="External" /><Relationship Type="http://schemas.openxmlformats.org/officeDocument/2006/relationships/hyperlink" Id="rId191" Target="https://www.un.org/ru/documents/decl_conv/conventions/bacweap.shtml" TargetMode="External" /><Relationship Type="http://schemas.openxmlformats.org/officeDocument/2006/relationships/hyperlink" Id="rId35" Target="https://www.un.org/ru/documents/decl_conv/conventions/chemweapons.shtml" TargetMode="External" /><Relationship Type="http://schemas.openxmlformats.org/officeDocument/2006/relationships/hyperlink" Id="rId13" Target="https://www.un.org/ru/documents/decl_conv/conventions/npt.shtml" TargetMode="External" /><Relationship Type="http://schemas.openxmlformats.org/officeDocument/2006/relationships/hyperlink" Id="rId192" Target="https://www.un.org/ru/documents/decl_conv/conventions/outer_space_governing.shtml" TargetMode="External" /><Relationship Type="http://schemas.openxmlformats.org/officeDocument/2006/relationships/hyperlink" Id="rId80" Target="https://www.un.org/ru/documents/decl_conv/conventions/pdf/abm.pdf" TargetMode="External" /><Relationship Type="http://schemas.openxmlformats.org/officeDocument/2006/relationships/hyperlink" Id="rId50" Target="https://www.un.org/ru/documents/decl_conv/conventions/pdf/nuclear_seabed.pdf" TargetMode="External" /><Relationship Type="http://schemas.openxmlformats.org/officeDocument/2006/relationships/hyperlink" Id="rId82" Target="https://www.un.org/ru/documents/decl_conv/conventions/pdf/treaty.pdf" TargetMode="External" /><Relationship Type="http://schemas.openxmlformats.org/officeDocument/2006/relationships/hyperlink" Id="rId169" Target="https://www.un.org/ru/documents/decl_conv/conventions/refugees.shtml" TargetMode="External" /><Relationship Type="http://schemas.openxmlformats.org/officeDocument/2006/relationships/hyperlink" Id="rId14" Target="https://www.un.org/ru/documents/decl_conv/conventions/russia_usa.shtml" TargetMode="External" /><Relationship Type="http://schemas.openxmlformats.org/officeDocument/2006/relationships/hyperlink" Id="rId147" Target="https://www.un.org/ru/law/icc/rome_statute(r).pdf" TargetMode="External" /><Relationship Type="http://schemas.openxmlformats.org/officeDocument/2006/relationships/hyperlink" Id="rId126" Target="https://www.usa.gov/agencies/national-nuclear-security-administration" TargetMode="External" /></Relationships>
</file>

<file path=word/_rels/footnotes.xml.rels><?xml version="1.0" encoding="UTF-8"?><Relationships xmlns="http://schemas.openxmlformats.org/package/2006/relationships"><Relationship Type="http://schemas.openxmlformats.org/officeDocument/2006/relationships/hyperlink" Id="rId42" Target="http://kremlin.ru/supplement/512" TargetMode="External" /><Relationship Type="http://schemas.openxmlformats.org/officeDocument/2006/relationships/hyperlink" Id="rId73" Target="https://2009-2017.state.gov/documents/organization/245318.pdf" TargetMode="External" /><Relationship Type="http://schemas.openxmlformats.org/officeDocument/2006/relationships/hyperlink" Id="rId97" Target="https://2009-2017.state.gov/t/avc/trty/102360.htm#inspections" TargetMode="External" /><Relationship Type="http://schemas.openxmlformats.org/officeDocument/2006/relationships/hyperlink" Id="rId127" Target="https://ahf.nuclearmuseum.org/ahf/history/alsos-mission/" TargetMode="External" /><Relationship Type="http://schemas.openxmlformats.org/officeDocument/2006/relationships/hyperlink" Id="rId108" Target="https://aigi.ox.ac.uk/publications/verification-for-international-ai-governance/" TargetMode="External" /><Relationship Type="http://schemas.openxmlformats.org/officeDocument/2006/relationships/hyperlink" Id="rId128" Target="https://airandspace.si.edu/stories/editorial/project-paperclip-and-american-rocketry-after-world-war-ii" TargetMode="External" /><Relationship Type="http://schemas.openxmlformats.org/officeDocument/2006/relationships/hyperlink" Id="rId167" Target="https://artificialintelligenceact.eu/recital/172/" TargetMode="External" /><Relationship Type="http://schemas.openxmlformats.org/officeDocument/2006/relationships/hyperlink" Id="rId195" Target="https://arxiv.org/abs/2506.15093" TargetMode="External" /><Relationship Type="http://schemas.openxmlformats.org/officeDocument/2006/relationships/hyperlink" Id="rId143" Target="https://astanatimes.com/2014/12/istc-headquartered-nazarbayev-university-2015/" TargetMode="External" /><Relationship Type="http://schemas.openxmlformats.org/officeDocument/2006/relationships/hyperlink" Id="rId55" Target="https://bush41library.tamu.edu/archives/public-papers/3263" TargetMode="External" /><Relationship Type="http://schemas.openxmlformats.org/officeDocument/2006/relationships/hyperlink" Id="rId163" Target="https://carnegieendowment.org/posts/2015/12/iran-and-the-evolution-of-safeguards?lang=en" TargetMode="External" /><Relationship Type="http://schemas.openxmlformats.org/officeDocument/2006/relationships/hyperlink" Id="rId85" Target="https://constitution.congress.gov/browse/essay/amdt5-9-1/ALDE_00013280/" TargetMode="External" /><Relationship Type="http://schemas.openxmlformats.org/officeDocument/2006/relationships/hyperlink" Id="rId88" Target="https://cset.georgetown.edu/publication/securing-semiconductor-supply-chains/" TargetMode="External" /><Relationship Type="http://schemas.openxmlformats.org/officeDocument/2006/relationships/hyperlink" Id="rId20" Target="https://disarmament.unoda.org/ru/our-work/conventional-arms/convention-certain-conventional-weapons" TargetMode="External" /><Relationship Type="http://schemas.openxmlformats.org/officeDocument/2006/relationships/hyperlink" Id="rId198" Target="https://docs.cntd.ru/document/1901981" TargetMode="External" /><Relationship Type="http://schemas.openxmlformats.org/officeDocument/2006/relationships/hyperlink" Id="rId199" Target="https://docs.cntd.ru/document/1902152" TargetMode="External" /><Relationship Type="http://schemas.openxmlformats.org/officeDocument/2006/relationships/hyperlink" Id="rId21" Target="https://docs.cntd.ru/document/901755153" TargetMode="External" /><Relationship Type="http://schemas.openxmlformats.org/officeDocument/2006/relationships/hyperlink" Id="rId48" Target="https://docs.historyrussia.org/ru/nodes/408290-dogovor-mezhdu-soyuzom-sovetskih-sotsialisticheskih-respublik-i-soedinennymi-shtatami-ameriki-ob-ogranichenii-podzemnyh-ispytaniy-yadernogo-oruzhiya-3-iyulya-1974-g" TargetMode="External" /><Relationship Type="http://schemas.openxmlformats.org/officeDocument/2006/relationships/hyperlink" Id="rId151" Target="https://en.wikipedia.org/wiki/Committee_on_National_Security_Systems" TargetMode="External" /><Relationship Type="http://schemas.openxmlformats.org/officeDocument/2006/relationships/hyperlink" Id="rId142" Target="https://en.wikipedia.org/wiki/Nunn%E2%80%93Lugar_Cooperative_Threat_Reduction" TargetMode="External" /><Relationship Type="http://schemas.openxmlformats.org/officeDocument/2006/relationships/hyperlink" Id="rId125" Target="https://en.wikipedia.org/wiki/United_States_v._Progressive,_Inc." TargetMode="External" /><Relationship Type="http://schemas.openxmlformats.org/officeDocument/2006/relationships/hyperlink" Id="rId94" Target="https://epoch.ai/data-insights/gpu-frontier-lifespan#:~:text=For%20these%20newer%20chip%20designs,from%200.6%20to%203.7%20years." TargetMode="External" /><Relationship Type="http://schemas.openxmlformats.org/officeDocument/2006/relationships/hyperlink" Id="rId119" Target="https://epoch.ai/data-insights/ml-hardware-energy-efficiency" TargetMode="External" /><Relationship Type="http://schemas.openxmlformats.org/officeDocument/2006/relationships/hyperlink" Id="rId45" Target="https://epoch.ai/data/ai-models" TargetMode="External" /><Relationship Type="http://schemas.openxmlformats.org/officeDocument/2006/relationships/hyperlink" Id="rId63" Target="https://epoch.ai/data/ai-supercomputers" TargetMode="External" /><Relationship Type="http://schemas.openxmlformats.org/officeDocument/2006/relationships/hyperlink" Id="rId91" Target="https://epoch.ai/data/machine-learning-hardware?view=table" TargetMode="External" /><Relationship Type="http://schemas.openxmlformats.org/officeDocument/2006/relationships/hyperlink" Id="rId46" Target="https://epoch.ai/tools/model-counts" TargetMode="External" /><Relationship Type="http://schemas.openxmlformats.org/officeDocument/2006/relationships/hyperlink" Id="rId168" Target="https://eur-lex.europa.eu/eli/dir/2019/1937/oj/eng" TargetMode="External" /><Relationship Type="http://schemas.openxmlformats.org/officeDocument/2006/relationships/hyperlink" Id="rId28" Target="https://fas.org/publication/ntm-obe/" TargetMode="External" /><Relationship Type="http://schemas.openxmlformats.org/officeDocument/2006/relationships/hyperlink" Id="rId156" Target="https://law.yale.edu/mfia/case-disclosed/newly-disclosed-documents-five-eyes-alliance-and-what-they-tell-us-about-intelligence-sharing" TargetMode="External" /><Relationship Type="http://schemas.openxmlformats.org/officeDocument/2006/relationships/hyperlink" Id="rId200" Target="https://main.un.org/securitycouncil/ru/s/res/1718-%282006%29" TargetMode="External" /><Relationship Type="http://schemas.openxmlformats.org/officeDocument/2006/relationships/hyperlink" Id="rId110" Target="https://openai.com/index/preparing-for-future-ai-capabilities-in-biology/" TargetMode="External" /><Relationship Type="http://schemas.openxmlformats.org/officeDocument/2006/relationships/hyperlink" Id="rId137" Target="https://ourworldindata.org/grapher/attendance-major-artificial-intelligence-conferences" TargetMode="External" /><Relationship Type="http://schemas.openxmlformats.org/officeDocument/2006/relationships/hyperlink" Id="rId10" Target="https://techgov.intelligence.org/research" TargetMode="External" /><Relationship Type="http://schemas.openxmlformats.org/officeDocument/2006/relationships/hyperlink" Id="rId107" Target="https://techgov.intelligence.org/research/mechanisms-to-verify-international-agreements-about-ai-development" TargetMode="External" /><Relationship Type="http://schemas.openxmlformats.org/officeDocument/2006/relationships/hyperlink" Id="rId53" Target="https://treaties.fcdo.gov.uk/data/Library2/pdf/1924-TS0005.pdf" TargetMode="External" /><Relationship Type="http://schemas.openxmlformats.org/officeDocument/2006/relationships/hyperlink" Id="rId51" Target="https://web.archive.org/web/20160305011757/http://vladfotki.narod.ru/__navy/HISTORY/WW12/1922wt.htm" TargetMode="External" /><Relationship Type="http://schemas.openxmlformats.org/officeDocument/2006/relationships/hyperlink" Id="rId98" Target="https://www-pub.iaea.org/MTCD/Publications/PDF/Pub1669_web.pdf" TargetMode="External" /><Relationship Type="http://schemas.openxmlformats.org/officeDocument/2006/relationships/hyperlink" Id="rId155" Target="https://www-pub.iaea.org/MTCD/Publications/PDF/SVS-30_web.pdf" TargetMode="External" /><Relationship Type="http://schemas.openxmlformats.org/officeDocument/2006/relationships/hyperlink" Id="rId182" Target="https://www.armscontrol.org/act/2025-07/news/israel-and-us-strike-irans-nuclear-program" TargetMode="External" /><Relationship Type="http://schemas.openxmlformats.org/officeDocument/2006/relationships/hyperlink" Id="rId76" Target="https://www.armscontrol.org/factsheets/iaea-safeguards-agreements-glance" TargetMode="External" /><Relationship Type="http://schemas.openxmlformats.org/officeDocument/2006/relationships/hyperlink" Id="rId75" Target="https://www.armscontrol.org/factsheets/start-i-glance" TargetMode="External" /><Relationship Type="http://schemas.openxmlformats.org/officeDocument/2006/relationships/hyperlink" Id="rId41" Target="https://www.armscontrol.ru/start/rus/docs/dogovor.htm" TargetMode="External" /><Relationship Type="http://schemas.openxmlformats.org/officeDocument/2006/relationships/hyperlink" Id="rId78" Target="https://www.armscontrol.ru/start/rus/docs/osv-1.txt" TargetMode="External" /><Relationship Type="http://schemas.openxmlformats.org/officeDocument/2006/relationships/hyperlink" Id="rId39" Target="https://www.armscontrol.ru/start/rus/docs/rsmd.htm" TargetMode="External" /><Relationship Type="http://schemas.openxmlformats.org/officeDocument/2006/relationships/hyperlink" Id="rId40" Target="https://www.armscontrol.ru/start/rus/docs/start-11.htm" TargetMode="External" /><Relationship Type="http://schemas.openxmlformats.org/officeDocument/2006/relationships/hyperlink" Id="rId70" Target="https://www.armscontrol.ru/start/rus/docs/start-11a.htm" TargetMode="External" /><Relationship Type="http://schemas.openxmlformats.org/officeDocument/2006/relationships/hyperlink" Id="rId69" Target="https://www.armscontrol.ru/start/rus/docs/start-13.htm" TargetMode="External" /><Relationship Type="http://schemas.openxmlformats.org/officeDocument/2006/relationships/hyperlink" Id="rId113" Target="https://www.armscontrol.ru/start/rus/docs/start1/telemetry.txt" TargetMode="External" /><Relationship Type="http://schemas.openxmlformats.org/officeDocument/2006/relationships/hyperlink" Id="rId121" Target="https://www.atomicarchive.com/resources/documents/postwar/atomic-energy-act.html" TargetMode="External" /><Relationship Type="http://schemas.openxmlformats.org/officeDocument/2006/relationships/hyperlink" Id="rId129" Target="https://www.bis.gov/learn-support/deemed-exports/what-deemed-export" TargetMode="External" /><Relationship Type="http://schemas.openxmlformats.org/officeDocument/2006/relationships/hyperlink" Id="rId102" Target="https://www.bis.gov/press-release/commerce-strengthens-export-controls-restrict-chinas-capability-produce-advanced-semiconductors-military" TargetMode="External" /><Relationship Type="http://schemas.openxmlformats.org/officeDocument/2006/relationships/hyperlink" Id="rId92" Target="https://www.blackridgeresearch.com/blog/list-of-tsmc-fabs-in-taiwan-arizona-kumamoto" TargetMode="External" /><Relationship Type="http://schemas.openxmlformats.org/officeDocument/2006/relationships/hyperlink" Id="rId170" Target="https://www.cia.gov/readingroom/docs/CIA-RDP89B00552R000700070018-7.pdf" TargetMode="External" /><Relationship Type="http://schemas.openxmlformats.org/officeDocument/2006/relationships/hyperlink" Id="rId105" Target="https://www.cnas.org/publications/reports/secure-governable-chips" TargetMode="External" /><Relationship Type="http://schemas.openxmlformats.org/officeDocument/2006/relationships/hyperlink" Id="rId180" Target="https://www.cnn.com/2012/01/23/world/meast/iran-sanctions-facts/index.html" TargetMode="External" /><Relationship Type="http://schemas.openxmlformats.org/officeDocument/2006/relationships/hyperlink" Id="rId83" Target="https://www.congress.gov/105/plaws/publ277/PLAW-105publ277.pdf#page=857" TargetMode="External" /><Relationship Type="http://schemas.openxmlformats.org/officeDocument/2006/relationships/hyperlink" Id="rId25" Target="https://www.congress.gov/bill/119th-congress/senate-bill/1792/text" TargetMode="External" /><Relationship Type="http://schemas.openxmlformats.org/officeDocument/2006/relationships/hyperlink" Id="rId133" Target="https://www.congress.gov/bill/82nd-congress/house-bill/4687/text" TargetMode="External" /><Relationship Type="http://schemas.openxmlformats.org/officeDocument/2006/relationships/hyperlink" Id="rId165" Target="https://www.ctbto.org/sites/default/files/Documents/treaty_text_Russian.pdf" TargetMode="External" /><Relationship Type="http://schemas.openxmlformats.org/officeDocument/2006/relationships/hyperlink" Id="rId89" Target="https://www.datacenterdynamics.com/en/news/nvidia-gpu-shipments-totaled-376m-in-2023-equating-to-a-98-market-share-report/" TargetMode="External" /><Relationship Type="http://schemas.openxmlformats.org/officeDocument/2006/relationships/hyperlink" Id="rId149" Target="https://www.directives.doe.gov/directives-documents/200-series/0232.2-BOrder-a-chg1-minchg/@@images/file" TargetMode="External" /><Relationship Type="http://schemas.openxmlformats.org/officeDocument/2006/relationships/hyperlink" Id="rId148" Target="https://www.ecfr.gov/current/title-10/chapter-X/part-1045" TargetMode="External" /><Relationship Type="http://schemas.openxmlformats.org/officeDocument/2006/relationships/hyperlink" Id="rId132" Target="https://www.ecfr.gov/current/title-22/chapter-I/subchapter-M/part-121" TargetMode="External" /><Relationship Type="http://schemas.openxmlformats.org/officeDocument/2006/relationships/hyperlink" Id="rId84" Target="https://www.epa.gov/ozone-layer-protection/ozone-protection-under-title-vi-clean-air-act" TargetMode="External" /><Relationship Type="http://schemas.openxmlformats.org/officeDocument/2006/relationships/hyperlink" Id="rId115" Target="https://www.fsis.usda.gov/sites/default/files/media_file/2021-02/Fed-Food-Inspect-Requirements.pdf" TargetMode="External" /><Relationship Type="http://schemas.openxmlformats.org/officeDocument/2006/relationships/hyperlink" Id="rId90" Target="https://www.governance.ai/analysis/computing-power-and-the-governance-of-ai" TargetMode="External" /><Relationship Type="http://schemas.openxmlformats.org/officeDocument/2006/relationships/hyperlink" Id="rId95" Target="https://www.governance.ai/research-paper/governing-through-the-cloud" TargetMode="External" /><Relationship Type="http://schemas.openxmlformats.org/officeDocument/2006/relationships/hyperlink" Id="rId123" Target="https://www.govinfo.gov/content/pkg/COMPS-1630/pdf/COMPS-1630.pdf" TargetMode="External" /><Relationship Type="http://schemas.openxmlformats.org/officeDocument/2006/relationships/hyperlink" Id="rId144" Target="https://www.govinfo.gov/content/pkg/COMPS-1630/pdf/COMPS-1630.pdf#page=154" TargetMode="External" /><Relationship Type="http://schemas.openxmlformats.org/officeDocument/2006/relationships/hyperlink" Id="rId100" Target="https://www.govinfo.gov/content/pkg/GPO-CRPT-105hrpt851/html/ch9bod.html#anchor5563742" TargetMode="External" /><Relationship Type="http://schemas.openxmlformats.org/officeDocument/2006/relationships/hyperlink" Id="rId112" Target="https://www.iaea.org/newscenter/news/surveying-safeguarded-material-24/7" TargetMode="External" /><Relationship Type="http://schemas.openxmlformats.org/officeDocument/2006/relationships/hyperlink" Id="rId74" Target="https://www.iaea.org/newscenter/pressreleases/update-on-developments-in-iran-5" TargetMode="External" /><Relationship Type="http://schemas.openxmlformats.org/officeDocument/2006/relationships/hyperlink" Id="rId99" Target="https://www.iaea.org/publications/13452/international-safeguards-in-the-design-of-enrichment-plants?utm_source=chatgpt.com" TargetMode="External" /><Relationship Type="http://schemas.openxmlformats.org/officeDocument/2006/relationships/hyperlink" Id="rId12" Target="https://www.iaea.org/ru/o-nas/ustav" TargetMode="External" /><Relationship Type="http://schemas.openxmlformats.org/officeDocument/2006/relationships/hyperlink" Id="rId166" Target="https://www.iaea.org/ru/temy/pravovaya-osnova-garantiy" TargetMode="External" /><Relationship Type="http://schemas.openxmlformats.org/officeDocument/2006/relationships/hyperlink" Id="rId31" Target="https://www.iaea.org/ru/uslugi/mezhdunarodnaya-set-centrov-podgotovki-kadrov-i-sodeystviya-deyatelnosti-v-oblasti-fizicheskoy-yadernoy-bezopasnosti" TargetMode="External" /><Relationship Type="http://schemas.openxmlformats.org/officeDocument/2006/relationships/hyperlink" Id="rId36" Target="https://www.iaea.org/sites/default/files/bgrules_rus.pdf" TargetMode="External" /><Relationship Type="http://schemas.openxmlformats.org/officeDocument/2006/relationships/hyperlink" Id="rId162" Target="https://www.iaea.org/sites/default/files/infcirc153_rus.pdf" TargetMode="External" /><Relationship Type="http://schemas.openxmlformats.org/officeDocument/2006/relationships/hyperlink" Id="rId154" Target="https://www.iaea.org/sites/default/files/safeguards0408.pdf" TargetMode="External" /><Relationship Type="http://schemas.openxmlformats.org/officeDocument/2006/relationships/hyperlink" Id="rId38" Target="https://www.iaea.org/sites/default/files/statute_rus.pdf" TargetMode="External" /><Relationship Type="http://schemas.openxmlformats.org/officeDocument/2006/relationships/hyperlink" Id="rId152" Target="https://www.iaea.org/topics/additional-protocol" TargetMode="External" /><Relationship Type="http://schemas.openxmlformats.org/officeDocument/2006/relationships/hyperlink" Id="rId61" Target="https://www.iaps.ai/research/secure-governable-chips" TargetMode="External" /><Relationship Type="http://schemas.openxmlformats.org/officeDocument/2006/relationships/hyperlink" Id="rId146" Target="https://www.law.cornell.edu/wex/crime_against_humanity" TargetMode="External" /><Relationship Type="http://schemas.openxmlformats.org/officeDocument/2006/relationships/hyperlink" Id="rId72" Target="https://www.mid.ru/ru/foreign_policy/rso/1511905/" TargetMode="External" /><Relationship Type="http://schemas.openxmlformats.org/officeDocument/2006/relationships/hyperlink" Id="rId164" Target="https://www.nonproliferation.org/wp-content/uploads/npr/dembin22.pdf#page=4" TargetMode="External" /><Relationship Type="http://schemas.openxmlformats.org/officeDocument/2006/relationships/hyperlink" Id="rId114" Target="https://www.nrc.gov/reactors/operating/oversight/rop-description/resident-insp-program.html" TargetMode="External" /><Relationship Type="http://schemas.openxmlformats.org/officeDocument/2006/relationships/hyperlink" Id="rId101" Target="https://www.nuclearsuppliersgroup.org/index.php/en/" TargetMode="External" /><Relationship Type="http://schemas.openxmlformats.org/officeDocument/2006/relationships/hyperlink" Id="rId181" Target="https://www.nytimes.com/2012/06/01/world/middleeast/obama-ordered-wave-of-cyberattacks-against-iran.html" TargetMode="External" /><Relationship Type="http://schemas.openxmlformats.org/officeDocument/2006/relationships/hyperlink" Id="rId34" Target="https://www.opcw.org/ru/nasha-rabota" TargetMode="External" /><Relationship Type="http://schemas.openxmlformats.org/officeDocument/2006/relationships/hyperlink" Id="rId171" Target="https://www.opcw.org/sites/default/files/documents/CWC/CWC_en.pdf" TargetMode="External" /><Relationship Type="http://schemas.openxmlformats.org/officeDocument/2006/relationships/hyperlink" Id="rId172" Target="https://www.osti.gov/servlets/purl/7166074" TargetMode="External" /><Relationship Type="http://schemas.openxmlformats.org/officeDocument/2006/relationships/hyperlink" Id="rId131" Target="https://www.pmddtc.state.gov/ddtc_public?id=ddtc_kb_article_page&amp;sys_id=24d528fddbfc930044f9ff621f961987" TargetMode="External" /><Relationship Type="http://schemas.openxmlformats.org/officeDocument/2006/relationships/hyperlink" Id="rId27" Target="https://www.rand.org/pubs/perspectives/PEA3776-1.html" TargetMode="External" /><Relationship Type="http://schemas.openxmlformats.org/officeDocument/2006/relationships/hyperlink" Id="rId60" Target="https://www.rand.org/pubs/working_papers/WRA3056-1.html" TargetMode="External" /><Relationship Type="http://schemas.openxmlformats.org/officeDocument/2006/relationships/hyperlink" Id="rId109" Target="https://www.rand.org/pubs/working_papers/WRA4077-1.html" TargetMode="External" /><Relationship Type="http://schemas.openxmlformats.org/officeDocument/2006/relationships/hyperlink" Id="rId139" Target="https://www.theverge.com/decoder-podcast-with-nilay-patel/761830/amazon-david-luan-agi-lab-adept-ai-interview" TargetMode="External" /><Relationship Type="http://schemas.openxmlformats.org/officeDocument/2006/relationships/hyperlink" Id="rId93" Target="https://www.trendforce.com/news/2024/04/24/news-amid-foundry-overcapacity-competition-for-hbm-intensifies-rapidly/" TargetMode="External" /><Relationship Type="http://schemas.openxmlformats.org/officeDocument/2006/relationships/hyperlink" Id="rId183" Target="https://www.un.org/depts/unscom/" TargetMode="External" /><Relationship Type="http://schemas.openxmlformats.org/officeDocument/2006/relationships/hyperlink" Id="rId191" Target="https://www.un.org/ru/documents/decl_conv/conventions/bacweap.shtml" TargetMode="External" /><Relationship Type="http://schemas.openxmlformats.org/officeDocument/2006/relationships/hyperlink" Id="rId35" Target="https://www.un.org/ru/documents/decl_conv/conventions/chemweapons.shtml" TargetMode="External" /><Relationship Type="http://schemas.openxmlformats.org/officeDocument/2006/relationships/hyperlink" Id="rId13" Target="https://www.un.org/ru/documents/decl_conv/conventions/npt.shtml" TargetMode="External" /><Relationship Type="http://schemas.openxmlformats.org/officeDocument/2006/relationships/hyperlink" Id="rId192" Target="https://www.un.org/ru/documents/decl_conv/conventions/outer_space_governing.shtml" TargetMode="External" /><Relationship Type="http://schemas.openxmlformats.org/officeDocument/2006/relationships/hyperlink" Id="rId80" Target="https://www.un.org/ru/documents/decl_conv/conventions/pdf/abm.pdf" TargetMode="External" /><Relationship Type="http://schemas.openxmlformats.org/officeDocument/2006/relationships/hyperlink" Id="rId50" Target="https://www.un.org/ru/documents/decl_conv/conventions/pdf/nuclear_seabed.pdf" TargetMode="External" /><Relationship Type="http://schemas.openxmlformats.org/officeDocument/2006/relationships/hyperlink" Id="rId82" Target="https://www.un.org/ru/documents/decl_conv/conventions/pdf/treaty.pdf" TargetMode="External" /><Relationship Type="http://schemas.openxmlformats.org/officeDocument/2006/relationships/hyperlink" Id="rId169" Target="https://www.un.org/ru/documents/decl_conv/conventions/refugees.shtml" TargetMode="External" /><Relationship Type="http://schemas.openxmlformats.org/officeDocument/2006/relationships/hyperlink" Id="rId14" Target="https://www.un.org/ru/documents/decl_conv/conventions/russia_usa.shtml" TargetMode="External" /><Relationship Type="http://schemas.openxmlformats.org/officeDocument/2006/relationships/hyperlink" Id="rId147" Target="https://www.un.org/ru/law/icc/rome_statute(r).pdf" TargetMode="External" /><Relationship Type="http://schemas.openxmlformats.org/officeDocument/2006/relationships/hyperlink" Id="rId126" Target="https://www.usa.gov/agencies/national-nuclear-security-administr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2025-12-14T18:17:45Z</dcterms:created>
  <dcterms:modified xsi:type="dcterms:W3CDTF">2025-12-14T18:17:45Z</dcterms:modified>
</cp:coreProperties>
</file>

<file path=docProps/custom.xml><?xml version="1.0" encoding="utf-8"?>
<Properties xmlns="http://schemas.openxmlformats.org/officeDocument/2006/custom-properties" xmlns:vt="http://schemas.openxmlformats.org/officeDocument/2006/docPropsVTypes"/>
</file>