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100" w:lineRule="auto"/>
        <w:jc w:val="center"/>
        <w:rPr>
          <w:b w:val="1"/>
          <w:bCs w:val="1"/>
        </w:rPr>
      </w:pPr>
      <w:bookmarkStart w:colFirst="0" w:colLast="0" w:name="_x4ttislnnd18" w:id="0"/>
      <w:bookmarkEnd w:id="0"/>
      <w:r w:rsidDel="00000000" w:rsidR="00000000" w:rsidRPr="00000000">
        <w:rPr>
          <w:b w:val="1"/>
          <w:bCs w:val="1"/>
          <w:rtl w:val="0"/>
        </w:rPr>
        <w:t xml:space="preserve">THE IMPACT OF GREEN BOND ISSUANCE ON FINANCIAL AND ENVIRONMENTAL PERFORMANCE: EMPIRICAL EVIDENCE FROM LISTED COMPANIES IN ASEAN FROM 2020 - 2025.</w:t>
      </w:r>
    </w:p>
    <w:p w:rsidR="00000000" w:rsidDel="00000000" w:rsidP="00000000" w:rsidRDefault="00000000" w:rsidRPr="00000000" w14:paraId="00000002">
      <w:pPr>
        <w:pStyle w:val="Title"/>
        <w:widowControl w:val="0"/>
        <w:spacing w:after="100" w:lineRule="auto"/>
        <w:jc w:val="both"/>
        <w:rPr>
          <w:b w:val="1"/>
          <w:bCs w:val="1"/>
        </w:rPr>
      </w:pPr>
      <w:bookmarkStart w:colFirst="0" w:colLast="0" w:name="_w63i7jay0j3" w:id="1"/>
      <w:bookmarkEnd w:id="1"/>
      <w:r w:rsidDel="00000000" w:rsidR="00000000" w:rsidRPr="00000000">
        <w:rPr>
          <w:rtl w:val="0"/>
        </w:rPr>
      </w:r>
    </w:p>
    <w:p w:rsidR="00000000" w:rsidDel="00000000" w:rsidP="00000000" w:rsidRDefault="00000000" w:rsidRPr="00000000" w14:paraId="00000003">
      <w:pPr>
        <w:pStyle w:val="Title"/>
        <w:widowControl w:val="0"/>
        <w:spacing w:after="100" w:lineRule="auto"/>
        <w:jc w:val="center"/>
        <w:rPr>
          <w:b w:val="1"/>
          <w:bCs w:val="1"/>
        </w:rPr>
      </w:pPr>
      <w:bookmarkStart w:colFirst="0" w:colLast="0" w:name="_5sr9784webcy" w:id="2"/>
      <w:bookmarkEnd w:id="2"/>
      <w:r w:rsidDel="00000000" w:rsidR="00000000" w:rsidRPr="00000000">
        <w:br w:type="page"/>
      </w:r>
      <w:r w:rsidDel="00000000" w:rsidR="00000000" w:rsidRPr="00000000">
        <w:rPr>
          <w:rtl w:val="0"/>
        </w:rPr>
      </w:r>
    </w:p>
    <w:p w:rsidR="00000000" w:rsidDel="00000000" w:rsidP="00000000" w:rsidRDefault="00000000" w:rsidRPr="00000000" w14:paraId="00000004">
      <w:pPr>
        <w:pStyle w:val="Title"/>
        <w:widowControl w:val="0"/>
        <w:spacing w:after="100" w:lineRule="auto"/>
        <w:jc w:val="center"/>
        <w:rPr>
          <w:b w:val="1"/>
          <w:bCs w:val="1"/>
          <w:vertAlign w:val="baseline"/>
        </w:rPr>
      </w:pPr>
      <w:bookmarkStart w:colFirst="0" w:colLast="0" w:name="_uskxa2wefopf" w:id="3"/>
      <w:bookmarkEnd w:id="3"/>
      <w:r w:rsidDel="00000000" w:rsidR="00000000" w:rsidRPr="00000000">
        <w:rPr>
          <w:b w:val="1"/>
          <w:bCs w:val="1"/>
          <w:rtl w:val="0"/>
        </w:rPr>
        <w:t xml:space="preserve">DECLARATION</w:t>
      </w:r>
      <w:r w:rsidDel="00000000" w:rsidR="00000000" w:rsidRPr="00000000">
        <w:rPr>
          <w:rtl w:val="0"/>
        </w:rPr>
      </w:r>
    </w:p>
    <w:p w:rsidR="00000000" w:rsidDel="00000000" w:rsidP="00000000" w:rsidRDefault="00000000" w:rsidRPr="00000000" w14:paraId="00000005">
      <w:pPr>
        <w:pStyle w:val="Title"/>
        <w:widowControl w:val="0"/>
        <w:spacing w:after="100" w:lineRule="auto"/>
        <w:jc w:val="both"/>
        <w:rPr>
          <w:b w:val="1"/>
          <w:bCs w:val="1"/>
        </w:rPr>
      </w:pPr>
      <w:bookmarkStart w:colFirst="0" w:colLast="0" w:name="_22milck0h1xh" w:id="4"/>
      <w:bookmarkEnd w:id="4"/>
      <w:r w:rsidDel="00000000" w:rsidR="00000000" w:rsidRPr="00000000">
        <w:rPr>
          <w:rtl w:val="0"/>
        </w:rPr>
        <w:t xml:space="preserve">We hereby declare that the research study title “The Impact of Green Bond Issuance on Financial and Environmental Performance: Empirical Evidence from Listed Companies in ASEAN from 2020 - 2025.” is our original work, conducted under professional and dedicated supervision of Vu Minh Chien MSc., We solemnly confirm that this thesis, to the best of our knowledge, does not contain any material previously published or written by any other person, now has it been submitted, in whole or in part, for any other degree or professional qualification at this or any other institution, except where due reference and acknowledgement are explicitly made within the text. Furthermore, we certify that the empirical data utilized in this study, specifically the firm - level panel data from 2020 to 2025 retrieved from LSEG Datastream/ Workspace, has been processed, analyzed, and interpreted with the highest standards of academic integrity. All sources of information, including academic literature and institutional reports have been accurately cited in accordance with the APA 6th Edition referencing standards. We take full responsibility for the authenticity of the findings and understand that any breach of this declaration may result in disciplinary action according to the university's academic regulations.</w:t>
      </w: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widowControl w:val="0"/>
        <w:spacing w:after="100" w:lineRule="auto"/>
        <w:jc w:val="center"/>
        <w:rPr>
          <w:b w:val="1"/>
          <w:bCs w:val="1"/>
          <w:vertAlign w:val="baseline"/>
        </w:rPr>
      </w:pPr>
      <w:bookmarkStart w:colFirst="0" w:colLast="0" w:name="_km1uhsiv6s3" w:id="5"/>
      <w:bookmarkEnd w:id="5"/>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07">
      <w:pPr>
        <w:pStyle w:val="Title"/>
        <w:jc w:val="both"/>
        <w:rPr>
          <w:b w:val="1"/>
          <w:bCs w:val="1"/>
        </w:rPr>
      </w:pPr>
      <w:bookmarkStart w:colFirst="0" w:colLast="0" w:name="_qh5ypjv27bm8" w:id="6"/>
      <w:bookmarkEnd w:id="6"/>
      <w:r w:rsidDel="00000000" w:rsidR="00000000" w:rsidRPr="00000000">
        <w:br w:type="page"/>
      </w:r>
      <w:r w:rsidDel="00000000" w:rsidR="00000000" w:rsidRPr="00000000">
        <w:rPr>
          <w:rtl w:val="0"/>
        </w:rPr>
      </w:r>
    </w:p>
    <w:p w:rsidR="00000000" w:rsidDel="00000000" w:rsidP="00000000" w:rsidRDefault="00000000" w:rsidRPr="00000000" w14:paraId="00000008">
      <w:pPr>
        <w:pStyle w:val="Title"/>
        <w:jc w:val="center"/>
        <w:rPr>
          <w:b w:val="1"/>
          <w:bCs w:val="1"/>
        </w:rPr>
      </w:pPr>
      <w:bookmarkStart w:colFirst="0" w:colLast="0" w:name="_e03orgn2sc2q" w:id="7"/>
      <w:bookmarkEnd w:id="7"/>
      <w:r w:rsidDel="00000000" w:rsidR="00000000" w:rsidRPr="00000000">
        <w:rPr>
          <w:b w:val="1"/>
          <w:bCs w:val="1"/>
          <w:rtl w:val="0"/>
        </w:rPr>
        <w:t xml:space="preserve">LIST OF TABLES AND FIGURES</w:t>
      </w:r>
    </w:p>
    <w:p w:rsidR="00000000" w:rsidDel="00000000" w:rsidP="00000000" w:rsidRDefault="00000000" w:rsidRPr="00000000" w14:paraId="00000009">
      <w:pPr>
        <w:pStyle w:val="Title"/>
        <w:widowControl w:val="0"/>
        <w:spacing w:after="100" w:lineRule="auto"/>
        <w:jc w:val="both"/>
        <w:rPr>
          <w:b w:val="1"/>
          <w:bCs w:val="1"/>
        </w:rPr>
      </w:pPr>
      <w:bookmarkStart w:colFirst="0" w:colLast="0" w:name="_ovnqminngqa9" w:id="8"/>
      <w:bookmarkEnd w:id="8"/>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widowControl w:val="0"/>
        <w:spacing w:after="100" w:lineRule="auto"/>
        <w:jc w:val="center"/>
        <w:rPr>
          <w:b w:val="1"/>
          <w:bCs w:val="1"/>
        </w:rPr>
      </w:pPr>
      <w:bookmarkStart w:colFirst="0" w:colLast="0" w:name="_xchnhzupi80l" w:id="9"/>
      <w:bookmarkEnd w:id="9"/>
      <w:r w:rsidDel="00000000" w:rsidR="00000000" w:rsidRPr="00000000">
        <w:rPr>
          <w:b w:val="1"/>
          <w:bCs w:val="1"/>
          <w:rtl w:val="0"/>
        </w:rPr>
        <w:t xml:space="preserve">LIST OF ABBREVIATIONS </w:t>
      </w:r>
    </w:p>
    <w:p w:rsidR="00000000" w:rsidDel="00000000" w:rsidP="00000000" w:rsidRDefault="00000000" w:rsidRPr="00000000" w14:paraId="0000000B">
      <w:pPr>
        <w:pStyle w:val="Title"/>
        <w:widowControl w:val="0"/>
        <w:spacing w:after="100" w:lineRule="auto"/>
        <w:jc w:val="both"/>
        <w:rPr>
          <w:b w:val="1"/>
          <w:bCs w:val="1"/>
        </w:rPr>
      </w:pPr>
      <w:bookmarkStart w:colFirst="0" w:colLast="0" w:name="_jfm0473yba2z" w:id="10"/>
      <w:bookmarkEnd w:id="10"/>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widowControl w:val="0"/>
        <w:spacing w:after="100" w:lineRule="auto"/>
        <w:jc w:val="center"/>
        <w:rPr>
          <w:b w:val="1"/>
          <w:bCs w:val="1"/>
          <w:vertAlign w:val="baseline"/>
        </w:rPr>
      </w:pPr>
      <w:bookmarkStart w:colFirst="0" w:colLast="0" w:name="_uh78d8dh93go" w:id="11"/>
      <w:bookmarkEnd w:id="11"/>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sustainable development becomes a global imperative, green finance - particularly green bonds - is playing an increasingly pivotal role in mobilizing capital for environmentally friendly initiatives. In the ASEAN region, where financial systems are undergoing significant transformation, the green bond market is expected to serve as a strategic lever. This instrument enables listed firms to optimize their capital structures and enhance brand reputation through Environmental, Social, and Governance (ESG) commitments.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corporations, the issuance of green bonds is far more than a mere funding tool; it functions as a vital signaling mechanism that mitigates information asymmetry and attracts responsible investors. However, challenges regarding "greenwashing" and the decoupling between documented commitments and actual performance remain significant barriers to regional market transparency. Whether green bond issuance truly leads to substantive internal transformations in financial efficiency and environmental accountability remains an open question that requires rigorous empirical evidence.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Against this backdrop, this study is conducted under the title: "The Impact of Green Bond Issuance on Financial and Environmental Performance: Empirical Evidence from Listed Companies in ASEAN from 2020 - 2025." By analyzing empirical data from 2020 to 2025, the research aims to decode the causal relationship between bond issuance and shifts in corporate performance, thereby providing profound empirical insights into the internal transformations of firms post - issuance. These insights not only assist managers in recognizing the intrinsic value of green bonds but also contribute to elucidating the operational mechanisms of the sustainable financial ecosystem within the current ASEAN context.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Title"/>
        <w:widowControl w:val="0"/>
        <w:spacing w:after="100" w:lineRule="auto"/>
        <w:jc w:val="center"/>
        <w:rPr>
          <w:vertAlign w:val="baseline"/>
        </w:rPr>
      </w:pPr>
      <w:bookmarkStart w:colFirst="0" w:colLast="0" w:name="_6rkmy8jztq53" w:id="12"/>
      <w:bookmarkEnd w:id="12"/>
      <w:r w:rsidDel="00000000" w:rsidR="00000000" w:rsidRPr="00000000">
        <w:rPr>
          <w:b w:val="1"/>
          <w:bCs w:val="1"/>
          <w:rtl w:val="0"/>
        </w:rPr>
        <w:t xml:space="preserve">CHAPTER I. INTRODUCTION</w:t>
      </w:r>
      <w:r w:rsidDel="00000000" w:rsidR="00000000" w:rsidRPr="00000000">
        <w:rPr>
          <w:vertAlign w:val="baseline"/>
          <w:rtl w:val="0"/>
        </w:rPr>
        <w:t xml:space="preserve"> </w:t>
      </w:r>
    </w:p>
    <w:p w:rsidR="00000000" w:rsidDel="00000000" w:rsidP="00000000" w:rsidRDefault="00000000" w:rsidRPr="00000000" w14:paraId="00000013">
      <w:pPr>
        <w:pStyle w:val="Subtitle"/>
        <w:widowControl w:val="0"/>
        <w:spacing w:after="100" w:lineRule="auto"/>
        <w:jc w:val="both"/>
        <w:rPr/>
      </w:pPr>
      <w:bookmarkStart w:colFirst="0" w:colLast="0" w:name="_vfq4cbbaxsxz" w:id="13"/>
      <w:bookmarkEnd w:id="13"/>
      <w:r w:rsidDel="00000000" w:rsidR="00000000" w:rsidRPr="00000000">
        <w:rPr>
          <w:rtl w:val="0"/>
        </w:rPr>
        <w:t xml:space="preserve">1.1. Rationale for the Study</w:t>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face of rapid global climate change, environmental degradation and resource depletion have necessitated a strategic global shift toward green transition and sustainable development. This transition is particularly critical for the developing economies within the ASEAN region (OECD, 2017; World Bank, 2020). For these nations, the strategic priority lies in a dual challenge: maintaining robust economic growth while simultaneously mitigating negative environmental impacts. In this context, the financial system serves as the backbone of the economy and holds a pivotal role in directing capital toward low - carbon industries and green initiatives (Campiglio, 2016; Zhang et al., 2021).</w:t>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Parallel to the development of green financial markets, green bonds have emerged as an essential instrument for mobilizing medium- and long-term debt capital. These instruments are designed to finance renewable energy, green infrastructure, and climate adaptation projects, often providing a mechanism to optimize financing costs for sustainability goals (Eyraud et al., 2013; Flammer, 2021). However, within the ASEAN context - where the green bond market is still in a developing stage relative to the massive demand for capital - concerns</w:t>
      </w:r>
      <w:r w:rsidDel="00000000" w:rsidR="00000000" w:rsidRPr="00000000">
        <w:rPr>
          <w:rFonts w:ascii="Times New Roman" w:cs="Times New Roman" w:eastAsia="Times New Roman" w:hAnsi="Times New Roman"/>
          <w:sz w:val="26"/>
          <w:szCs w:val="26"/>
          <w:highlight w:val="yellow"/>
          <w:rtl w:val="0"/>
        </w:rPr>
        <w:t xml:space="preserve"> regarding "greenwashing" have surfaced, potentially undermining the efficiency of capital mobilization</w:t>
      </w:r>
      <w:r w:rsidDel="00000000" w:rsidR="00000000" w:rsidRPr="00000000">
        <w:rPr>
          <w:rFonts w:ascii="Times New Roman" w:cs="Times New Roman" w:eastAsia="Times New Roman" w:hAnsi="Times New Roman"/>
          <w:sz w:val="26"/>
          <w:szCs w:val="26"/>
          <w:rtl w:val="0"/>
        </w:rPr>
        <w:t xml:space="preserve"> (ADB, 2021; Busch &amp; Hoffmann, 2009; Kim &amp; Lyon, 2015).</w:t>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Against this backdrop, internal capabilities and corporate governance - specifically the integration of environmental dimensions into strategy, organizational structure, and ESG disclosure - are increasingly viewed as prerequisites for the credibility of green bond issuance (Fernando et al., 2019; Li et al., 2020). While the act of issuance itself represents a commitment to the market, the subsequent impact on actual corporate performance remains a complex subject of study. The interaction between a firm's signaling intent through green bonds and its substantive operational and environmental outcomes is a decisive factor in establishing long-term trust within fragmented institutional environments like ASEAN.</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these premises, this study is conducted under the title: "The Impact of Green Bond Issuance on Financial and Environmental Performance: Empirical Evidence from Listed Companies in ASEAN from 2020 - 2025." The central objective of this research is to provide an objective evaluation system for the internal transformations of firms following green bond issuance. Specifically, the study analyzes simultaneous changes across two dimensions: internal profitability and substantive environmental stewardship. By examining this relationship, the research expects to clarify whether green bonds deliver real value in the ASEAN context, thereby offering practical insights for corporate managers in strategy formulation and providing regulatory authorities with evidence - based suggestions for supervising the regional green financial market.</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pStyle w:val="Subtitle"/>
        <w:widowControl w:val="0"/>
        <w:spacing w:after="100" w:lineRule="auto"/>
        <w:jc w:val="both"/>
        <w:rPr>
          <w:vertAlign w:val="baseline"/>
        </w:rPr>
      </w:pPr>
      <w:bookmarkStart w:colFirst="0" w:colLast="0" w:name="_uk3ibmcq1z4h" w:id="14"/>
      <w:bookmarkEnd w:id="14"/>
      <w:r w:rsidDel="00000000" w:rsidR="00000000" w:rsidRPr="00000000">
        <w:rPr>
          <w:rtl w:val="0"/>
        </w:rPr>
        <w:t xml:space="preserve">1.2. Research Objectives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1.2.1. </w:t>
      </w:r>
      <w:r w:rsidDel="00000000" w:rsidR="00000000" w:rsidRPr="00000000">
        <w:rPr>
          <w:rFonts w:ascii="Times New Roman" w:cs="Times New Roman" w:eastAsia="Times New Roman" w:hAnsi="Times New Roman"/>
          <w:i w:val="1"/>
          <w:iCs w:val="1"/>
          <w:sz w:val="26"/>
          <w:szCs w:val="26"/>
          <w:rtl w:val="0"/>
        </w:rPr>
        <w:t xml:space="preserve">General Objective</w:t>
      </w: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objective of this study is to provide a rigorous causal evaluation of how green bond issuance affects the financial performance and environmental outcomes of listed companies across the ASEAN region. Through this evaluation, the research aims to establish a comprehensive evidence  -based framework to support corporate managers and regional financial regulators in fostering a sustainable, transparent, and credible financial ecosystem.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1.2.2. </w:t>
      </w:r>
      <w:r w:rsidDel="00000000" w:rsidR="00000000" w:rsidRPr="00000000">
        <w:rPr>
          <w:rFonts w:ascii="Times New Roman" w:cs="Times New Roman" w:eastAsia="Times New Roman" w:hAnsi="Times New Roman"/>
          <w:i w:val="1"/>
          <w:iCs w:val="1"/>
          <w:sz w:val="26"/>
          <w:szCs w:val="26"/>
          <w:rtl w:val="0"/>
        </w:rPr>
        <w:t xml:space="preserve">Specific Objectives</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achieve the general objective, the research pursues the following interconnected specific aims.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the study aims to systemise the theoretical framework and synthesise the existing literature on green finance, corporate value, and environmental accountability.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the study seeks to empirically measure the causal impacts of green bond issuance across two distinct dimensions of financial performance considering both internal operational efficiency and external market valuation.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the research intends to assess post-issuance environmental performance by moving beyond simplistic ESG scores. Utilizing a tiered authenticity framework, the study aims to identify whether improvements in environmental performance are substantive or merely symbolic.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the study focuses on evaluating the persistence and statistical stability of these impacts. The ultimate goal is to offer evidence-based recommendations for ASEAN corporate managers to optimize their green strategies and for policy makers to refine disclosure requirements, thereby enhancing the long-term credibility and attractiveness of the regional green bond market.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pStyle w:val="Subtitle"/>
        <w:widowControl w:val="0"/>
        <w:spacing w:after="100" w:lineRule="auto"/>
        <w:jc w:val="both"/>
        <w:rPr>
          <w:vertAlign w:val="baseline"/>
        </w:rPr>
      </w:pPr>
      <w:bookmarkStart w:colFirst="0" w:colLast="0" w:name="_vxbakm8z5lji" w:id="15"/>
      <w:bookmarkEnd w:id="15"/>
      <w:r w:rsidDel="00000000" w:rsidR="00000000" w:rsidRPr="00000000">
        <w:rPr>
          <w:vertAlign w:val="baseline"/>
          <w:rtl w:val="0"/>
        </w:rPr>
        <w:t xml:space="preserve">1.3. </w:t>
      </w:r>
      <w:r w:rsidDel="00000000" w:rsidR="00000000" w:rsidRPr="00000000">
        <w:rPr>
          <w:rtl w:val="0"/>
        </w:rPr>
        <w:t xml:space="preserve">Research Questions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thesis seeks to address a series of critical research questions that bridge the gap between financial theory and environmental practice in Southeast Asia. First, does the issuance of green bonds lead to a statistically significant improvement in the internal profitability of ASEAN listed firms, specifically as measured by the Return on Assets (ROA)?</w:t>
      </w:r>
      <w:r w:rsidDel="00000000" w:rsidR="00000000" w:rsidRPr="00000000">
        <w:rPr>
          <w:rFonts w:ascii="Times New Roman" w:cs="Times New Roman" w:eastAsia="Times New Roman" w:hAnsi="Times New Roman"/>
          <w:sz w:val="26"/>
          <w:szCs w:val="26"/>
          <w:rtl w:val="0"/>
        </w:rPr>
        <w:t xml:space="preserve"> This question explores the fundamental premise of whether green financing translates into superior operational efficiency and asset utilization.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how does the market value of a firm, represented by Tobin’s Q, respond to the signaling effect of a green bond issuance over time?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to what extent do </w:t>
      </w:r>
      <w:r w:rsidDel="00000000" w:rsidR="00000000" w:rsidRPr="00000000">
        <w:rPr>
          <w:rFonts w:ascii="Times New Roman" w:cs="Times New Roman" w:eastAsia="Times New Roman" w:hAnsi="Times New Roman"/>
          <w:sz w:val="26"/>
          <w:szCs w:val="26"/>
          <w:rtl w:val="0"/>
        </w:rPr>
        <w:t xml:space="preserve">environmental outcomes improve following bond issuance</w:t>
      </w:r>
      <w:r w:rsidDel="00000000" w:rsidR="00000000" w:rsidRPr="00000000">
        <w:rPr>
          <w:rFonts w:ascii="Times New Roman" w:cs="Times New Roman" w:eastAsia="Times New Roman" w:hAnsi="Times New Roman"/>
          <w:sz w:val="26"/>
          <w:szCs w:val="26"/>
          <w:rtl w:val="0"/>
        </w:rPr>
        <w:t xml:space="preserve">, and does the empirical evidence support a hypothesis of "material improvement" or a "greenwashing" narrative?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w:t>
      </w:r>
      <w:r w:rsidDel="00000000" w:rsidR="00000000" w:rsidRPr="00000000">
        <w:rPr>
          <w:rFonts w:ascii="Times New Roman" w:cs="Times New Roman" w:eastAsia="Times New Roman" w:hAnsi="Times New Roman"/>
          <w:sz w:val="26"/>
          <w:szCs w:val="26"/>
          <w:rtl w:val="0"/>
        </w:rPr>
        <w:t xml:space="preserve">are </w:t>
      </w:r>
      <w:r w:rsidDel="00000000" w:rsidR="00000000" w:rsidRPr="00000000">
        <w:rPr>
          <w:rFonts w:ascii="Times New Roman" w:cs="Times New Roman" w:eastAsia="Times New Roman" w:hAnsi="Times New Roman"/>
          <w:sz w:val="26"/>
          <w:szCs w:val="26"/>
          <w:rtl w:val="0"/>
        </w:rPr>
        <w:t xml:space="preserve">the observed impacts of green bonds persistent and statistically stable when accounting for dynamic endogeneity and unobservable entity-fixed effects?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1.4. </w:t>
      </w:r>
      <w:r w:rsidDel="00000000" w:rsidR="00000000" w:rsidRPr="00000000">
        <w:rPr>
          <w:rFonts w:ascii="Times New Roman" w:cs="Times New Roman" w:eastAsia="Times New Roman" w:hAnsi="Times New Roman"/>
          <w:sz w:val="26"/>
          <w:szCs w:val="26"/>
          <w:rtl w:val="0"/>
        </w:rPr>
        <w:t xml:space="preserve">Research Objects and Scope</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1.4.1. </w:t>
      </w:r>
      <w:r w:rsidDel="00000000" w:rsidR="00000000" w:rsidRPr="00000000">
        <w:rPr>
          <w:rFonts w:ascii="Times New Roman" w:cs="Times New Roman" w:eastAsia="Times New Roman" w:hAnsi="Times New Roman"/>
          <w:i w:val="1"/>
          <w:iCs w:val="1"/>
          <w:sz w:val="26"/>
          <w:szCs w:val="26"/>
          <w:rtl w:val="0"/>
        </w:rPr>
        <w:t xml:space="preserve">Research Objects</w:t>
      </w: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central object of this research is the causal relationship between green bond issuance and corporate performance within the ASEAN region. Specifically, the study examines green bond issuance as the independent variable (treatment variable) and its subsequent impact on two distinct corporate dimensions: Financial Performance and Environmental Performance. The research subjects consist of publicly listed companies that have successfully issued green bonds, which are compared against a control group of non-issuing firms with similar characteristics to ensure the rigor of the counterfactual analysis.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1.4.2. </w:t>
      </w:r>
      <w:r w:rsidDel="00000000" w:rsidR="00000000" w:rsidRPr="00000000">
        <w:rPr>
          <w:rFonts w:ascii="Times New Roman" w:cs="Times New Roman" w:eastAsia="Times New Roman" w:hAnsi="Times New Roman"/>
          <w:i w:val="1"/>
          <w:iCs w:val="1"/>
          <w:sz w:val="26"/>
          <w:szCs w:val="26"/>
          <w:rtl w:val="0"/>
        </w:rPr>
        <w:t xml:space="preserve">Research Scope</w:t>
      </w: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Regarding the geographical scope, the study focuses on representative markets within the ASEAN region, specifically targeting publicly listed companies in nations including Vietnam, Thailand, Malaysia, Singapore, Indonesia, and Philippines. These nations represent the core of the regional green bond market and operate under the standardized regulatory framework of the ASEAN Green Bond Standards, providing an ideal context for comparative analysis.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terms of the temporal scope, the research utilizes an unbalanced panel dataset spanning a 5 - year period from 2020 to 2025. This timeframe is strategically selected to capture the rapid growth and regulatory standardization of the ASEAN green bond market following the COP26 climate commitments (World Bank, 2020; ADB, 2021). This period serves as a critical observation window to evaluate the “structural greenwashing” patterns - characterized by high certification rates despite absent verified environmental improvements - and to analyze the time - lagged effects of green issuance on substantive operational performance during the region's early - stage institutional development (Bai, 2025; Loiola et al., 2025), allowing for the observation of both immediate shifts and long-term trends.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methodological and content scope prioritizes a high-level identification strategy to ensure statistical validity. The study focuses on key financial indicators, such as Return on Assets (ROA) and Tobin’s Q, alongside environmental metrics derived from ESG scores and an ESG Divergence Proxy to detect greenwashing behaviors. To address potential biases, the methodological scope employs a multi-stage econometric approach: using Propensity Score Matching (PSM) to establish a comparable control group, Difference-in-Differences (DiD) to isolate the treatment effect of the issuance, and System GMM to control for the dynamic nature of financial data and endogeneity arising from unobservable firm-specific characteristics.</w:t>
      </w:r>
    </w:p>
    <w:p w:rsidR="00000000" w:rsidDel="00000000" w:rsidP="00000000" w:rsidRDefault="00000000" w:rsidRPr="00000000" w14:paraId="00000035">
      <w:pPr>
        <w:pStyle w:val="Subtitle"/>
        <w:widowControl w:val="0"/>
        <w:spacing w:after="100" w:lineRule="auto"/>
        <w:jc w:val="both"/>
        <w:rPr/>
      </w:pPr>
      <w:bookmarkStart w:colFirst="0" w:colLast="0" w:name="_ihs9ob9isyxa" w:id="16"/>
      <w:bookmarkEnd w:id="16"/>
      <w:r w:rsidDel="00000000" w:rsidR="00000000" w:rsidRPr="00000000">
        <w:rPr>
          <w:rtl w:val="0"/>
        </w:rPr>
      </w:r>
    </w:p>
    <w:p w:rsidR="00000000" w:rsidDel="00000000" w:rsidP="00000000" w:rsidRDefault="00000000" w:rsidRPr="00000000" w14:paraId="00000036">
      <w:pPr>
        <w:pStyle w:val="Subtitle"/>
        <w:widowControl w:val="0"/>
        <w:spacing w:after="100" w:lineRule="auto"/>
        <w:jc w:val="both"/>
        <w:rPr>
          <w:vertAlign w:val="baseline"/>
        </w:rPr>
      </w:pPr>
      <w:bookmarkStart w:colFirst="0" w:colLast="0" w:name="_wzyydtcyq6s4" w:id="17"/>
      <w:bookmarkEnd w:id="17"/>
      <w:r w:rsidDel="00000000" w:rsidR="00000000" w:rsidRPr="00000000">
        <w:rPr>
          <w:vertAlign w:val="baseline"/>
          <w:rtl w:val="0"/>
        </w:rPr>
        <w:t xml:space="preserve">1.</w:t>
      </w:r>
      <w:r w:rsidDel="00000000" w:rsidR="00000000" w:rsidRPr="00000000">
        <w:rPr>
          <w:rtl w:val="0"/>
        </w:rPr>
        <w:t xml:space="preserve">5</w:t>
      </w:r>
      <w:r w:rsidDel="00000000" w:rsidR="00000000" w:rsidRPr="00000000">
        <w:rPr>
          <w:vertAlign w:val="baseline"/>
          <w:rtl w:val="0"/>
        </w:rPr>
        <w:t xml:space="preserve">. </w:t>
      </w:r>
      <w:r w:rsidDel="00000000" w:rsidR="00000000" w:rsidRPr="00000000">
        <w:rPr>
          <w:rtl w:val="0"/>
        </w:rPr>
        <w:t xml:space="preserve">Thesis Structure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content of this thesis is organized into five interconnected chapters, designed to provide a systematic and rigorous research trajectory for the problem under study. Chapter 1- Introduction establishes the foundational context of the research, articulating the rationale for the study, research objectives, and the core questions driving the entire process. This chapter also defines the geographical, temporal, and methodological boundaries of the research.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2 - Literature Review and Hypothesis Development provides a comprehensive synthesis of existing academic discourses on green finance and corporate performance, constructing the conceptual model and formalizing the research hypotheses for empirical testing.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3 - Research Methodology details the technical execution of the study. It describes the quasi-experimental research design, the process of data collection and aggregation across ASEAN markets, and the technical specifications of the econometric models, specifically the PSM-DiD and System GMM analytical frameworks.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4 - Empirical Results and Discussion presents the core findings of the study, including baseline regression results, parallel trend tests, and robustness checks. Additionally, this chapter provides in-depth discussions, contrasting empirical evidence with the theoretical expectations established in Chapter 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Chapter 5 - Conclusion and Recommendations synthesizes the primary findings and discusses their broader implications, focusing on providing strategic policy recommendations for ASEAN policymakers and practical insights for corporate managers, while acknowledging the study's limitations and suggesting directions for future research.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Title"/>
        <w:widowControl w:val="0"/>
        <w:spacing w:after="100" w:lineRule="auto"/>
        <w:jc w:val="center"/>
        <w:rPr>
          <w:b w:val="1"/>
          <w:bCs w:val="1"/>
          <w:vertAlign w:val="baseline"/>
        </w:rPr>
      </w:pPr>
      <w:bookmarkStart w:colFirst="0" w:colLast="0" w:name="_olcqaihe66nz" w:id="18"/>
      <w:bookmarkEnd w:id="18"/>
      <w:r w:rsidDel="00000000" w:rsidR="00000000" w:rsidRPr="00000000">
        <w:rPr>
          <w:b w:val="1"/>
          <w:bCs w:val="1"/>
          <w:vertAlign w:val="baseline"/>
          <w:rtl w:val="0"/>
        </w:rPr>
        <w:t xml:space="preserve">CH</w:t>
      </w:r>
      <w:r w:rsidDel="00000000" w:rsidR="00000000" w:rsidRPr="00000000">
        <w:rPr>
          <w:b w:val="1"/>
          <w:bCs w:val="1"/>
          <w:rtl w:val="0"/>
        </w:rPr>
        <w:t xml:space="preserve">APTER</w:t>
      </w:r>
      <w:r w:rsidDel="00000000" w:rsidR="00000000" w:rsidRPr="00000000">
        <w:rPr>
          <w:b w:val="1"/>
          <w:bCs w:val="1"/>
          <w:vertAlign w:val="baseline"/>
          <w:rtl w:val="0"/>
        </w:rPr>
        <w:t xml:space="preserve"> II. </w:t>
      </w:r>
      <w:r w:rsidDel="00000000" w:rsidR="00000000" w:rsidRPr="00000000">
        <w:rPr>
          <w:b w:val="1"/>
          <w:bCs w:val="1"/>
          <w:rtl w:val="0"/>
        </w:rPr>
        <w:t xml:space="preserve">LITERATURE REVIEW AND THEORETICAL FRAMEWORK</w:t>
      </w:r>
      <w:r w:rsidDel="00000000" w:rsidR="00000000" w:rsidRPr="00000000">
        <w:rPr>
          <w:rtl w:val="0"/>
        </w:rPr>
      </w:r>
    </w:p>
    <w:p w:rsidR="00000000" w:rsidDel="00000000" w:rsidP="00000000" w:rsidRDefault="00000000" w:rsidRPr="00000000" w14:paraId="0000003F">
      <w:pPr>
        <w:pStyle w:val="Subtitle"/>
        <w:widowControl w:val="0"/>
        <w:jc w:val="both"/>
        <w:rPr>
          <w:vertAlign w:val="baseline"/>
        </w:rPr>
      </w:pPr>
      <w:bookmarkStart w:colFirst="0" w:colLast="0" w:name="_a1gn42fygmby" w:id="19"/>
      <w:bookmarkEnd w:id="19"/>
      <w:r w:rsidDel="00000000" w:rsidR="00000000" w:rsidRPr="00000000">
        <w:rPr>
          <w:vertAlign w:val="baseline"/>
          <w:rtl w:val="0"/>
        </w:rPr>
        <w:t xml:space="preserve">2.1. </w:t>
      </w:r>
      <w:r w:rsidDel="00000000" w:rsidR="00000000" w:rsidRPr="00000000">
        <w:rPr>
          <w:rtl w:val="0"/>
        </w:rPr>
        <w:t xml:space="preserve">Key Concepts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2.1.1. </w:t>
      </w:r>
      <w:r w:rsidDel="00000000" w:rsidR="00000000" w:rsidRPr="00000000">
        <w:rPr>
          <w:rFonts w:ascii="Times New Roman" w:cs="Times New Roman" w:eastAsia="Times New Roman" w:hAnsi="Times New Roman"/>
          <w:i w:val="1"/>
          <w:iCs w:val="1"/>
          <w:sz w:val="26"/>
          <w:szCs w:val="26"/>
          <w:rtl w:val="0"/>
        </w:rPr>
        <w:t xml:space="preserve">Definition of Green Bonds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According to Green Bond Principles of the International Capital Market Association, green bonds are any type of bond instrument where the proceeds or an equivalent amount will be exclusively applied to finance or re-finance, in part or in full, new and/or existing eligible Green Projects.  Green bonds are specialized fixed-income securities for projects with positive environmental or climatic outcomes, with instruments that facilitate the financing of sustainable initiatives, including renewable energy infrastructure, carbon-neutral transport, resource efficiency, and the restoration of biodiversity (Baker et al., 2018).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Green Bond Principles (GBP) categorize green bonds into four distinct types -Standard Green Use of Proceeds Bonds, Green Revenue Bonds, Green Project Bonds, and Secured Green Bonds -which are distinguished by their specific debt structures, the nature of the investor's recourse to the issuer, and the source of repayment, such as pledged cash flows or specific green assets. </w:t>
      </w:r>
    </w:p>
    <w:p w:rsidR="00000000" w:rsidDel="00000000" w:rsidP="00000000" w:rsidRDefault="00000000" w:rsidRPr="00000000" w14:paraId="00000043">
      <w:pPr>
        <w:widowControl w:val="0"/>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 bonds allow investors to support environmental projects while maintaining a risk profile identical to conventional debt, as full recourse to the issuer’s balance sheet insulates them from specific project risks (Maltais and Nykvist, 2020). These instruments mitigate information asymmetry by signaling a credible commitment to sustainability through third-party verification (Yeow &amp; Ng, 2021; Khurram et al., 2023). For issuers, the primary incentive is the "greenium," which enables raising capital at an average of 18 basis points less in annual interest while enhancing corporate value and innovation (Gianfrate &amp; Peri, 2019; Khurram et al., 2023). However, these advantages are balanced by significant administrative burdens and transaction costs related to certification and reporting (Maltais &amp; Nykvist, 2020). Furthermore, persistent ambiguity regarding green eligibility criteria creates a risk of "greenwashing," where firms may exploit the label for publicity without achieving genuine environmental impact (Yeow &amp; Ng, 2021; Maltais &amp; Nykvist, 2020).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2.1.2. </w:t>
      </w:r>
      <w:r w:rsidDel="00000000" w:rsidR="00000000" w:rsidRPr="00000000">
        <w:rPr>
          <w:rFonts w:ascii="Times New Roman" w:cs="Times New Roman" w:eastAsia="Times New Roman" w:hAnsi="Times New Roman"/>
          <w:i w:val="1"/>
          <w:iCs w:val="1"/>
          <w:sz w:val="26"/>
          <w:szCs w:val="26"/>
          <w:rtl w:val="0"/>
        </w:rPr>
        <w:t xml:space="preserve">Definition of Corporate Environmental Performance</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At the national level, the Environmental Performance Index (EPI) utilizes proximity-to-target indicators across nine policy categories to foster data-driven accountability regarding human health and ecosystem vitality (Hsu &amp; Zomer, 2016). Organizationally, performance is evaluated through a four-dimensional framework comprising organizational systems, stakeholder relations, external impacts, and regulatory compliance (Jiménez &amp; Lorente, 2001; Ilinitch et al., 1998). This involves assessing internal structures like TQEM and executive compensation (Ilinitch et al., 1998), monitoring external interactions and quantifiable outcomes like toxic spills (Jiménez &amp; Lorente, 2001; Ilinitch et al., 1998), and tracking adherence to legal standards through governmental proceedings and fines (Ilinitch et al., 1998).</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2.1.3. </w:t>
      </w:r>
      <w:r w:rsidDel="00000000" w:rsidR="00000000" w:rsidRPr="00000000">
        <w:rPr>
          <w:rFonts w:ascii="Times New Roman" w:cs="Times New Roman" w:eastAsia="Times New Roman" w:hAnsi="Times New Roman"/>
          <w:i w:val="1"/>
          <w:iCs w:val="1"/>
          <w:sz w:val="26"/>
          <w:szCs w:val="26"/>
          <w:rtl w:val="0"/>
        </w:rPr>
        <w:t xml:space="preserve">Definition of Corporate Financial Performance</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Accounting-based indicators, primarily Return on Assets (ROA) and Return on Equity (ROE), are frequently employed to evaluate the firm's internal profitability and management efficiency in utilizing capital following green bond issuance (Molina-Azorín et al., 2009; Yeow &amp; Ng, 2021). Specifically, ROA measures how effectively a firm generates profit relative to its total assets, while metrics like asset turnover and gross profit margins provide insights into operational efficiency and the productive use of resources (Yeow &amp; Ng, 2021).</w:t>
      </w:r>
    </w:p>
    <w:p w:rsidR="00000000" w:rsidDel="00000000" w:rsidP="00000000" w:rsidRDefault="00000000" w:rsidRPr="00000000" w14:paraId="0000004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market-based criteria such as Tobin’s Q and stock market returns are utilized to capture investor sentiment and the long-term market valuation of the firm's green transition (Molina-Azorín et al., 2009; Yeow &amp; Ng, 2021). Beyond these standard indicators, researchers also examine debt-specific criteria, including yield spreads and the potential for a "greenium" - where green bonds may offer lower interest costs than conventional debt - to assess the direct economic impact on the issuer's cost of capital (Yeow &amp; Ng, 2021; Xu et al., 2020).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4C">
      <w:pPr>
        <w:pStyle w:val="Subtitle"/>
        <w:widowControl w:val="0"/>
        <w:spacing w:after="100" w:lineRule="auto"/>
        <w:jc w:val="both"/>
        <w:rPr>
          <w:vertAlign w:val="baseline"/>
        </w:rPr>
      </w:pPr>
      <w:bookmarkStart w:colFirst="0" w:colLast="0" w:name="_flm82e3o4yna" w:id="20"/>
      <w:bookmarkEnd w:id="20"/>
      <w:r w:rsidDel="00000000" w:rsidR="00000000" w:rsidRPr="00000000">
        <w:rPr>
          <w:vertAlign w:val="baseline"/>
          <w:rtl w:val="0"/>
        </w:rPr>
        <w:t xml:space="preserve">2.2. </w:t>
      </w:r>
      <w:r w:rsidDel="00000000" w:rsidR="00000000" w:rsidRPr="00000000">
        <w:rPr>
          <w:rtl w:val="0"/>
        </w:rPr>
        <w:t xml:space="preserve">Theoretical Framework</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2.2.1. </w:t>
      </w:r>
      <w:r w:rsidDel="00000000" w:rsidR="00000000" w:rsidRPr="00000000">
        <w:rPr>
          <w:rFonts w:ascii="Times New Roman" w:cs="Times New Roman" w:eastAsia="Times New Roman" w:hAnsi="Times New Roman"/>
          <w:i w:val="1"/>
          <w:iCs w:val="1"/>
          <w:sz w:val="26"/>
          <w:szCs w:val="26"/>
          <w:rtl w:val="0"/>
        </w:rPr>
        <w:t xml:space="preserve">Stakeholder Theory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Stakeholder theory states that an organisation’s responsibilities extend beyond the traditional economic model of solely maximising shareholder wealth. Instead, firms must also acknowledge, manage, and fulfil the expectation of multiple stakeholders (Octavio et al., 2025). This framework encompasses any group or individual who can affect or is affected by the firm's operations, including foreign and institutional investors, local communities, customers, and governments. Larger companies are especially more prone to greater scrutiny from the stakeholders, which compels them to integrate environmental, social, and governance (ESG) factors into their core operations (Crecia Viona et al., 2025).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context of sustainable finance, issuing green bonds provides a structured, strategic route for firms to proactively respond to growing stakeholder demands for environmental protection. By allocating capital exclusively to sustainable projects, a firm explicitly aligns its operational objectives with broader socio-ecological goals. This ensures that the projects are genuinely implemented to contribute to environmental responsibility, rather than simply meeting regulatory or stakeholder expectations (Crecia Viona et al., 2025).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stakeholder perspective, satisfying these environmental expectations acts as a strategic tool that builds stronger, trust-based relationships with creditors, regulators, and the community (Crecia Viona et al., 2025). Engaging stakeholders through transparent green financing allows issuers to enhance their corporate image, foster investor loyalty, and improve their long-term legitimacy. Ultimately, this increased public trust and reputational boost help to reduce perceived non-financial risks, which translates into tangible market advantages such as attracting environmentally conscious investors, strengthening stakeholder engagement, and improving overall corporate financial and environmental performance.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2.2.</w:t>
      </w:r>
      <w:r w:rsidDel="00000000" w:rsidR="00000000" w:rsidRPr="00000000">
        <w:rPr>
          <w:rFonts w:ascii="Times New Roman" w:cs="Times New Roman" w:eastAsia="Times New Roman" w:hAnsi="Times New Roman"/>
          <w:i w:val="1"/>
          <w:iCs w:val="1"/>
          <w:sz w:val="26"/>
          <w:szCs w:val="26"/>
          <w:rtl w:val="0"/>
        </w:rPr>
        <w:t xml:space="preserve">2</w:t>
      </w: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1"/>
          <w:iCs w:val="1"/>
          <w:sz w:val="26"/>
          <w:szCs w:val="26"/>
          <w:rtl w:val="0"/>
        </w:rPr>
        <w:t xml:space="preserve">Signaling Theory</w:t>
      </w:r>
    </w:p>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Signaling theory addresses market inefficiencies caused by information asymmetry between two parties - typically an informed sender to an uninformed receiver. Such asymmetries can result in signaling inefficiencies, moral hazard, and adverse selection, as fundamental advances in information economics show. To overcome this information gap and prevent market failures like adverse selection, the informed party can engage in specific observable actions to credibly communicate their hidden high quality to the uninformed party (Mahmoud, 2025).</w:t>
      </w:r>
    </w:p>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Significant information asymmetry exists in capital markets because investors frequently lack the detailed data required to assess factors such as a corporation’s genuine environmental commitments, its exposure to climate-related risks, or how its funds are being utilised (Loiola et al., 2025). Within this context, the issuance of a green bond functions as a strategic signaling mechanism for the firm. </w:t>
      </w:r>
    </w:p>
    <w:p w:rsidR="00000000" w:rsidDel="00000000" w:rsidP="00000000" w:rsidRDefault="00000000" w:rsidRPr="00000000" w14:paraId="0000005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Through the issuance of green bonds, enterprises actively demonstrate their commitment to environmental protection and sustainable development (Lin et al., 2024). This signal becomes highly credible and effective when the bonds are accompanied with third-party certification and detailed environmental disclosures, which play an important role in reducing information asymmetry and reinforce investor confidence. These stringent procedures and reporting requirements are a trustworthy measure of a company's long-term environmental commitment and risk awareness since they are hard for low-quality firms to imitate without exposing themselves to scrutiny (Loiola et al., 2025). By actively signaling their environmental commitments, firms reduce information asymmetry and enhance public trust. This clear market differentiation translates into competitive financial benefits, primarily through broader funding access and the acquisition of capital at lower interest rates, known as the "Greenium." Because information asymmetry is typically more pronounced in emerging markets such as the ASEAN region, the issuance of green bonds serves as a particularly vital signalling tool for listed companies to credibly communicate their environmental quality and attract international capital.</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2.2.3. Resource-Based View (RBV)</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The Resource - Based View (RBV), most notably articulated by Barney (1991), posits that sustained competitive advantage stems from a firm's internal resources rather than market positioning. This framework assumes that strategic resources are heterogeneously distributed and immobile over time. To generate a lasting advantage, a resource must satisfy the VRIN criteria: it must be Valuable (improving efficiency), Rare (not widely accessible to competitors), Imperfectly Imitable (hard to replicate), and Non-substitutable (no equivalent alternative exists). Ultimately, RBV suggests that competitive advantage cannot be purchased on the open market; it must be cultivated from rare, proprietary resources already controlled by the firm.</w:t>
      </w: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Applied to green bond issuance, the RBV explains how genuine environmental commitment creates durable financial advantages. Firms cultivating robust capabilities - such as green innovation and sophisticated reporting - accumulate organizational knowledge that satisfies the VRIN criteria (Barney, 1991; Hart, 1995). These competencies are rare and difficult to imitate because they are embedded in organizational culture rather than explicit procedures, making them far superior to superficial "greenwashing" (Marquis &amp; Qian, 2014).</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 bond issuance reinforces this framework in two ways: it provides observable evidence of a firm’s pre - existing strategic infrastructure and accelerates further capability development through dedicated capital and third - party scrutiny. Furthermore, issuance creates a unique "relational resource" by attracting long-term, sustainability-mandated investors who provide reputational legitimacy and market signaling (Flammer, 2021; Tang &amp; Zhang, 2020). In the maturing ASEAN ecosystem, where international capital access is uneven, the first-mover advantage in building credibility with these investors constitutes a particularly durable and inimitable competitive resource (Volz, 2018). Consequently, financial benefits are most persistent for ASEAN firms that leverage green bonds to build authentic organizational infrastructure rather than those using them as a superficial label (Marquis &amp; Qian, 2014).</w:t>
      </w:r>
    </w:p>
    <w:p w:rsidR="00000000" w:rsidDel="00000000" w:rsidP="00000000" w:rsidRDefault="00000000" w:rsidRPr="00000000" w14:paraId="0000005E">
      <w:pPr>
        <w:pStyle w:val="Subtitle"/>
        <w:jc w:val="both"/>
        <w:rPr/>
      </w:pPr>
      <w:bookmarkStart w:colFirst="0" w:colLast="0" w:name="_4nyck0mreei8" w:id="21"/>
      <w:bookmarkEnd w:id="21"/>
      <w:r w:rsidDel="00000000" w:rsidR="00000000" w:rsidRPr="00000000">
        <w:rPr>
          <w:rtl w:val="0"/>
        </w:rPr>
        <w:t xml:space="preserve">2.3. Literature Review</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2.3.1. </w:t>
      </w:r>
      <w:r w:rsidDel="00000000" w:rsidR="00000000" w:rsidRPr="00000000">
        <w:rPr>
          <w:rFonts w:ascii="Times New Roman" w:cs="Times New Roman" w:eastAsia="Times New Roman" w:hAnsi="Times New Roman"/>
          <w:i w:val="1"/>
          <w:iCs w:val="1"/>
          <w:sz w:val="26"/>
          <w:szCs w:val="26"/>
          <w:rtl w:val="0"/>
        </w:rPr>
        <w:t xml:space="preserve">Impact of Green Bonds on Financial Performance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relationship between green bond (GB) issuance and corporate financial performance remains a subject of intense debate, with empirical results often diverging due to differences in methodological approaches and market contexts. According to Signaling Theory, green bonds serve as a positive signal of a firm's commitment to sustainability, helping to mitigate information asymmetry and allowing the firm to access capital at more favorable rates. Bai (2025), employing Propensity Score Matching combined with Difference-in-Differences (PSM-DiD) on a dataset of Japanese listed firms, provides strong evidence that GB issuance significantly improves both Return on Assets (ROA) and Tobin’s Q in the long run. These results suggest that the market recognizes the intrinsic value of green bonds when they are aligned with strategic corporate objectives. Similarly, Lemos (2025), applying the PSM-DiD method to the European real estate sector, found a positive impact on market performance, although accounting-based profitability (ROE) did not show immediate changes. This suggests that the financial benefits of green bonds are often reflected early through investor expectations and market valuation before manifesting as bottom-line profits in financial statements.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Conversely, a different strand of literature offers more cautious or even negative results when applying stricter controls for endogeneity. Hoang et al. (2020) utilized a System GMM model to address the bidirectional relationship between financial performance and bond issuance, finding that for European firms, the actual volume of green bonds issued was inversely correlated with ROA and ROE. The authors argue that the high costs of compliance, green auditing fees, and the pressure of immediate investment in new green technologies may outweigh the benefits of reduced interest rates in the short term. Supporting this view, Yeow &amp; Ng (2021) conducted a cross-country analysis using PSM-DiD and concluded that there were no statistically significant differences in financial performance between green bond issuers and conventional bond issuers after controlling for firm characteristics. The contradiction between these studies (e.g., Bai finding a positive effect while Yeow &amp; Ng find a neutral one) emphasizes that the financial efficacy of green bonds is highly sensitive to the institutional quality of the specific region. Specifically, in the ASEAN context, Viona et al. (2025) employed a Random-effects GLS model and indicated that financial benefits tend to be indirect, primarily helping firms mitigate systemic risks and improve credit reputation rather than generating immediate profit surges.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 xml:space="preserve">2.3.2.</w:t>
      </w:r>
      <w:r w:rsidDel="00000000" w:rsidR="00000000" w:rsidRPr="00000000">
        <w:rPr>
          <w:rFonts w:ascii="Times New Roman" w:cs="Times New Roman" w:eastAsia="Times New Roman" w:hAnsi="Times New Roman"/>
          <w:i w:val="1"/>
          <w:iCs w:val="1"/>
          <w:smallCaps w:val="0"/>
          <w:strike w:val="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1"/>
          <w:iCs w:val="1"/>
          <w:sz w:val="26"/>
          <w:szCs w:val="26"/>
          <w:rtl w:val="0"/>
        </w:rPr>
        <w:t xml:space="preserve">Green Bonds and Environmental Performance</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Environmental impact is the core metric for evaluating the legitimacy of green bonds; however, modern research has highlighted a profound decoupling between "disclosure effectiveness" (information in reports) and "operational effectiveness" (actual emission reductions). Studies supporting a positive impact typically focus on quantitative operational indicators. Bai (2025) used a DiD model to demonstrate that in Japan, GB issuance leads to a substantive decline in Greenhouse Gas (GHG) intensity and energy consumption levels. Notably, this research emphasizes a critical comparative point: environmental performance improvements are only truly significant in firms that establish specific quantitative targets. Concurring with this perspective, Ordonez-Borrallo et al. (2024) integrated the Attention-based View with an Instrumental Variables (2SLS) approach to assert that green bonds force managers to direct their focus toward green KPIs, thereby creating structural changes in the firm’s production processes.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the other hand, a group of scholars expresses skepticism regarding the phenomenon of "greenwashing," particularly in emerging markets. Hoang et al. (2020), through panel data regression, discovered a paradox: while GB issuance significantly increases ESG disclosure scores, it has an insignificant relationship with actual emission reductions. This reflects a "decoupling" strategy, where firms use green bonds as a public relations tool to polish their image without altering the nature of their operations. In the ASEAN region, Viona et al. (2025) utilized Logistics and GLS models to show that while green bonds help improve overall environmental scores, the "greenwashing puzzle" remains a major challenge due to the lack of stringent independent monitoring mechanisms.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When comparing and contrasting the aforementioned studies, there is a clear methodological shift from static models (such as the GLS used by Viona et al., 2025) toward robust causal and endogeneity-controlled methods like PSM-DiD and System GMM (Bai, 2025; Hoang et al., 2020). The divergence in results among authors often stems from the choice of dependent variables: studies using "Composite ESG Scores" (Viona et al., 2025; Yeow &amp; Ng, 2021) tend to find positive symbolic impacts, whereas those delving into "Quantitative Operational Indicators" (Bai, 2025; Hoang et al., 2020) show more nuanced and polarized results. This confirms that to authentically assess the impact of green bonds in ASEAN, research must combine advanced econometric models to handle endogeneity with substantive environmental metrics like GHG intensity. The gap created by the conflict between the "substantive performance" seen in Japan and the "symbolic performance" often noted in ASEAN provides the foundation for this study to establish more rigorous testing hypotheses.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pStyle w:val="Subtitle"/>
        <w:widowControl w:val="0"/>
        <w:spacing w:after="100" w:lineRule="auto"/>
        <w:jc w:val="both"/>
        <w:rPr/>
      </w:pPr>
      <w:bookmarkStart w:colFirst="0" w:colLast="0" w:name="_vmrn7ewdd3zh" w:id="22"/>
      <w:bookmarkEnd w:id="22"/>
      <w:r w:rsidDel="00000000" w:rsidR="00000000" w:rsidRPr="00000000">
        <w:rPr>
          <w:rtl w:val="0"/>
        </w:rPr>
        <w:t xml:space="preserve">2.4. </w:t>
      </w:r>
      <w:r w:rsidDel="00000000" w:rsidR="00000000" w:rsidRPr="00000000">
        <w:rPr>
          <w:rtl w:val="0"/>
        </w:rPr>
        <w:t xml:space="preserve">Research Gaps and</w:t>
      </w:r>
      <w:r w:rsidDel="00000000" w:rsidR="00000000" w:rsidRPr="00000000">
        <w:rPr>
          <w:rtl w:val="0"/>
        </w:rPr>
        <w:t xml:space="preserve"> Research Novelty</w:t>
      </w:r>
    </w:p>
    <w:p w:rsidR="00000000" w:rsidDel="00000000" w:rsidP="00000000" w:rsidRDefault="00000000" w:rsidRPr="00000000" w14:paraId="00000069">
      <w:pPr>
        <w:widowControl w:val="0"/>
        <w:spacing w:after="1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the growing body of literature on sustainable finance, this study identifies four critical research gaps that remain unresolved, particularly within the unique institutional landscape of the ASEAN region. First, the lack of granularity in assessing "Environmental Authenticity" versus "Greenwashing" in ASEAN. While Viona et al. (2025) provide evidence that green bonds correlate with higher composite ESG scores in ASEAN, these scores are often criticized for being opaque and easily manipulated. Existing regional studies have yet to move beyond third-party ESG ratings to analyze substantive environmental outcomes. By utilizing direct operational metrics such as Greenhouse Gas (GHG) intensity and Energy Consumption intensity, this research addresses the "Greenwashing Puzzle" identified by Khan &amp; Vismara (2025), distinguishing between symbolic market signaling and genuine ecological transition.</w:t>
      </w:r>
    </w:p>
    <w:p w:rsidR="00000000" w:rsidDel="00000000" w:rsidP="00000000" w:rsidRDefault="00000000" w:rsidRPr="00000000" w14:paraId="0000006A">
      <w:pPr>
        <w:widowControl w:val="0"/>
        <w:spacing w:after="1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the unexplored role of specific quantitative environmental targets. A pioneering study by Bai (2025) on Japanese firms revealed that green bonds only deliver significant performance improvements when issuers set specific, quantitative environmental targets (e.g., precise CO2 reduction percentages). In the ASEAN context, where disclosure standards are still maturing and fragmented, the necessity of these quantitative commitments remains an unexplored "black box." This study fills this gap by examining whether the presence of such targets acts as a prerequisite for the success of green bond issuance in Southeast Asia.</w:t>
      </w:r>
    </w:p>
    <w:p w:rsidR="00000000" w:rsidDel="00000000" w:rsidP="00000000" w:rsidRDefault="00000000" w:rsidRPr="00000000" w14:paraId="0000006B">
      <w:pPr>
        <w:widowControl w:val="0"/>
        <w:spacing w:after="1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the persistence of the "Financial Impact Paradox." There is a profound contradiction in current empirical findings. While some scholars find a significant "greenium" and improved financial indicators like ROA and Tobin’s Q (Bai, 2025; Flammer, 2021), others such as Yeow &amp; Ng (2021) - report negligible or non-existent financial gains. This divergence suggests that the financial outcome of green bonds is highly sensitive to institutional quality and market maturity. By focusing exclusively on the ASEAN bloc, this study provides a localized explanation for these conflicting results, accounting for the region's specific regulatory frameworks and investor behaviors.</w:t>
      </w:r>
    </w:p>
    <w:p w:rsidR="00000000" w:rsidDel="00000000" w:rsidP="00000000" w:rsidRDefault="00000000" w:rsidRPr="00000000" w14:paraId="0000006C">
      <w:pPr>
        <w:widowControl w:val="0"/>
        <w:spacing w:after="1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Drawing upon the aforementioned research gaps, this study is meticulously designed to provide a more comprehensive and rigorous examination of the impacts of green bond issuance within the ASEAN region. Rather than relying solely on subjective composite ESG scores, this research pioneers the use of direct operational metrics such as Greenhouse Gas (GHG) intensity and energy consumption intensity, to confront the “greenwashing puzzle” head-on. Furthermore, by integrating specific quantitative environmental targets into the analytical model, the study aims to decode the signaling mechanism through which green bonds transition from symbolic commitments into substantive financial and environmental performance. By employing an advanced methodological framework that combines PSM-DiD with System GMM, this research not only addresses the technical shortcomings of prior studies but also provides a robust empirical foundation for managers and policymakers in fostering a credible sustainable financial market in Southeast Asia.</w:t>
      </w:r>
    </w:p>
    <w:p w:rsidR="00000000" w:rsidDel="00000000" w:rsidP="00000000" w:rsidRDefault="00000000" w:rsidRPr="00000000" w14:paraId="000000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Green Bonds and Environmental Performance</w:t>
      </w:r>
    </w:p>
    <w:p w:rsidR="00000000" w:rsidDel="00000000" w:rsidP="00000000" w:rsidRDefault="00000000" w:rsidRPr="00000000" w14:paraId="0000006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 Mechanism of Impact</w:t>
      </w:r>
    </w:p>
    <w:p w:rsidR="00000000" w:rsidDel="00000000" w:rsidP="00000000" w:rsidRDefault="00000000" w:rsidRPr="00000000" w14:paraId="0000007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mechanism through which green bonds improve corporate environmental performance is based on the binding concept of a "green commitment". Unlike conventional financing, the issuance of green bonds requires that the raised capital be strictly allocated to eligible green projects, such as renewable energy, pollution prevention, and sustainable water management (ICMA, 2025). This targeted deployment of capital forces the organisation to undertake a structural green transformation. By allocating funds to research and development (R&amp;D) and the generation of green innovations, firms actively implement clean technologies that reduce greenhouse gas emissions and long-term energy consumption as evidenced by an increase in green patent applications (Luo &amp; Chan, 2024). </w:t>
      </w:r>
    </w:p>
    <w:p w:rsidR="00000000" w:rsidDel="00000000" w:rsidP="00000000" w:rsidRDefault="00000000" w:rsidRPr="00000000" w14:paraId="0000007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these commitments materialise into tangible ecological benefits and to mitigate the risks of "greenwashing", the issuance process relies heavily on structured goal-setting and stringent external validation. Companies are strongly encouraged to set specific, quantitative environmental targets before issuing, such as Key Performance Indicators (KPIs) (Bai, 2025). Additionally, issuers usually subject themselves to independent pre-issuance external reviews and third-party certifications, such as those associated with the International Capital Market Association (ICMA) or the Climate Bonds Initiative (CBI), to verify the environmental integrity of the bonds (ICMA, 2025). These independent external reviewers monitor the project evaluation, selection, and management processes, ensuring the funds are genuinely allocated to sustainability objectives.</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Following issuance, this mechanism of impact is maintained through ongoing internal reporting and external supervision. Issuers must provide transparent annual impact reports on the qualitative and quantitative environmental outcomes of their financed projects. Simultaneously, the public nature of green bond issuances attracts heightened scrutiny from the media and financial analysts (Luo &amp; Chan, 2024). This increased visibility serves as an effective external monitoring mechanism. In the face of intense media and analyst attention, corporate management is under constant pressure to strictly fulfil their environmental commitments and maintain their social legitimacy, ensuring that the initial capital raise translates into sustained improvements in corporate environmental performance.</w:t>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2.5.2. H1: Green bond issuance has a positive impact on the environmental performance of companies in ASEAN countries.</w:t>
      </w:r>
    </w:p>
    <w:p w:rsidR="00000000" w:rsidDel="00000000" w:rsidP="00000000" w:rsidRDefault="00000000" w:rsidRPr="00000000" w14:paraId="0000007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hypothesis assumes that strict governance, targeted capital deployment, and reporting standards associated with green bonds result in tangible environmental improvements. Green bonds, unlike traditional financial instruments, show a deliberate corporate shift towards a low-carbon economy, with raised funds explicitly allocated to projects that benefit the environment and mitigate climate change (Crecia Viona et al., 2025). </w:t>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empirical studies focusing on listed companies in the ASEAN region provide strong evidence for this positive impact. The data shows that improved environmental, social, and governance (ESG) ratings after green bond issuance reflect genuine corporate responsibility rather than deceptive marketing or superficial rebranding (Crecia Viona et al., 2025). In fact, firms that actively engage in the green bond market and achieve higher ESG scores are shown to be significantly less likely to engage in "greenwashing" behaviour. Instead, their financial commitments are successfully translated into real-world operational changes that reduce their environmental impact.</w:t>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Evidence from neighbouring Asian markets further supports the specific mechanisms driving this positive environmental trajectory. The issuance of green bonds has been proven to effectively promote corporate environmental performance by stimulating increased research and development (R&amp;D) investment and fostering green innovation within the firm (Luo &amp; Chan, 2024). Furthermore, these tangible ecological benefits are particularly pronounced and realised more rapidly when issuing companies establish specific, quantitative targets for reducing greenhouse gas emissions or energy consumption prior to securing the capital (Bai, 2025). As a result, the strategic allocation of green financing effectively drives structural transformations that improve overall corporate environmental performance throughout the region.</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 Green Bonds and Financial Performance</w:t>
      </w:r>
    </w:p>
    <w:p w:rsidR="00000000" w:rsidDel="00000000" w:rsidP="00000000" w:rsidRDefault="00000000" w:rsidRPr="00000000" w14:paraId="0000008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2.6.1. Mechanism of Impact</w:t>
      </w:r>
    </w:p>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mechanisms through which green bonds influence corporate financial performance are primarily driven by funding cost advantages, enhanced signalling, and operational efficiency improvements.</w:t>
      </w:r>
    </w:p>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green bonds allow enterprises to broaden their financing channels and increase funding flexibility (Lin et al., 2024). By issuing these instruments, companies can gain access to a rapidly expanding pool of institutional investors who are specifically required to hold sustainable and environmental, social, and governance (ESG) assets. This high market demand frequently generates a pricing advantage known as the "Greenium" (green premium), enabling issuers to secure capital at lower interest rates than conventional bonds (Loiola et al., 2025). Ultimately, this reduces the firm's overall cost of debt and eases financing constraints, freeing up cash flow for further productive investments (Bai, 2025). </w:t>
      </w:r>
    </w:p>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green bonds rely on a powerful signalling and transparency mechanism. The issuance process requires strict adherence with use-of-proceeds tracking, independent third-party certifications, and ongoing environmental impact reporting (Loiola et al., 2025). Particularly in emerging markets like the ASEAN region, where institutional risks and information asymmetry can be pronounced, these rigorous governance and environmental disclosures act as a highly credible signal of a firm's quality and risk awareness (Zhang, 2025). This proactive signalling reduces perceived investment risks, fosters investor loyalty, and builds long-term stakeholder trust, which frequently translates into positive market valuation and increased corporate legitimacy.</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the targeted deployment of green bond proceeds directly enhances internal operational efficiency. By dedicating capital exclusively to clean technologies, energy-saving measures, and green innovation, the firm is forced to undergo a structural green transformation (Lin et al., 2024). Over time, these sustainable investments significantly reduce resource consumption, environmental pollution, and exposure to future regulatory and legal risks. The combination of reduced environmental compliance costs and improved internal asset utilisation establishes a more stable and sustainable operational foundation, directly driving up accounting profitability metrics, such as Return on Assets (ROA).</w:t>
      </w:r>
    </w:p>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2.6.2. H2: Green bond issuance has a positive impact on the financial performance of companies in ASEAN countries.</w:t>
      </w:r>
    </w:p>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hypothesis assumes that the strategic, reputational, and operational benefits of issuing green bonds will ultimately outweigh the initial costs of transition and compliance. Empirical literature confirms that green bond issuance is generally associated with improved firm value, profitability, and operational performance over the long run (Loiola et al., 2025). Notably, emerging markets typically experience more positive financial effects than developed economies.</w:t>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However, the implications for traditional accounting metrics can be multifaceted. In the short term, environmental initiatives and the initial investments required for eco-friendly practices may impose financial burdens that temporarily reduce accounting-based performance metrics such as Return on Assets (ROA). Despite this short-term cost, market-based valuations such as Tobin's Q frequently see significant enhancements, as investors perceive these long-term environmental strategies as credible signals of proactive risk management and strategic foresight (Tripopsakul, 2025).</w:t>
      </w:r>
    </w:p>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Furthermore, the magnitude of these financial benefits is not uniform and depends heavily on firm-specific features, particularly structural factors such as firm size, pre-existing leverage, and current liquidity levels. For example, cash-constrained enterprises stand to realise substantial benefits by unlocking new green financing channels, which broadens their funding sources and significantly eases their financing constraints (Lin et al., 2024). Conversely, cash-rich firms or those issuing green debt without substantive environmental improvements frequently face heightened market scepticism regarding "greenwashing", an issue that can backfire and inadvertently increase their financing costs (Crecia Viona et al., 2025). Therefore, the financial impact of green bonds is strongly moderated by the issuer's initial financial standing and the broader institutional context in which they operate. Additionally, the most significant enhancements in key financial metrics, such as Return on Assets (ROA) and Tobin's Q, are observed primarily among firms that move beyond symbolic rhetoric to establish specific, quantitative environmental targets (Bai, 2025).</w:t>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Ultimately, ASEAN companies can obtain a pricing advantage, often referred to as the "Greenium", that significantly reduces their total cost of debt when supported by these sincere environmental commitments and open disclosures (Loiola et al., 2025). By accepting lower yields, investors financially reward the positive environmental impact generated by the underlying projects. Simultaneously, engaging in this rigorous issuance process sends a highly credible signal to the market, highlighting the firm's long-term resilience, proactive risk management, and high organisational quality (Bai, 2025).</w:t>
      </w:r>
    </w:p>
    <w:p w:rsidR="00000000" w:rsidDel="00000000" w:rsidP="00000000" w:rsidRDefault="00000000" w:rsidRPr="00000000" w14:paraId="00000094">
      <w:pPr>
        <w:widowControl w:val="0"/>
        <w:spacing w:after="1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widowControl w:val="0"/>
        <w:spacing w:after="1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widowControl w:val="0"/>
        <w:spacing w:after="1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7">
      <w:pPr>
        <w:widowControl w:val="0"/>
        <w:spacing w:after="100"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keepNext w:val="0"/>
        <w:keepLines w:val="0"/>
        <w:pBdr>
          <w:bottom w:color="auto" w:space="5" w:sz="0" w:val="none"/>
        </w:pBdr>
        <w:spacing w:after="240" w:line="300" w:lineRule="auto"/>
        <w:jc w:val="center"/>
        <w:rPr>
          <w:rFonts w:ascii="Times New Roman" w:cs="Times New Roman" w:eastAsia="Times New Roman" w:hAnsi="Times New Roman"/>
          <w:sz w:val="26"/>
          <w:szCs w:val="26"/>
        </w:rPr>
      </w:pPr>
      <w:bookmarkStart w:colFirst="0" w:colLast="0" w:name="_yts2wubyavsz" w:id="23"/>
      <w:bookmarkEnd w:id="23"/>
      <w:r w:rsidDel="00000000" w:rsidR="00000000" w:rsidRPr="00000000">
        <w:rPr>
          <w:rFonts w:ascii="Times New Roman" w:cs="Times New Roman" w:eastAsia="Times New Roman" w:hAnsi="Times New Roman"/>
          <w:sz w:val="26"/>
          <w:szCs w:val="26"/>
          <w:rtl w:val="0"/>
        </w:rPr>
        <w:t xml:space="preserve">CHAPTER III. RESEARCH METHODOLOGY</w:t>
      </w:r>
    </w:p>
    <w:p w:rsidR="00000000" w:rsidDel="00000000" w:rsidP="00000000" w:rsidRDefault="00000000" w:rsidRPr="00000000" w14:paraId="00000099">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ikas1kshwgkr" w:id="24"/>
      <w:bookmarkEnd w:id="24"/>
      <w:r w:rsidDel="00000000" w:rsidR="00000000" w:rsidRPr="00000000">
        <w:rPr>
          <w:rFonts w:ascii="Times New Roman" w:cs="Times New Roman" w:eastAsia="Times New Roman" w:hAnsi="Times New Roman"/>
          <w:sz w:val="26"/>
          <w:szCs w:val="26"/>
          <w:rtl w:val="0"/>
        </w:rPr>
        <w:t xml:space="preserve">3.1. Research Process</w:t>
      </w:r>
    </w:p>
    <w:p w:rsidR="00000000" w:rsidDel="00000000" w:rsidP="00000000" w:rsidRDefault="00000000" w:rsidRPr="00000000" w14:paraId="0000009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study employs a three-stage causal inference pipeline to isolate the effect of green bond issuance on corporate financial and environmental performance. The research process proceeds as follows.</w:t>
      </w:r>
    </w:p>
    <w:p w:rsidR="00000000" w:rsidDel="00000000" w:rsidP="00000000" w:rsidRDefault="00000000" w:rsidRPr="00000000" w14:paraId="0000009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w:t>
      </w:r>
      <w:r w:rsidDel="00000000" w:rsidR="00000000" w:rsidRPr="00000000">
        <w:rPr>
          <w:rFonts w:ascii="Times New Roman" w:cs="Times New Roman" w:eastAsia="Times New Roman" w:hAnsi="Times New Roman"/>
          <w:b w:val="1"/>
          <w:bCs w:val="1"/>
          <w:sz w:val="26"/>
          <w:szCs w:val="26"/>
          <w:rtl w:val="0"/>
        </w:rPr>
        <w:t xml:space="preserve">first stage</w:t>
      </w:r>
      <w:r w:rsidDel="00000000" w:rsidR="00000000" w:rsidRPr="00000000">
        <w:rPr>
          <w:rFonts w:ascii="Times New Roman" w:cs="Times New Roman" w:eastAsia="Times New Roman" w:hAnsi="Times New Roman"/>
          <w:sz w:val="26"/>
          <w:szCs w:val="26"/>
          <w:rtl w:val="0"/>
        </w:rPr>
        <w:t xml:space="preserve">, Propensity Score Matching (PSM) is applied to construct a comparable control group for treated firms (i.e., green bond issuers), conditioning on pre-treatment observable firm characteristics. This step mitigates selection bias by ensuring that treated and untreated firms are statistically comparable prior to treatment.</w:t>
      </w:r>
    </w:p>
    <w:p w:rsidR="00000000" w:rsidDel="00000000" w:rsidP="00000000" w:rsidRDefault="00000000" w:rsidRPr="00000000" w14:paraId="0000009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w:t>
      </w:r>
      <w:r w:rsidDel="00000000" w:rsidR="00000000" w:rsidRPr="00000000">
        <w:rPr>
          <w:rFonts w:ascii="Times New Roman" w:cs="Times New Roman" w:eastAsia="Times New Roman" w:hAnsi="Times New Roman"/>
          <w:b w:val="1"/>
          <w:bCs w:val="1"/>
          <w:sz w:val="26"/>
          <w:szCs w:val="26"/>
          <w:rtl w:val="0"/>
        </w:rPr>
        <w:t xml:space="preserve">second stage</w:t>
      </w:r>
      <w:r w:rsidDel="00000000" w:rsidR="00000000" w:rsidRPr="00000000">
        <w:rPr>
          <w:rFonts w:ascii="Times New Roman" w:cs="Times New Roman" w:eastAsia="Times New Roman" w:hAnsi="Times New Roman"/>
          <w:sz w:val="26"/>
          <w:szCs w:val="26"/>
          <w:rtl w:val="0"/>
        </w:rPr>
        <w:t xml:space="preserve">, a Difference-in-Differences (DiD) estimator - specifically the Two-Way Fixed Effects (TWFE) specification - is applied to the matched and full panels to estimate the average treatment effect on the treated (ATT). To account for treatment timing heterogeneity across multiple cohorts, a cohort-specific event study following Callaway and Sant'Anna (2021) is conducted alongside the pooled DiD.</w:t>
      </w:r>
    </w:p>
    <w:p w:rsidR="00000000" w:rsidDel="00000000" w:rsidP="00000000" w:rsidRDefault="00000000" w:rsidRPr="00000000" w14:paraId="0000009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w:t>
      </w:r>
      <w:r w:rsidDel="00000000" w:rsidR="00000000" w:rsidRPr="00000000">
        <w:rPr>
          <w:rFonts w:ascii="Times New Roman" w:cs="Times New Roman" w:eastAsia="Times New Roman" w:hAnsi="Times New Roman"/>
          <w:b w:val="1"/>
          <w:bCs w:val="1"/>
          <w:sz w:val="26"/>
          <w:szCs w:val="26"/>
          <w:rtl w:val="0"/>
        </w:rPr>
        <w:t xml:space="preserve">third stage</w:t>
      </w:r>
      <w:r w:rsidDel="00000000" w:rsidR="00000000" w:rsidRPr="00000000">
        <w:rPr>
          <w:rFonts w:ascii="Times New Roman" w:cs="Times New Roman" w:eastAsia="Times New Roman" w:hAnsi="Times New Roman"/>
          <w:sz w:val="26"/>
          <w:szCs w:val="26"/>
          <w:rtl w:val="0"/>
        </w:rPr>
        <w:t xml:space="preserve">, a System Generalized Method of Moments (System GMM) estimator is used as a robustness check. System GMM controls for dynamic endogeneity and unobserved heterogeneity by instrumenting lagged levels with differences and lagged differences with levels, producing coefficient estimates that are consistent under weaker assumptions than OLS or TWFE.</w:t>
      </w:r>
    </w:p>
    <w:p w:rsidR="00000000" w:rsidDel="00000000" w:rsidP="00000000" w:rsidRDefault="00000000" w:rsidRPr="00000000" w14:paraId="0000009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analysis is further supplemented by a greenwashing and authenticity analysis based on a composite certification and ESG improvement score, and a heterogeneous effects analysis by firm size.</w:t>
      </w:r>
    </w:p>
    <w:p w:rsidR="00000000" w:rsidDel="00000000" w:rsidP="00000000" w:rsidRDefault="00000000" w:rsidRPr="00000000" w14:paraId="0000009F">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wlsmx6r5adsj" w:id="25"/>
      <w:bookmarkEnd w:id="25"/>
      <w:r w:rsidDel="00000000" w:rsidR="00000000" w:rsidRPr="00000000">
        <w:rPr>
          <w:rFonts w:ascii="Times New Roman" w:cs="Times New Roman" w:eastAsia="Times New Roman" w:hAnsi="Times New Roman"/>
          <w:sz w:val="26"/>
          <w:szCs w:val="26"/>
          <w:rtl w:val="0"/>
        </w:rPr>
        <w:t xml:space="preserve">3.2. Research Data</w:t>
      </w:r>
    </w:p>
    <w:p w:rsidR="00000000" w:rsidDel="00000000" w:rsidP="00000000" w:rsidRDefault="00000000" w:rsidRPr="00000000" w14:paraId="000000A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study draws on firm-level panel data retrieved from LSEG Datastream/Workspace (Refinitiv), supplemented by green bond transaction records from LSEG Deals Screener and environmental certification data from the Climate Bonds Initiative (CBI) and the International Capital Market Association (ICMA). The final dataset covers ASEAN-listed companies across six member states over a six-year observation window (2020–2025).</w:t>
      </w:r>
    </w:p>
    <w:p w:rsidR="00000000" w:rsidDel="00000000" w:rsidP="00000000" w:rsidRDefault="00000000" w:rsidRPr="00000000" w14:paraId="000000A1">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3.1 </w:t>
      </w:r>
      <w:r w:rsidDel="00000000" w:rsidR="00000000" w:rsidRPr="00000000">
        <w:rPr>
          <w:rFonts w:ascii="Times New Roman" w:cs="Times New Roman" w:eastAsia="Times New Roman" w:hAnsi="Times New Roman"/>
          <w:b w:val="1"/>
          <w:bCs w:val="1"/>
          <w:i w:val="1"/>
          <w:iCs w:val="1"/>
          <w:sz w:val="26"/>
          <w:szCs w:val="26"/>
          <w:rtl w:val="0"/>
        </w:rPr>
        <w:t xml:space="preserve">Panel Data Structure</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885"/>
        <w:tblGridChange w:id="0">
          <w:tblGrid>
            <w:gridCol w:w="2250"/>
            <w:gridCol w:w="68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Dimension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Observations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23,284</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of Entities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3,964 (identified by org_permid)</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Observation Periods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years (2020–2025)</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Treatment Indicator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green_bond_active (= 1 if firm has issued a green bond by year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Times New Roman" w:cs="Times New Roman" w:eastAsia="Times New Roman" w:hAnsi="Times New Roman"/>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Treated Firm-Years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81 (0.35% of panel)</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Treated Firms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(0.50% of entities)</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Treatment Cohorts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(2020: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 5; 2021: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 3; 2022: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 4; 2023: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 4; 2024: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 4)</w:t>
            </w:r>
          </w:p>
        </w:tc>
      </w:tr>
    </w:tbl>
    <w:p w:rsidR="00000000" w:rsidDel="00000000" w:rsidP="00000000" w:rsidRDefault="00000000" w:rsidRPr="00000000" w14:paraId="000000B2">
      <w:pPr>
        <w:spacing w:after="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Outlier treatment follows a two-pass winsorization procedure. In the first pass, 18 raw financial metrics are winsorized at the 1st and 99th percentiles. In the second pass, five computed financial ratios are winsorized at the same thresholds. Additionally, emissions intensity is log-transformed to address severe right skew in the raw distribution (range: 0 to 1.04 × 10⁹).</w:t>
      </w:r>
    </w:p>
    <w:p w:rsidR="00000000" w:rsidDel="00000000" w:rsidP="00000000" w:rsidRDefault="00000000" w:rsidRPr="00000000" w14:paraId="000000B3">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dmu0fre1d40c" w:id="26"/>
      <w:bookmarkEnd w:id="26"/>
      <w:r w:rsidDel="00000000" w:rsidR="00000000" w:rsidRPr="00000000">
        <w:rPr>
          <w:rFonts w:ascii="Times New Roman" w:cs="Times New Roman" w:eastAsia="Times New Roman" w:hAnsi="Times New Roman"/>
          <w:sz w:val="26"/>
          <w:szCs w:val="26"/>
          <w:rtl w:val="0"/>
        </w:rPr>
        <w:t xml:space="preserve">3.3. Measurement of Variables</w:t>
      </w:r>
    </w:p>
    <w:p w:rsidR="00000000" w:rsidDel="00000000" w:rsidP="00000000" w:rsidRDefault="00000000" w:rsidRPr="00000000" w14:paraId="000000B4">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liawg0q4bmoq" w:id="27"/>
      <w:bookmarkEnd w:id="27"/>
      <w:r w:rsidDel="00000000" w:rsidR="00000000" w:rsidRPr="00000000">
        <w:rPr>
          <w:rFonts w:ascii="Times New Roman" w:cs="Times New Roman" w:eastAsia="Times New Roman" w:hAnsi="Times New Roman"/>
          <w:sz w:val="26"/>
          <w:szCs w:val="26"/>
          <w:rtl w:val="0"/>
        </w:rPr>
        <w:t xml:space="preserve">3.3.1. Dependent Variables</w:t>
      </w:r>
    </w:p>
    <w:p w:rsidR="00000000" w:rsidDel="00000000" w:rsidP="00000000" w:rsidRDefault="00000000" w:rsidRPr="00000000" w14:paraId="000000B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study examines four outcome variables spanning both financial and environmental dimensions of corporate performance. Financial performance is captured through two proxies: an accounting-based measure (Return on Assets) and a market-based measure (Tobin's Q). Corporate environmental performance is assessed through a composite ESG rating score and a direct emissions intensity measure.</w:t>
      </w:r>
    </w:p>
    <w:p w:rsidR="00000000" w:rsidDel="00000000" w:rsidP="00000000" w:rsidRDefault="00000000" w:rsidRPr="00000000" w14:paraId="000000B6">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3.2 </w:t>
      </w:r>
      <w:r w:rsidDel="00000000" w:rsidR="00000000" w:rsidRPr="00000000">
        <w:rPr>
          <w:rFonts w:ascii="Times New Roman" w:cs="Times New Roman" w:eastAsia="Times New Roman" w:hAnsi="Times New Roman"/>
          <w:b w:val="1"/>
          <w:bCs w:val="1"/>
          <w:i w:val="1"/>
          <w:iCs w:val="1"/>
          <w:sz w:val="26"/>
          <w:szCs w:val="26"/>
          <w:rtl w:val="0"/>
        </w:rPr>
        <w:t xml:space="preserve">Dependent Variables</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015"/>
        <w:gridCol w:w="2580"/>
        <w:gridCol w:w="1335"/>
        <w:tblGridChange w:id="0">
          <w:tblGrid>
            <w:gridCol w:w="2190"/>
            <w:gridCol w:w="3015"/>
            <w:gridCol w:w="2580"/>
            <w:gridCol w:w="133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Variable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Dimension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9">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Scale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on Assets (ROA)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 Accounting</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income divided by total assets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 Market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Market capitalization divided by total assets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Environmental - Composite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Refinitiv ESG rating (ASSET4)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ln(Emissions Intensity)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Environmental - Direct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Natural log of GHG emissions per unit output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Implied Cost of Debt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Financial - Cost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Interest expense divided by total debt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0</w:t>
            </w:r>
          </w:p>
        </w:tc>
      </w:tr>
    </w:tbl>
    <w:p w:rsidR="00000000" w:rsidDel="00000000" w:rsidP="00000000" w:rsidRDefault="00000000" w:rsidRPr="00000000" w14:paraId="000000CF">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ESG Score sourced from Refinitiv ASSET4. Emissions intensity log-transformed to correct for distributional skew.</w:t>
      </w:r>
    </w:p>
    <w:p w:rsidR="00000000" w:rsidDel="00000000" w:rsidP="00000000" w:rsidRDefault="00000000" w:rsidRPr="00000000" w14:paraId="000000D0">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7g8cnyslx0k" w:id="28"/>
      <w:bookmarkEnd w:id="28"/>
      <w:r w:rsidDel="00000000" w:rsidR="00000000" w:rsidRPr="00000000">
        <w:rPr>
          <w:rFonts w:ascii="Times New Roman" w:cs="Times New Roman" w:eastAsia="Times New Roman" w:hAnsi="Times New Roman"/>
          <w:sz w:val="26"/>
          <w:szCs w:val="26"/>
          <w:rtl w:val="0"/>
        </w:rPr>
        <w:t xml:space="preserve">3.3.2. Independent Variable</w:t>
      </w:r>
    </w:p>
    <w:p w:rsidR="00000000" w:rsidDel="00000000" w:rsidP="00000000" w:rsidRDefault="00000000" w:rsidRPr="00000000" w14:paraId="000000D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primary independent variable is green_bond_active, a binary treatment indicator equal to 1 if a firm has issued at least one green bond by year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Times New Roman" w:cs="Times New Roman" w:eastAsia="Times New Roman" w:hAnsi="Times New Roman"/>
          <w:sz w:val="26"/>
          <w:szCs w:val="26"/>
          <w:rtl w:val="0"/>
        </w:rPr>
        <w:t xml:space="preserve"> and 0 otherwise. Green bond issuances are identified using LSEG Deals Screener, with certification status cross-referenced against CBI and ICMA registries.</w:t>
      </w:r>
    </w:p>
    <w:p w:rsidR="00000000" w:rsidDel="00000000" w:rsidP="00000000" w:rsidRDefault="00000000" w:rsidRPr="00000000" w14:paraId="000000D2">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h8reu02hh2mt" w:id="29"/>
      <w:bookmarkEnd w:id="29"/>
      <w:r w:rsidDel="00000000" w:rsidR="00000000" w:rsidRPr="00000000">
        <w:rPr>
          <w:rFonts w:ascii="Times New Roman" w:cs="Times New Roman" w:eastAsia="Times New Roman" w:hAnsi="Times New Roman"/>
          <w:sz w:val="26"/>
          <w:szCs w:val="26"/>
          <w:rtl w:val="0"/>
        </w:rPr>
        <w:t xml:space="preserve">3.3.3. Control Variables</w:t>
      </w:r>
    </w:p>
    <w:p w:rsidR="00000000" w:rsidDel="00000000" w:rsidP="00000000" w:rsidRDefault="00000000" w:rsidRPr="00000000" w14:paraId="000000D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mitigate omitted variable bias, all regression specifications include a vector of firm-level control variables, each measured with a one-year lag relative to the outcome to reduce simultaneity bias.</w:t>
      </w:r>
    </w:p>
    <w:p w:rsidR="00000000" w:rsidDel="00000000" w:rsidP="00000000" w:rsidRDefault="00000000" w:rsidRPr="00000000" w14:paraId="000000D4">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3.3 </w:t>
      </w:r>
      <w:r w:rsidDel="00000000" w:rsidR="00000000" w:rsidRPr="00000000">
        <w:rPr>
          <w:rFonts w:ascii="Times New Roman" w:cs="Times New Roman" w:eastAsia="Times New Roman" w:hAnsi="Times New Roman"/>
          <w:b w:val="1"/>
          <w:bCs w:val="1"/>
          <w:i w:val="1"/>
          <w:iCs w:val="1"/>
          <w:sz w:val="26"/>
          <w:szCs w:val="26"/>
          <w:rtl w:val="0"/>
        </w:rPr>
        <w:t xml:space="preserve">Control Variables (One-Year Lagged)</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650"/>
        <w:tblGridChange w:id="0">
          <w:tblGrid>
            <w:gridCol w:w="4485"/>
            <w:gridCol w:w="465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Variable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Operationalization</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Firm Size (</w:t>
            </w:r>
            <w:r w:rsidDel="00000000" w:rsidR="00000000" w:rsidRPr="00000000">
              <w:rPr>
                <w:rFonts w:ascii="Times New Roman" w:cs="Times New Roman" w:eastAsia="Times New Roman" w:hAnsi="Times New Roman"/>
                <w:i w:val="1"/>
                <w:iCs w:val="1"/>
                <w:sz w:val="26"/>
                <w:szCs w:val="26"/>
                <w:rtl w:val="0"/>
              </w:rPr>
              <w:t xml:space="preserve">L1_Firm_Size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Natural log of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Leverage (</w:t>
            </w:r>
            <w:r w:rsidDel="00000000" w:rsidR="00000000" w:rsidRPr="00000000">
              <w:rPr>
                <w:rFonts w:ascii="Times New Roman" w:cs="Times New Roman" w:eastAsia="Times New Roman" w:hAnsi="Times New Roman"/>
                <w:i w:val="1"/>
                <w:iCs w:val="1"/>
                <w:sz w:val="26"/>
                <w:szCs w:val="26"/>
                <w:rtl w:val="0"/>
              </w:rPr>
              <w:t xml:space="preserve">L1_Leverage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debt divided by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 Turnover (</w:t>
            </w:r>
            <w:r w:rsidDel="00000000" w:rsidR="00000000" w:rsidRPr="00000000">
              <w:rPr>
                <w:rFonts w:ascii="Times New Roman" w:cs="Times New Roman" w:eastAsia="Times New Roman" w:hAnsi="Times New Roman"/>
                <w:i w:val="1"/>
                <w:iCs w:val="1"/>
                <w:sz w:val="26"/>
                <w:szCs w:val="26"/>
                <w:rtl w:val="0"/>
              </w:rPr>
              <w:t xml:space="preserve">L1_Asset_Turnover</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sales divided by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Capital Intensity (</w:t>
            </w:r>
            <w:r w:rsidDel="00000000" w:rsidR="00000000" w:rsidRPr="00000000">
              <w:rPr>
                <w:rFonts w:ascii="Times New Roman" w:cs="Times New Roman" w:eastAsia="Times New Roman" w:hAnsi="Times New Roman"/>
                <w:i w:val="1"/>
                <w:iCs w:val="1"/>
                <w:sz w:val="26"/>
                <w:szCs w:val="26"/>
                <w:rtl w:val="0"/>
              </w:rPr>
              <w:t xml:space="preserve">L1_Capital_Intensity</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Capital expenditures divided by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Cash Ratio (</w:t>
            </w:r>
            <w:r w:rsidDel="00000000" w:rsidR="00000000" w:rsidRPr="00000000">
              <w:rPr>
                <w:rFonts w:ascii="Times New Roman" w:cs="Times New Roman" w:eastAsia="Times New Roman" w:hAnsi="Times New Roman"/>
                <w:i w:val="1"/>
                <w:iCs w:val="1"/>
                <w:sz w:val="26"/>
                <w:szCs w:val="26"/>
                <w:rtl w:val="0"/>
              </w:rPr>
              <w:t xml:space="preserve">L1_Cash_Ratio</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Cash divided by total assets at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Gungsuh" w:cs="Gungsuh" w:eastAsia="Gungsuh" w:hAnsi="Gungsuh"/>
                <w:sz w:val="26"/>
                <w:szCs w:val="26"/>
                <w:rtl w:val="0"/>
              </w:rPr>
              <w:t xml:space="preserve"> − 1</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 Tangibility (</w:t>
            </w:r>
            <w:r w:rsidDel="00000000" w:rsidR="00000000" w:rsidRPr="00000000">
              <w:rPr>
                <w:rFonts w:ascii="Times New Roman" w:cs="Times New Roman" w:eastAsia="Times New Roman" w:hAnsi="Times New Roman"/>
                <w:i w:val="1"/>
                <w:iCs w:val="1"/>
                <w:sz w:val="26"/>
                <w:szCs w:val="26"/>
                <w:rtl w:val="0"/>
              </w:rPr>
              <w:t xml:space="preserve">asset_tangibility</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Net property, plant, and equipment as % of total assets</w:t>
            </w:r>
          </w:p>
        </w:tc>
      </w:tr>
      <w:tr>
        <w:trPr>
          <w:cantSplit w:val="0"/>
          <w:trHeight w:val="7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Issuer Track Record (</w:t>
            </w:r>
            <w:r w:rsidDel="00000000" w:rsidR="00000000" w:rsidRPr="00000000">
              <w:rPr>
                <w:rFonts w:ascii="Times New Roman" w:cs="Times New Roman" w:eastAsia="Times New Roman" w:hAnsi="Times New Roman"/>
                <w:i w:val="1"/>
                <w:iCs w:val="1"/>
                <w:sz w:val="26"/>
                <w:szCs w:val="26"/>
                <w:rtl w:val="0"/>
              </w:rPr>
              <w:t xml:space="preserve">issuer_track_record</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Cumulative count of prior green bond issuances</w:t>
            </w:r>
          </w:p>
        </w:tc>
      </w:tr>
      <w:tr>
        <w:trPr>
          <w:cantSplit w:val="0"/>
          <w:trHeight w:val="6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 Bond Framework (</w:t>
            </w:r>
            <w:r w:rsidDel="00000000" w:rsidR="00000000" w:rsidRPr="00000000">
              <w:rPr>
                <w:rFonts w:ascii="Times New Roman" w:cs="Times New Roman" w:eastAsia="Times New Roman" w:hAnsi="Times New Roman"/>
                <w:i w:val="1"/>
                <w:iCs w:val="1"/>
                <w:sz w:val="26"/>
                <w:szCs w:val="26"/>
                <w:rtl w:val="0"/>
              </w:rPr>
              <w:t xml:space="preserve">has_green_framework</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Binary indicator (= 1) if issuer has a documented framework</w:t>
            </w:r>
          </w:p>
        </w:tc>
      </w:tr>
    </w:tbl>
    <w:p w:rsidR="00000000" w:rsidDel="00000000" w:rsidP="00000000" w:rsidRDefault="00000000" w:rsidRPr="00000000" w14:paraId="000000E7">
      <w:pPr>
        <w:jc w:val="both"/>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wf0xdahr1nvc" w:id="30"/>
      <w:bookmarkEnd w:id="30"/>
      <w:r w:rsidDel="00000000" w:rsidR="00000000" w:rsidRPr="00000000">
        <w:rPr>
          <w:rFonts w:ascii="Times New Roman" w:cs="Times New Roman" w:eastAsia="Times New Roman" w:hAnsi="Times New Roman"/>
          <w:sz w:val="26"/>
          <w:szCs w:val="26"/>
          <w:rtl w:val="0"/>
        </w:rPr>
        <w:t xml:space="preserve">3.4. Descriptive Statistics</w:t>
      </w:r>
    </w:p>
    <w:p w:rsidR="00000000" w:rsidDel="00000000" w:rsidP="00000000" w:rsidRDefault="00000000" w:rsidRPr="00000000" w14:paraId="000000E9">
      <w:pPr>
        <w:pStyle w:val="Heading3"/>
        <w:keepNext w:val="0"/>
        <w:keepLines w:val="0"/>
        <w:spacing w:after="240" w:before="360" w:line="300" w:lineRule="auto"/>
        <w:rPr>
          <w:rFonts w:ascii="Times New Roman" w:cs="Times New Roman" w:eastAsia="Times New Roman" w:hAnsi="Times New Roman"/>
          <w:sz w:val="26"/>
          <w:szCs w:val="26"/>
        </w:rPr>
      </w:pPr>
      <w:bookmarkStart w:colFirst="0" w:colLast="0" w:name="_k4zk5z8r13oe" w:id="31"/>
      <w:bookmarkEnd w:id="31"/>
      <w:r w:rsidDel="00000000" w:rsidR="00000000" w:rsidRPr="00000000">
        <w:rPr>
          <w:rFonts w:ascii="Times New Roman" w:cs="Times New Roman" w:eastAsia="Times New Roman" w:hAnsi="Times New Roman"/>
          <w:sz w:val="26"/>
          <w:szCs w:val="26"/>
          <w:rtl w:val="0"/>
        </w:rPr>
        <w:t xml:space="preserve">3.4. Descriptive Statistics</w:t>
      </w:r>
    </w:p>
    <w:p w:rsidR="00000000" w:rsidDel="00000000" w:rsidP="00000000" w:rsidRDefault="00000000" w:rsidRPr="00000000" w14:paraId="000000EA">
      <w:pPr>
        <w:spacing w:after="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3.4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Descriptive Statistics — Full Sample and Group Comparison</w:t>
      </w:r>
    </w:p>
    <w:p w:rsidR="00000000" w:rsidDel="00000000" w:rsidP="00000000" w:rsidRDefault="00000000" w:rsidRPr="00000000" w14:paraId="000000EB">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Panel A: Full Sample (N = 23,284)</w:t>
      </w:r>
    </w:p>
    <w:p w:rsidR="00000000" w:rsidDel="00000000" w:rsidP="00000000" w:rsidRDefault="00000000" w:rsidRPr="00000000" w14:paraId="000000EC">
      <w:pPr>
        <w:spacing w:after="240" w:lineRule="auto"/>
        <w:rPr>
          <w:rFonts w:ascii="Times New Roman" w:cs="Times New Roman" w:eastAsia="Times New Roman" w:hAnsi="Times New Roman"/>
          <w:sz w:val="26"/>
          <w:szCs w:val="26"/>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8.4897959183672"/>
        <w:gridCol w:w="840.4897959183672"/>
        <w:gridCol w:w="929.6326530612246"/>
        <w:gridCol w:w="891.4285714285713"/>
        <w:gridCol w:w="929.6326530612246"/>
        <w:gridCol w:w="904.1632653061224"/>
        <w:gridCol w:w="916.8979591836734"/>
        <w:gridCol w:w="929.6326530612246"/>
        <w:gridCol w:w="929.6326530612246"/>
        <w:tblGridChange w:id="0">
          <w:tblGrid>
            <w:gridCol w:w="2088.4897959183672"/>
            <w:gridCol w:w="840.4897959183672"/>
            <w:gridCol w:w="929.6326530612246"/>
            <w:gridCol w:w="891.4285714285713"/>
            <w:gridCol w:w="929.6326530612246"/>
            <w:gridCol w:w="904.1632653061224"/>
            <w:gridCol w:w="916.8979591836734"/>
            <w:gridCol w:w="929.6326530612246"/>
            <w:gridCol w:w="929.6326530612246"/>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Variable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on Assets (ROA)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21,727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0.0353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0.1062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-0.4902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0.0068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0.0377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0.0764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0.3670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20,634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1.3492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0.3211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0.7629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1.4583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9.5867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4,143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0.1786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0.0957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0.3379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0.6095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0.8545</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ln(Emissions Intensity)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18,888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10.4390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-5.5116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8.7838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10.3553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11.9394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20.7667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Implied Cost of Debt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0.1245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0.0196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0.0367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0">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0.0553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0.4803</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L1_Firm_Size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19,298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11.8335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2.0191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7.2540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8">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10.4778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9">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11.6233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A">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12.9959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B">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17.5891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L1_Leverage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19,298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0.2259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2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0">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0.0471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0.1877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0.3583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4">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0.8607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L1_Asset_Turnover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0.6699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8">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0.4943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0.9193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3.7762</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L1_Capital_Intensity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167.345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1421.33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0.2648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1.0878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5.4067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13097.3</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L1_Cash_Ratio</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8">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16,848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0.7926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1.6380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0.0030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0.2827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0.7399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11.9198</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asset_tangibility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23,284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0.0118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0.8500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issuer_track_record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23,284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0.2398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9.0000</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has_green_framework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23,284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0.0051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w:t>
            </w:r>
          </w:p>
        </w:tc>
      </w:tr>
    </w:tbl>
    <w:p w:rsidR="00000000" w:rsidDel="00000000" w:rsidP="00000000" w:rsidRDefault="00000000" w:rsidRPr="00000000" w14:paraId="0000016B">
      <w:pPr>
        <w:spacing w:after="240" w:lineRule="auto"/>
        <w:rPr>
          <w:rFonts w:ascii="Times New Roman" w:cs="Times New Roman" w:eastAsia="Times New Roman" w:hAnsi="Times New Roman"/>
          <w:sz w:val="26"/>
          <w:szCs w:val="26"/>
        </w:rPr>
      </w:pPr>
      <w:r w:rsidDel="00000000" w:rsidR="00000000" w:rsidRPr="00000000">
        <w:rPr>
          <w:rtl w:val="0"/>
        </w:rPr>
      </w:r>
    </w:p>
    <w:tbl>
      <w:tblPr>
        <w:tblStyle w:val="Table5"/>
        <w:tblW w:w="80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890"/>
        <w:gridCol w:w="2130"/>
        <w:gridCol w:w="1425"/>
        <w:tblGridChange w:id="0">
          <w:tblGrid>
            <w:gridCol w:w="2580"/>
            <w:gridCol w:w="1890"/>
            <w:gridCol w:w="2130"/>
            <w:gridCol w:w="142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Variable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Treated (Mean)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Untreated (Mean)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Difference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on Assets (ROA)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0.0462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0.0353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+0.0109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1.2425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-0.1602</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0.4736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+0.2227***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ln(Emissions Intensity)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13.8184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10.4282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+3.3902***</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Implied Cost of Debt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873.96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14045.7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-13171.7</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L1_Firm_Size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14.9437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11.8212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+3.1225***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L1_Leverage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9">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0.2252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+0.1870***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asset_tangibility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0.6815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0.5502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F">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+0.1313***</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issuer_track_record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2.5679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2">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+2.5656***</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4">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has_green_framework</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6">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spacing w:after="1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+0.9984***</w:t>
            </w:r>
          </w:p>
          <w:p w:rsidR="00000000" w:rsidDel="00000000" w:rsidP="00000000" w:rsidRDefault="00000000" w:rsidRPr="00000000" w14:paraId="00000198">
            <w:pPr>
              <w:spacing w:after="160" w:lineRule="auto"/>
              <w:jc w:val="righ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9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Treated firms are significantly larger, more leveraged, and have higher ESG scores and emissions intensity (reflecting sector composition, i.e., heavy industry).</w:t>
      </w:r>
    </w:p>
    <w:p w:rsidR="00000000" w:rsidDel="00000000" w:rsidP="00000000" w:rsidRDefault="00000000" w:rsidRPr="00000000" w14:paraId="0000019A">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ufhtejk16qqg" w:id="32"/>
      <w:bookmarkEnd w:id="32"/>
      <w:r w:rsidDel="00000000" w:rsidR="00000000" w:rsidRPr="00000000">
        <w:rPr>
          <w:rFonts w:ascii="Times New Roman" w:cs="Times New Roman" w:eastAsia="Times New Roman" w:hAnsi="Times New Roman"/>
          <w:sz w:val="26"/>
          <w:szCs w:val="26"/>
          <w:rtl w:val="0"/>
        </w:rPr>
        <w:t xml:space="preserve">3.4. Research Models</w:t>
      </w:r>
    </w:p>
    <w:p w:rsidR="00000000" w:rsidDel="00000000" w:rsidP="00000000" w:rsidRDefault="00000000" w:rsidRPr="00000000" w14:paraId="0000019B">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s2fay22khlxn" w:id="33"/>
      <w:bookmarkEnd w:id="33"/>
      <w:r w:rsidDel="00000000" w:rsidR="00000000" w:rsidRPr="00000000">
        <w:rPr>
          <w:rFonts w:ascii="Times New Roman" w:cs="Times New Roman" w:eastAsia="Times New Roman" w:hAnsi="Times New Roman"/>
          <w:sz w:val="26"/>
          <w:szCs w:val="26"/>
          <w:rtl w:val="0"/>
        </w:rPr>
        <w:t xml:space="preserve">3.4.1. Propensity Score Matching Model (First Stage)</w:t>
      </w:r>
    </w:p>
    <w:p w:rsidR="00000000" w:rsidDel="00000000" w:rsidP="00000000" w:rsidRDefault="00000000" w:rsidRPr="00000000" w14:paraId="0000019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Propensity score matching is used to construct a counterfactual control group for green bond issuers based on observable pre-treatment firm characteristics. Each treated firm is matched to the most similar untreated firm(s) using nearest-neighbour matching within a caliper bound.</w:t>
      </w:r>
    </w:p>
    <w:p w:rsidR="00000000" w:rsidDel="00000000" w:rsidP="00000000" w:rsidRDefault="00000000" w:rsidRPr="00000000" w14:paraId="0000019D">
      <w:pPr>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The propensity score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X</w:t>
      </w:r>
      <w:r w:rsidDel="00000000" w:rsidR="00000000" w:rsidRPr="00000000">
        <w:rPr>
          <w:rFonts w:ascii="Times New Roman" w:cs="Times New Roman" w:eastAsia="Times New Roman" w:hAnsi="Times New Roman"/>
          <w:sz w:val="26"/>
          <w:szCs w:val="26"/>
          <w:rtl w:val="0"/>
        </w:rPr>
        <w:t xml:space="preserve">) is estimated via logistic regression:</w:t>
      </w:r>
      <w:r w:rsidDel="00000000" w:rsidR="00000000" w:rsidRPr="00000000">
        <w:rPr>
          <w:rtl w:val="0"/>
        </w:rPr>
      </w:r>
    </w:p>
    <w:p w:rsidR="00000000" w:rsidDel="00000000" w:rsidP="00000000" w:rsidRDefault="00000000" w:rsidRPr="00000000" w14:paraId="0000019E">
      <w:pPr>
        <w:spacing w:after="240" w:line="288" w:lineRule="auto"/>
        <w:ind w:right="-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X</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sz w:val="26"/>
          <w:szCs w:val="26"/>
          <w:rtl w:val="0"/>
        </w:rPr>
        <w:t xml:space="preserve">) = Pr(</w:t>
      </w:r>
      <w:r w:rsidDel="00000000" w:rsidR="00000000" w:rsidRPr="00000000">
        <w:rPr>
          <w:rFonts w:ascii="Times New Roman" w:cs="Times New Roman" w:eastAsia="Times New Roman" w:hAnsi="Times New Roman"/>
          <w:i w:val="1"/>
          <w:iCs w:val="1"/>
          <w:sz w:val="26"/>
          <w:szCs w:val="26"/>
          <w:rtl w:val="0"/>
        </w:rPr>
        <w:t xml:space="preserve">green_bond_active</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1</w:t>
      </w:r>
      <w:r w:rsidDel="00000000" w:rsidR="00000000" w:rsidRPr="00000000">
        <w:rPr>
          <w:rFonts w:ascii="Times New Roman" w:cs="Times New Roman" w:eastAsia="Times New Roman" w:hAnsi="Times New Roman"/>
          <w:i w:val="1"/>
          <w:iCs w:val="1"/>
          <w:sz w:val="26"/>
          <w:szCs w:val="26"/>
          <w:rtl w:val="0"/>
        </w:rPr>
        <w:t xml:space="preserve"> | X</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F">
      <w:pPr>
        <w:spacing w:after="240" w:line="288"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t>
      </w:r>
      <w:r w:rsidDel="00000000" w:rsidR="00000000" w:rsidRPr="00000000">
        <w:rPr>
          <w:rFonts w:ascii="Times New Roman" w:cs="Times New Roman" w:eastAsia="Times New Roman" w:hAnsi="Times New Roman"/>
          <w:i w:val="1"/>
          <w:iCs w:val="1"/>
          <w:sz w:val="26"/>
          <w:szCs w:val="26"/>
          <w:rtl w:val="0"/>
        </w:rPr>
        <w:t xml:space="preserve">X</w:t>
      </w:r>
      <w:r w:rsidDel="00000000" w:rsidR="00000000" w:rsidRPr="00000000">
        <w:rPr>
          <w:rFonts w:ascii="Times New Roman" w:cs="Times New Roman" w:eastAsia="Times New Roman" w:hAnsi="Times New Roman"/>
          <w:i w:val="1"/>
          <w:iCs w:val="1"/>
          <w:sz w:val="26"/>
          <w:szCs w:val="26"/>
          <w:vertAlign w:val="subscript"/>
          <w:rtl w:val="0"/>
        </w:rPr>
        <w:t xml:space="preserve">it </w:t>
      </w:r>
      <w:r w:rsidDel="00000000" w:rsidR="00000000" w:rsidRPr="00000000">
        <w:rPr>
          <w:rFonts w:ascii="Times New Roman" w:cs="Times New Roman" w:eastAsia="Times New Roman" w:hAnsi="Times New Roman"/>
          <w:sz w:val="26"/>
          <w:szCs w:val="26"/>
          <w:rtl w:val="0"/>
        </w:rPr>
        <w:t xml:space="preserve">denotes the vector of lagged control variables defined in Section 3.3.3. The caliper is set at 2×σ</w:t>
      </w:r>
      <w:r w:rsidDel="00000000" w:rsidR="00000000" w:rsidRPr="00000000">
        <w:rPr>
          <w:rFonts w:ascii="Times New Roman" w:cs="Times New Roman" w:eastAsia="Times New Roman" w:hAnsi="Times New Roman"/>
          <w:sz w:val="26"/>
          <w:szCs w:val="26"/>
          <w:vertAlign w:val="subscript"/>
          <w:rtl w:val="0"/>
        </w:rPr>
        <w:t xml:space="preserve">p</w:t>
      </w:r>
      <w:r w:rsidDel="00000000" w:rsidR="00000000" w:rsidRPr="00000000">
        <w:rPr>
          <w:rFonts w:ascii="Times New Roman" w:cs="Times New Roman" w:eastAsia="Times New Roman" w:hAnsi="Times New Roman"/>
          <w:sz w:val="26"/>
          <w:szCs w:val="26"/>
          <w:rtl w:val="0"/>
        </w:rPr>
        <w:t xml:space="preserve"> (Austin, 2011), with a minimum floor of 0.05 standard deviations. Covariate balance is assessed using standardized mean differences (Cohen's d); balance is considered acceptable when all differences fall below 0.10.</w:t>
      </w:r>
    </w:p>
    <w:p w:rsidR="00000000" w:rsidDel="00000000" w:rsidP="00000000" w:rsidRDefault="00000000" w:rsidRPr="00000000" w14:paraId="000001A0">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cvl8rm6irqet" w:id="34"/>
      <w:bookmarkEnd w:id="34"/>
      <w:r w:rsidDel="00000000" w:rsidR="00000000" w:rsidRPr="00000000">
        <w:rPr>
          <w:rFonts w:ascii="Times New Roman" w:cs="Times New Roman" w:eastAsia="Times New Roman" w:hAnsi="Times New Roman"/>
          <w:sz w:val="26"/>
          <w:szCs w:val="26"/>
          <w:rtl w:val="0"/>
        </w:rPr>
        <w:t xml:space="preserve">3.4.2. Difference-in-Differences Model (Second Stage)</w:t>
      </w:r>
    </w:p>
    <w:p w:rsidR="00000000" w:rsidDel="00000000" w:rsidP="00000000" w:rsidRDefault="00000000" w:rsidRPr="00000000" w14:paraId="000001A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baseline DiD specification is a Two-Way Fixed Effects (TWFE) panel regression estimated on the full unmatched panel (due to limited PSM coverage; see Section 4.3):</w:t>
      </w:r>
    </w:p>
    <w:p w:rsidR="00000000" w:rsidDel="00000000" w:rsidP="00000000" w:rsidRDefault="00000000" w:rsidRPr="00000000" w14:paraId="000001A2">
      <w:pPr>
        <w:spacing w:after="2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Y</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α + δ . green_bond_active</w:t>
      </w:r>
      <w:r w:rsidDel="00000000" w:rsidR="00000000" w:rsidRPr="00000000">
        <w:rPr>
          <w:rFonts w:ascii="Times New Roman" w:cs="Times New Roman" w:eastAsia="Times New Roman" w:hAnsi="Times New Roman"/>
          <w:i w:val="1"/>
          <w:iCs w:val="1"/>
          <w:sz w:val="26"/>
          <w:szCs w:val="26"/>
          <w:vertAlign w:val="subscript"/>
          <w:rtl w:val="0"/>
        </w:rPr>
        <w:t xml:space="preserve">it </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βX</w:t>
      </w:r>
      <w:r w:rsidDel="00000000" w:rsidR="00000000" w:rsidRPr="00000000">
        <w:rPr>
          <w:rFonts w:ascii="Times New Roman" w:cs="Times New Roman" w:eastAsia="Times New Roman" w:hAnsi="Times New Roman"/>
          <w:i w:val="1"/>
          <w:iCs w:val="1"/>
          <w:sz w:val="26"/>
          <w:szCs w:val="26"/>
          <w:vertAlign w:val="subscript"/>
          <w:rtl w:val="0"/>
        </w:rPr>
        <w:t xml:space="preserve">it - 1 </w:t>
      </w:r>
      <w:r w:rsidDel="00000000" w:rsidR="00000000" w:rsidRPr="00000000">
        <w:rPr>
          <w:rFonts w:ascii="Times New Roman" w:cs="Times New Roman" w:eastAsia="Times New Roman" w:hAnsi="Times New Roman"/>
          <w:i w:val="1"/>
          <w:iCs w:val="1"/>
          <w:sz w:val="26"/>
          <w:szCs w:val="26"/>
          <w:rtl w:val="0"/>
        </w:rPr>
        <w:t xml:space="preserve"> + μ</w:t>
      </w:r>
      <w:r w:rsidDel="00000000" w:rsidR="00000000" w:rsidRPr="00000000">
        <w:rPr>
          <w:rFonts w:ascii="Times New Roman" w:cs="Times New Roman" w:eastAsia="Times New Roman" w:hAnsi="Times New Roman"/>
          <w:i w:val="1"/>
          <w:iCs w:val="1"/>
          <w:sz w:val="26"/>
          <w:szCs w:val="26"/>
          <w:vertAlign w:val="subscript"/>
          <w:rtl w:val="0"/>
        </w:rPr>
        <w:t xml:space="preserve">i </w:t>
      </w:r>
      <w:r w:rsidDel="00000000" w:rsidR="00000000" w:rsidRPr="00000000">
        <w:rPr>
          <w:rFonts w:ascii="Times New Roman" w:cs="Times New Roman" w:eastAsia="Times New Roman" w:hAnsi="Times New Roman"/>
          <w:i w:val="1"/>
          <w:iCs w:val="1"/>
          <w:sz w:val="26"/>
          <w:szCs w:val="26"/>
          <w:rtl w:val="0"/>
        </w:rPr>
        <w:t xml:space="preserve"> + λ</w:t>
      </w:r>
      <w:r w:rsidDel="00000000" w:rsidR="00000000" w:rsidRPr="00000000">
        <w:rPr>
          <w:rFonts w:ascii="Times New Roman" w:cs="Times New Roman" w:eastAsia="Times New Roman" w:hAnsi="Times New Roman"/>
          <w:i w:val="1"/>
          <w:iCs w:val="1"/>
          <w:sz w:val="26"/>
          <w:szCs w:val="26"/>
          <w:vertAlign w:val="subscript"/>
          <w:rtl w:val="0"/>
        </w:rPr>
        <w:t xml:space="preserve">t</w:t>
      </w:r>
      <w:r w:rsidDel="00000000" w:rsidR="00000000" w:rsidRPr="00000000">
        <w:rPr>
          <w:rFonts w:ascii="Times New Roman" w:cs="Times New Roman" w:eastAsia="Times New Roman" w:hAnsi="Times New Roman"/>
          <w:i w:val="1"/>
          <w:iCs w:val="1"/>
          <w:sz w:val="26"/>
          <w:szCs w:val="26"/>
          <w:rtl w:val="0"/>
        </w:rPr>
        <w:t xml:space="preserve"> + ε</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t>
      </w:r>
      <w:r w:rsidDel="00000000" w:rsidR="00000000" w:rsidRPr="00000000">
        <w:rPr>
          <w:rFonts w:ascii="Times New Roman" w:cs="Times New Roman" w:eastAsia="Times New Roman" w:hAnsi="Times New Roman"/>
          <w:i w:val="1"/>
          <w:iCs w:val="1"/>
          <w:sz w:val="26"/>
          <w:szCs w:val="26"/>
          <w:rtl w:val="0"/>
        </w:rPr>
        <w:t xml:space="preserve">Y</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 one of the four outcome variables, </w:t>
      </w:r>
      <w:r w:rsidDel="00000000" w:rsidR="00000000" w:rsidRPr="00000000">
        <w:rPr>
          <w:rFonts w:ascii="Times New Roman" w:cs="Times New Roman" w:eastAsia="Times New Roman" w:hAnsi="Times New Roman"/>
          <w:i w:val="1"/>
          <w:iCs w:val="1"/>
          <w:sz w:val="26"/>
          <w:szCs w:val="26"/>
          <w:rtl w:val="0"/>
        </w:rPr>
        <w:t xml:space="preserve">δ</w:t>
      </w:r>
      <w:r w:rsidDel="00000000" w:rsidR="00000000" w:rsidRPr="00000000">
        <w:rPr>
          <w:rFonts w:ascii="Times New Roman" w:cs="Times New Roman" w:eastAsia="Times New Roman" w:hAnsi="Times New Roman"/>
          <w:sz w:val="26"/>
          <w:szCs w:val="26"/>
          <w:rtl w:val="0"/>
        </w:rPr>
        <w:t xml:space="preserve"> is the ATT of green bond issuance, </w:t>
      </w:r>
      <w:r w:rsidDel="00000000" w:rsidR="00000000" w:rsidRPr="00000000">
        <w:rPr>
          <w:rFonts w:ascii="Times New Roman" w:cs="Times New Roman" w:eastAsia="Times New Roman" w:hAnsi="Times New Roman"/>
          <w:i w:val="1"/>
          <w:iCs w:val="1"/>
          <w:sz w:val="26"/>
          <w:szCs w:val="26"/>
          <w:rtl w:val="0"/>
        </w:rPr>
        <w:t xml:space="preserve">X</w:t>
      </w:r>
      <w:r w:rsidDel="00000000" w:rsidR="00000000" w:rsidRPr="00000000">
        <w:rPr>
          <w:rFonts w:ascii="Times New Roman" w:cs="Times New Roman" w:eastAsia="Times New Roman" w:hAnsi="Times New Roman"/>
          <w:i w:val="1"/>
          <w:iCs w:val="1"/>
          <w:sz w:val="26"/>
          <w:szCs w:val="26"/>
          <w:vertAlign w:val="subscript"/>
          <w:rtl w:val="0"/>
        </w:rPr>
        <w:t xml:space="preserve">it-1</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 the vector of lagged controls, </w:t>
      </w:r>
      <w:r w:rsidDel="00000000" w:rsidR="00000000" w:rsidRPr="00000000">
        <w:rPr>
          <w:rFonts w:ascii="Times New Roman" w:cs="Times New Roman" w:eastAsia="Times New Roman" w:hAnsi="Times New Roman"/>
          <w:i w:val="1"/>
          <w:iCs w:val="1"/>
          <w:sz w:val="26"/>
          <w:szCs w:val="26"/>
          <w:rtl w:val="0"/>
        </w:rPr>
        <w:t xml:space="preserve">μ</w:t>
      </w:r>
      <w:r w:rsidDel="00000000" w:rsidR="00000000" w:rsidRPr="00000000">
        <w:rPr>
          <w:rFonts w:ascii="Times New Roman" w:cs="Times New Roman" w:eastAsia="Times New Roman" w:hAnsi="Times New Roman"/>
          <w:i w:val="1"/>
          <w:iCs w:val="1"/>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denotes entity fixed effects, </w:t>
      </w:r>
      <w:r w:rsidDel="00000000" w:rsidR="00000000" w:rsidRPr="00000000">
        <w:rPr>
          <w:rFonts w:ascii="Times New Roman" w:cs="Times New Roman" w:eastAsia="Times New Roman" w:hAnsi="Times New Roman"/>
          <w:i w:val="1"/>
          <w:iCs w:val="1"/>
          <w:sz w:val="26"/>
          <w:szCs w:val="26"/>
          <w:rtl w:val="0"/>
        </w:rPr>
        <w:t xml:space="preserve"> λ</w:t>
      </w:r>
      <w:r w:rsidDel="00000000" w:rsidR="00000000" w:rsidRPr="00000000">
        <w:rPr>
          <w:rFonts w:ascii="Times New Roman" w:cs="Times New Roman" w:eastAsia="Times New Roman" w:hAnsi="Times New Roman"/>
          <w:i w:val="1"/>
          <w:iCs w:val="1"/>
          <w:sz w:val="26"/>
          <w:szCs w:val="26"/>
          <w:vertAlign w:val="subscript"/>
          <w:rtl w:val="0"/>
        </w:rPr>
        <w:t xml:space="preserve">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denotes year fixed effects, and </w:t>
      </w:r>
      <w:r w:rsidDel="00000000" w:rsidR="00000000" w:rsidRPr="00000000">
        <w:rPr>
          <w:rFonts w:ascii="Times New Roman" w:cs="Times New Roman" w:eastAsia="Times New Roman" w:hAnsi="Times New Roman"/>
          <w:i w:val="1"/>
          <w:iCs w:val="1"/>
          <w:sz w:val="26"/>
          <w:szCs w:val="26"/>
          <w:rtl w:val="0"/>
        </w:rPr>
        <w:t xml:space="preserve">ε</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sz w:val="26"/>
          <w:szCs w:val="26"/>
          <w:rtl w:val="0"/>
        </w:rPr>
        <w:t xml:space="preserve">​ is the idiosyncratic error term. Standard errors are clustered at the entity level to account for within-firm serial correlation.</w:t>
      </w:r>
    </w:p>
    <w:p w:rsidR="00000000" w:rsidDel="00000000" w:rsidP="00000000" w:rsidRDefault="00000000" w:rsidRPr="00000000" w14:paraId="000001A4">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Five specifications are estimated for each outcome to assess robustness: (1) entity fixed effects only, (2) time fixed effects only, (3) two-way fixed effects (TWFE), (4) entity fixed effects with a firm-specific linear time trend, and (5) no fixed effects (pooled OLS).</w:t>
      </w:r>
    </w:p>
    <w:p w:rsidR="00000000" w:rsidDel="00000000" w:rsidP="00000000" w:rsidRDefault="00000000" w:rsidRPr="00000000" w14:paraId="000001A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address treatment timing heterogeneity, a cohort-specific event study following Callaway and Sant'Anna (2021) is also estimated, decomposing the aggregated ATT by treatment cohort:</w:t>
      </w:r>
    </w:p>
    <w:p w:rsidR="00000000" w:rsidDel="00000000" w:rsidP="00000000" w:rsidRDefault="00000000" w:rsidRPr="00000000" w14:paraId="000001A6">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ATT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g, 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i w:val="1"/>
          <w:iCs w:val="1"/>
          <w:sz w:val="26"/>
          <w:szCs w:val="26"/>
          <w:rtl w:val="0"/>
        </w:rPr>
        <w:t xml:space="preserve">Y</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sz w:val="26"/>
          <w:szCs w:val="26"/>
          <w:rtl w:val="0"/>
        </w:rPr>
        <w:t xml:space="preserve">(g)</w:t>
      </w:r>
      <w:r w:rsidDel="00000000" w:rsidR="00000000" w:rsidRPr="00000000">
        <w:rPr>
          <w:rFonts w:ascii="Times New Roman" w:cs="Times New Roman" w:eastAsia="Times New Roman" w:hAnsi="Times New Roman"/>
          <w:i w:val="1"/>
          <w:iCs w:val="1"/>
          <w:sz w:val="26"/>
          <w:szCs w:val="26"/>
          <w:rtl w:val="0"/>
        </w:rPr>
        <w:t xml:space="preserve"> - Y</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i w:val="1"/>
          <w:iCs w:val="1"/>
          <w:sz w:val="26"/>
          <w:szCs w:val="26"/>
          <w:rtl w:val="0"/>
        </w:rPr>
        <w:t xml:space="preserve"> | G</w:t>
      </w:r>
      <w:r w:rsidDel="00000000" w:rsidR="00000000" w:rsidRPr="00000000">
        <w:rPr>
          <w:rFonts w:ascii="Times New Roman" w:cs="Times New Roman" w:eastAsia="Times New Roman" w:hAnsi="Times New Roman"/>
          <w:i w:val="1"/>
          <w:iCs w:val="1"/>
          <w:sz w:val="26"/>
          <w:szCs w:val="26"/>
          <w:vertAlign w:val="subscript"/>
          <w:rtl w:val="0"/>
        </w:rPr>
        <w:t xml:space="preserve">i</w:t>
      </w:r>
      <w:r w:rsidDel="00000000" w:rsidR="00000000" w:rsidRPr="00000000">
        <w:rPr>
          <w:rFonts w:ascii="Times New Roman" w:cs="Times New Roman" w:eastAsia="Times New Roman" w:hAnsi="Times New Roman"/>
          <w:i w:val="1"/>
          <w:iCs w:val="1"/>
          <w:sz w:val="26"/>
          <w:szCs w:val="26"/>
          <w:rtl w:val="0"/>
        </w:rPr>
        <w:t xml:space="preserve"> = g]</w:t>
      </w:r>
    </w:p>
    <w:p w:rsidR="00000000" w:rsidDel="00000000" w:rsidP="00000000" w:rsidRDefault="00000000" w:rsidRPr="00000000" w14:paraId="000001A7">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t>
      </w:r>
      <w:r w:rsidDel="00000000" w:rsidR="00000000" w:rsidRPr="00000000">
        <w:rPr>
          <w:rFonts w:ascii="Times New Roman" w:cs="Times New Roman" w:eastAsia="Times New Roman" w:hAnsi="Times New Roman"/>
          <w:i w:val="1"/>
          <w:iCs w:val="1"/>
          <w:sz w:val="26"/>
          <w:szCs w:val="26"/>
          <w:rtl w:val="0"/>
        </w:rPr>
        <w:t xml:space="preserve">G</w:t>
      </w:r>
      <w:r w:rsidDel="00000000" w:rsidR="00000000" w:rsidRPr="00000000">
        <w:rPr>
          <w:rFonts w:ascii="Times New Roman" w:cs="Times New Roman" w:eastAsia="Times New Roman" w:hAnsi="Times New Roman"/>
          <w:i w:val="1"/>
          <w:iCs w:val="1"/>
          <w:sz w:val="26"/>
          <w:szCs w:val="26"/>
          <w:vertAlign w:val="subscript"/>
          <w:rtl w:val="0"/>
        </w:rPr>
        <w:t xml:space="preserve">i</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g </w:t>
      </w:r>
      <w:r w:rsidDel="00000000" w:rsidR="00000000" w:rsidRPr="00000000">
        <w:rPr>
          <w:rFonts w:ascii="Times New Roman" w:cs="Times New Roman" w:eastAsia="Times New Roman" w:hAnsi="Times New Roman"/>
          <w:sz w:val="26"/>
          <w:szCs w:val="26"/>
          <w:rtl w:val="0"/>
        </w:rPr>
        <w:t xml:space="preserve">denotes the cohort of firm </w:t>
      </w:r>
      <w:r w:rsidDel="00000000" w:rsidR="00000000" w:rsidRPr="00000000">
        <w:rPr>
          <w:rFonts w:ascii="Times New Roman" w:cs="Times New Roman" w:eastAsia="Times New Roman" w:hAnsi="Times New Roman"/>
          <w:i w:val="1"/>
          <w:iCs w:val="1"/>
          <w:sz w:val="26"/>
          <w:szCs w:val="26"/>
          <w:rtl w:val="0"/>
        </w:rPr>
        <w:t xml:space="preserve">i</w:t>
      </w:r>
      <w:r w:rsidDel="00000000" w:rsidR="00000000" w:rsidRPr="00000000">
        <w:rPr>
          <w:rFonts w:ascii="Times New Roman" w:cs="Times New Roman" w:eastAsia="Times New Roman" w:hAnsi="Times New Roman"/>
          <w:sz w:val="26"/>
          <w:szCs w:val="26"/>
          <w:rtl w:val="0"/>
        </w:rPr>
        <w:t xml:space="preserve"> (i.e., the calendar year of first green bond issuance) and </w:t>
      </w:r>
      <w:r w:rsidDel="00000000" w:rsidR="00000000" w:rsidRPr="00000000">
        <w:rPr>
          <w:rFonts w:ascii="Times New Roman" w:cs="Times New Roman" w:eastAsia="Times New Roman" w:hAnsi="Times New Roman"/>
          <w:i w:val="1"/>
          <w:iCs w:val="1"/>
          <w:sz w:val="26"/>
          <w:szCs w:val="26"/>
          <w:rtl w:val="0"/>
        </w:rPr>
        <w:t xml:space="preserve">Y</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sz w:val="26"/>
          <w:szCs w:val="26"/>
          <w:rtl w:val="0"/>
        </w:rPr>
        <w:t xml:space="preserve">(0) is the counterfactual potential outcome under no treatment.</w:t>
      </w:r>
    </w:p>
    <w:p w:rsidR="00000000" w:rsidDel="00000000" w:rsidP="00000000" w:rsidRDefault="00000000" w:rsidRPr="00000000" w14:paraId="000001A8">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9ue9kc8mi102" w:id="35"/>
      <w:bookmarkEnd w:id="35"/>
      <w:r w:rsidDel="00000000" w:rsidR="00000000" w:rsidRPr="00000000">
        <w:rPr>
          <w:rFonts w:ascii="Times New Roman" w:cs="Times New Roman" w:eastAsia="Times New Roman" w:hAnsi="Times New Roman"/>
          <w:sz w:val="26"/>
          <w:szCs w:val="26"/>
          <w:rtl w:val="0"/>
        </w:rPr>
        <w:t xml:space="preserve">3.4.3. Dynamic Panel Estimation Model (System GMM)</w:t>
      </w:r>
    </w:p>
    <w:p w:rsidR="00000000" w:rsidDel="00000000" w:rsidP="00000000" w:rsidRDefault="00000000" w:rsidRPr="00000000" w14:paraId="000001A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GMM (Arellano &amp; Bover, 1995; Blundell &amp; Bond, 1998) is employed as the primary robustness estimator to address dynamic endogeneity, unobserved heterogeneity, and potential simultaneity between green bond issuance and firm performance:</w:t>
      </w:r>
    </w:p>
    <w:p w:rsidR="00000000" w:rsidDel="00000000" w:rsidP="00000000" w:rsidRDefault="00000000" w:rsidRPr="00000000" w14:paraId="000001AA">
      <w:pPr>
        <w:spacing w:after="2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Y</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ρ.Y</w:t>
      </w:r>
      <w:r w:rsidDel="00000000" w:rsidR="00000000" w:rsidRPr="00000000">
        <w:rPr>
          <w:rFonts w:ascii="Times New Roman" w:cs="Times New Roman" w:eastAsia="Times New Roman" w:hAnsi="Times New Roman"/>
          <w:i w:val="1"/>
          <w:iCs w:val="1"/>
          <w:sz w:val="26"/>
          <w:szCs w:val="26"/>
          <w:vertAlign w:val="subscript"/>
          <w:rtl w:val="0"/>
        </w:rPr>
        <w:t xml:space="preserve">it - 1</w:t>
      </w:r>
      <w:r w:rsidDel="00000000" w:rsidR="00000000" w:rsidRPr="00000000">
        <w:rPr>
          <w:rFonts w:ascii="Times New Roman" w:cs="Times New Roman" w:eastAsia="Times New Roman" w:hAnsi="Times New Roman"/>
          <w:i w:val="1"/>
          <w:iCs w:val="1"/>
          <w:sz w:val="26"/>
          <w:szCs w:val="26"/>
          <w:rtl w:val="0"/>
        </w:rPr>
        <w:t xml:space="preserve"> + δ . green_bond_active</w:t>
      </w:r>
      <w:r w:rsidDel="00000000" w:rsidR="00000000" w:rsidRPr="00000000">
        <w:rPr>
          <w:rFonts w:ascii="Times New Roman" w:cs="Times New Roman" w:eastAsia="Times New Roman" w:hAnsi="Times New Roman"/>
          <w:i w:val="1"/>
          <w:iCs w:val="1"/>
          <w:sz w:val="26"/>
          <w:szCs w:val="26"/>
          <w:vertAlign w:val="subscript"/>
          <w:rtl w:val="0"/>
        </w:rPr>
        <w:t xml:space="preserve">it </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βX</w:t>
      </w:r>
      <w:r w:rsidDel="00000000" w:rsidR="00000000" w:rsidRPr="00000000">
        <w:rPr>
          <w:rFonts w:ascii="Times New Roman" w:cs="Times New Roman" w:eastAsia="Times New Roman" w:hAnsi="Times New Roman"/>
          <w:i w:val="1"/>
          <w:iCs w:val="1"/>
          <w:sz w:val="26"/>
          <w:szCs w:val="26"/>
          <w:vertAlign w:val="subscript"/>
          <w:rtl w:val="0"/>
        </w:rPr>
        <w:t xml:space="preserve">it - 1 </w:t>
      </w:r>
      <w:r w:rsidDel="00000000" w:rsidR="00000000" w:rsidRPr="00000000">
        <w:rPr>
          <w:rFonts w:ascii="Times New Roman" w:cs="Times New Roman" w:eastAsia="Times New Roman" w:hAnsi="Times New Roman"/>
          <w:i w:val="1"/>
          <w:iCs w:val="1"/>
          <w:sz w:val="26"/>
          <w:szCs w:val="26"/>
          <w:rtl w:val="0"/>
        </w:rPr>
        <w:t xml:space="preserve"> + μ</w:t>
      </w:r>
      <w:r w:rsidDel="00000000" w:rsidR="00000000" w:rsidRPr="00000000">
        <w:rPr>
          <w:rFonts w:ascii="Times New Roman" w:cs="Times New Roman" w:eastAsia="Times New Roman" w:hAnsi="Times New Roman"/>
          <w:i w:val="1"/>
          <w:iCs w:val="1"/>
          <w:sz w:val="26"/>
          <w:szCs w:val="26"/>
          <w:vertAlign w:val="subscript"/>
          <w:rtl w:val="0"/>
        </w:rPr>
        <w:t xml:space="preserve">i </w:t>
      </w:r>
      <w:r w:rsidDel="00000000" w:rsidR="00000000" w:rsidRPr="00000000">
        <w:rPr>
          <w:rFonts w:ascii="Times New Roman" w:cs="Times New Roman" w:eastAsia="Times New Roman" w:hAnsi="Times New Roman"/>
          <w:i w:val="1"/>
          <w:iCs w:val="1"/>
          <w:sz w:val="26"/>
          <w:szCs w:val="26"/>
          <w:rtl w:val="0"/>
        </w:rPr>
        <w:t xml:space="preserve"> + λ</w:t>
      </w:r>
      <w:r w:rsidDel="00000000" w:rsidR="00000000" w:rsidRPr="00000000">
        <w:rPr>
          <w:rFonts w:ascii="Times New Roman" w:cs="Times New Roman" w:eastAsia="Times New Roman" w:hAnsi="Times New Roman"/>
          <w:i w:val="1"/>
          <w:iCs w:val="1"/>
          <w:sz w:val="26"/>
          <w:szCs w:val="26"/>
          <w:vertAlign w:val="subscript"/>
          <w:rtl w:val="0"/>
        </w:rPr>
        <w:t xml:space="preserve">t</w:t>
      </w:r>
      <w:r w:rsidDel="00000000" w:rsidR="00000000" w:rsidRPr="00000000">
        <w:rPr>
          <w:rFonts w:ascii="Times New Roman" w:cs="Times New Roman" w:eastAsia="Times New Roman" w:hAnsi="Times New Roman"/>
          <w:i w:val="1"/>
          <w:iCs w:val="1"/>
          <w:sz w:val="26"/>
          <w:szCs w:val="26"/>
          <w:rtl w:val="0"/>
        </w:rPr>
        <w:t xml:space="preserve"> + ε</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GMM estimator combines the differenced equation (instrumenting with lagged levels) and the levels equation (instrumenting with lagged differences), yielding consistent estimates when </w:t>
      </w:r>
      <w:r w:rsidDel="00000000" w:rsidR="00000000" w:rsidRPr="00000000">
        <w:rPr>
          <w:rFonts w:ascii="Times New Roman" w:cs="Times New Roman" w:eastAsia="Times New Roman" w:hAnsi="Times New Roman"/>
          <w:i w:val="1"/>
          <w:iCs w:val="1"/>
          <w:sz w:val="26"/>
          <w:szCs w:val="26"/>
          <w:rtl w:val="0"/>
        </w:rPr>
        <w:t xml:space="preserve">T</w:t>
      </w:r>
      <w:r w:rsidDel="00000000" w:rsidR="00000000" w:rsidRPr="00000000">
        <w:rPr>
          <w:rFonts w:ascii="Times New Roman" w:cs="Times New Roman" w:eastAsia="Times New Roman" w:hAnsi="Times New Roman"/>
          <w:sz w:val="26"/>
          <w:szCs w:val="26"/>
          <w:rtl w:val="0"/>
        </w:rPr>
        <w:t xml:space="preserve"> is small and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is large. Instrument validity is assessed via the Arellano-Bond AR(2) test for second-order autocorrelation and the Sargan-Hansen test for overidentifying restrictions.</w:t>
      </w:r>
    </w:p>
    <w:p w:rsidR="00000000" w:rsidDel="00000000" w:rsidP="00000000" w:rsidRDefault="00000000" w:rsidRPr="00000000" w14:paraId="000001AC">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fjfj103ein6n" w:id="36"/>
      <w:bookmarkEnd w:id="36"/>
      <w:r w:rsidDel="00000000" w:rsidR="00000000" w:rsidRPr="00000000">
        <w:rPr>
          <w:rFonts w:ascii="Times New Roman" w:cs="Times New Roman" w:eastAsia="Times New Roman" w:hAnsi="Times New Roman"/>
          <w:sz w:val="26"/>
          <w:szCs w:val="26"/>
          <w:rtl w:val="0"/>
        </w:rPr>
        <w:t xml:space="preserve">3.5. Model Estimation and Evaluation</w:t>
      </w:r>
    </w:p>
    <w:p w:rsidR="00000000" w:rsidDel="00000000" w:rsidP="00000000" w:rsidRDefault="00000000" w:rsidRPr="00000000" w14:paraId="000001AD">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hr1s5k89iaq" w:id="37"/>
      <w:bookmarkEnd w:id="37"/>
      <w:r w:rsidDel="00000000" w:rsidR="00000000" w:rsidRPr="00000000">
        <w:rPr>
          <w:rFonts w:ascii="Times New Roman" w:cs="Times New Roman" w:eastAsia="Times New Roman" w:hAnsi="Times New Roman"/>
          <w:sz w:val="26"/>
          <w:szCs w:val="26"/>
          <w:rtl w:val="0"/>
        </w:rPr>
        <w:t xml:space="preserve">3.5.1. Parallel Trends Assumption</w:t>
      </w:r>
    </w:p>
    <w:p w:rsidR="00000000" w:rsidDel="00000000" w:rsidP="00000000" w:rsidRDefault="00000000" w:rsidRPr="00000000" w14:paraId="000001A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validity of the DiD estimator rests on the parallel trends assumption — that treated and control firms would have followed similar trajectories in the absence of treatment. This is tested via a pre-treatment event study specification including leads and lags of the treatment indicator:</w:t>
      </w:r>
    </w:p>
    <w:p w:rsidR="00000000" w:rsidDel="00000000" w:rsidP="00000000" w:rsidRDefault="00000000" w:rsidRPr="00000000" w14:paraId="000001AF">
      <w:pPr>
        <w:spacing w:after="240" w:line="288"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Y</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α +</w:t>
      </w:r>
      <m:oMath>
        <m:nary>
          <m:naryPr>
            <m:chr m:val="∑"/>
            <m:ctrlPr>
              <w:rPr>
                <w:rFonts w:ascii="Times New Roman" w:cs="Times New Roman" w:eastAsia="Times New Roman" w:hAnsi="Times New Roman"/>
                <w:i w:val="1"/>
                <w:iCs w:val="1"/>
                <w:sz w:val="26"/>
                <w:szCs w:val="26"/>
              </w:rPr>
            </m:ctrlPr>
          </m:naryPr>
          <m:sub>
            <m:r>
              <w:rPr>
                <w:rFonts w:ascii="Times New Roman" w:cs="Times New Roman" w:eastAsia="Times New Roman" w:hAnsi="Times New Roman"/>
                <w:i w:val="1"/>
                <w:iCs w:val="1"/>
                <w:sz w:val="26"/>
                <w:szCs w:val="26"/>
              </w:rPr>
              <m:t xml:space="preserve">k=-2</m:t>
            </m:r>
          </m:sub>
          <m:sup>
            <m:r>
              <w:rPr>
                <w:rFonts w:ascii="Times New Roman" w:cs="Times New Roman" w:eastAsia="Times New Roman" w:hAnsi="Times New Roman"/>
                <w:i w:val="1"/>
                <w:iCs w:val="1"/>
                <w:sz w:val="26"/>
                <w:szCs w:val="26"/>
              </w:rPr>
              <m:t xml:space="preserve">+1</m:t>
            </m:r>
          </m:sup>
        </m:nary>
      </m:oMath>
      <w:r w:rsidDel="00000000" w:rsidR="00000000" w:rsidRPr="00000000">
        <w:rPr>
          <w:rFonts w:ascii="Times New Roman" w:cs="Times New Roman" w:eastAsia="Times New Roman" w:hAnsi="Times New Roman"/>
          <w:i w:val="1"/>
          <w:iCs w:val="1"/>
          <w:sz w:val="26"/>
          <w:szCs w:val="26"/>
          <w:rtl w:val="0"/>
        </w:rPr>
        <w:t xml:space="preserve"> γ</w:t>
      </w:r>
      <w:r w:rsidDel="00000000" w:rsidR="00000000" w:rsidRPr="00000000">
        <w:rPr>
          <w:rFonts w:ascii="Times New Roman" w:cs="Times New Roman" w:eastAsia="Times New Roman" w:hAnsi="Times New Roman"/>
          <w:i w:val="1"/>
          <w:iCs w:val="1"/>
          <w:sz w:val="26"/>
          <w:szCs w:val="26"/>
          <w:vertAlign w:val="subscript"/>
          <w:rtl w:val="0"/>
        </w:rPr>
        <w:t xml:space="preserve">k</w:t>
      </w:r>
      <w:r w:rsidDel="00000000" w:rsidR="00000000" w:rsidRPr="00000000">
        <w:rPr>
          <w:rFonts w:ascii="Times New Roman" w:cs="Times New Roman" w:eastAsia="Times New Roman" w:hAnsi="Times New Roman"/>
          <w:i w:val="1"/>
          <w:iCs w:val="1"/>
          <w:sz w:val="26"/>
          <w:szCs w:val="26"/>
          <w:rtl w:val="0"/>
        </w:rPr>
        <w:t xml:space="preserve"> .</w:t>
      </w:r>
      <m:oMath>
        <m:sSubSup>
          <m:sSubSupPr>
            <m:ctrlPr>
              <w:rPr>
                <w:rFonts w:ascii="Times New Roman" w:cs="Times New Roman" w:eastAsia="Times New Roman" w:hAnsi="Times New Roman"/>
                <w:i w:val="1"/>
                <w:iCs w:val="1"/>
                <w:sz w:val="26"/>
                <w:szCs w:val="26"/>
              </w:rPr>
            </m:ctrlPr>
          </m:sSubSupPr>
          <m:e>
            <m:r>
              <w:rPr>
                <w:rFonts w:ascii="Times New Roman" w:cs="Times New Roman" w:eastAsia="Times New Roman" w:hAnsi="Times New Roman"/>
                <w:i w:val="1"/>
                <w:iCs w:val="1"/>
                <w:sz w:val="26"/>
                <w:szCs w:val="26"/>
              </w:rPr>
              <m:t xml:space="preserve">D</m:t>
            </m:r>
          </m:e>
          <m:sub>
            <m:r>
              <w:rPr>
                <w:rFonts w:ascii="Times New Roman" w:cs="Times New Roman" w:eastAsia="Times New Roman" w:hAnsi="Times New Roman"/>
                <w:i w:val="1"/>
                <w:iCs w:val="1"/>
                <w:sz w:val="26"/>
                <w:szCs w:val="26"/>
              </w:rPr>
              <m:t xml:space="preserve">it</m:t>
            </m:r>
          </m:sub>
          <m:sup>
            <m:r>
              <w:rPr>
                <w:rFonts w:ascii="Times New Roman" w:cs="Times New Roman" w:eastAsia="Times New Roman" w:hAnsi="Times New Roman"/>
                <w:i w:val="1"/>
                <w:iCs w:val="1"/>
                <w:sz w:val="26"/>
                <w:szCs w:val="26"/>
              </w:rPr>
              <m:t xml:space="preserve">k</m:t>
            </m:r>
          </m:sup>
        </m:sSubSup>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βX</w:t>
      </w:r>
      <w:r w:rsidDel="00000000" w:rsidR="00000000" w:rsidRPr="00000000">
        <w:rPr>
          <w:rFonts w:ascii="Times New Roman" w:cs="Times New Roman" w:eastAsia="Times New Roman" w:hAnsi="Times New Roman"/>
          <w:i w:val="1"/>
          <w:iCs w:val="1"/>
          <w:sz w:val="26"/>
          <w:szCs w:val="26"/>
          <w:vertAlign w:val="subscript"/>
          <w:rtl w:val="0"/>
        </w:rPr>
        <w:t xml:space="preserve">it - 1 </w:t>
      </w:r>
      <w:r w:rsidDel="00000000" w:rsidR="00000000" w:rsidRPr="00000000">
        <w:rPr>
          <w:rFonts w:ascii="Times New Roman" w:cs="Times New Roman" w:eastAsia="Times New Roman" w:hAnsi="Times New Roman"/>
          <w:i w:val="1"/>
          <w:iCs w:val="1"/>
          <w:sz w:val="26"/>
          <w:szCs w:val="26"/>
          <w:rtl w:val="0"/>
        </w:rPr>
        <w:t xml:space="preserve"> + μ</w:t>
      </w:r>
      <w:r w:rsidDel="00000000" w:rsidR="00000000" w:rsidRPr="00000000">
        <w:rPr>
          <w:rFonts w:ascii="Times New Roman" w:cs="Times New Roman" w:eastAsia="Times New Roman" w:hAnsi="Times New Roman"/>
          <w:i w:val="1"/>
          <w:iCs w:val="1"/>
          <w:sz w:val="26"/>
          <w:szCs w:val="26"/>
          <w:vertAlign w:val="subscript"/>
          <w:rtl w:val="0"/>
        </w:rPr>
        <w:t xml:space="preserve">i </w:t>
      </w:r>
      <w:r w:rsidDel="00000000" w:rsidR="00000000" w:rsidRPr="00000000">
        <w:rPr>
          <w:rFonts w:ascii="Times New Roman" w:cs="Times New Roman" w:eastAsia="Times New Roman" w:hAnsi="Times New Roman"/>
          <w:i w:val="1"/>
          <w:iCs w:val="1"/>
          <w:sz w:val="26"/>
          <w:szCs w:val="26"/>
          <w:rtl w:val="0"/>
        </w:rPr>
        <w:t xml:space="preserve"> + λ</w:t>
      </w:r>
      <w:r w:rsidDel="00000000" w:rsidR="00000000" w:rsidRPr="00000000">
        <w:rPr>
          <w:rFonts w:ascii="Times New Roman" w:cs="Times New Roman" w:eastAsia="Times New Roman" w:hAnsi="Times New Roman"/>
          <w:i w:val="1"/>
          <w:iCs w:val="1"/>
          <w:sz w:val="26"/>
          <w:szCs w:val="26"/>
          <w:vertAlign w:val="subscript"/>
          <w:rtl w:val="0"/>
        </w:rPr>
        <w:t xml:space="preserve">t</w:t>
      </w:r>
      <w:r w:rsidDel="00000000" w:rsidR="00000000" w:rsidRPr="00000000">
        <w:rPr>
          <w:rFonts w:ascii="Times New Roman" w:cs="Times New Roman" w:eastAsia="Times New Roman" w:hAnsi="Times New Roman"/>
          <w:i w:val="1"/>
          <w:iCs w:val="1"/>
          <w:sz w:val="26"/>
          <w:szCs w:val="26"/>
          <w:rtl w:val="0"/>
        </w:rPr>
        <w:t xml:space="preserve"> + ε</w:t>
      </w:r>
      <w:r w:rsidDel="00000000" w:rsidR="00000000" w:rsidRPr="00000000">
        <w:rPr>
          <w:rFonts w:ascii="Times New Roman" w:cs="Times New Roman" w:eastAsia="Times New Roman" w:hAnsi="Times New Roman"/>
          <w:i w:val="1"/>
          <w:iCs w:val="1"/>
          <w:sz w:val="26"/>
          <w:szCs w:val="26"/>
          <w:vertAlign w:val="subscript"/>
          <w:rtl w:val="0"/>
        </w:rPr>
        <w:t xml:space="preserve">it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where </w:t>
      </w:r>
      <m:oMath>
        <m:sSubSup>
          <m:sSubSupPr>
            <m:ctrlPr>
              <w:rPr>
                <w:rFonts w:ascii="Times New Roman" w:cs="Times New Roman" w:eastAsia="Times New Roman" w:hAnsi="Times New Roman"/>
                <w:i w:val="1"/>
                <w:iCs w:val="1"/>
                <w:sz w:val="26"/>
                <w:szCs w:val="26"/>
              </w:rPr>
            </m:ctrlPr>
          </m:sSubSupPr>
          <m:e>
            <m:r>
              <w:rPr>
                <w:rFonts w:ascii="Times New Roman" w:cs="Times New Roman" w:eastAsia="Times New Roman" w:hAnsi="Times New Roman"/>
                <w:i w:val="1"/>
                <w:iCs w:val="1"/>
                <w:sz w:val="26"/>
                <w:szCs w:val="26"/>
              </w:rPr>
              <m:t xml:space="preserve">D</m:t>
            </m:r>
          </m:e>
          <m:sub>
            <m:r>
              <w:rPr>
                <w:rFonts w:ascii="Times New Roman" w:cs="Times New Roman" w:eastAsia="Times New Roman" w:hAnsi="Times New Roman"/>
                <w:i w:val="1"/>
                <w:iCs w:val="1"/>
                <w:sz w:val="26"/>
                <w:szCs w:val="26"/>
              </w:rPr>
              <m:t xml:space="preserve">it</m:t>
            </m:r>
          </m:sub>
          <m:sup>
            <m:r>
              <w:rPr>
                <w:rFonts w:ascii="Times New Roman" w:cs="Times New Roman" w:eastAsia="Times New Roman" w:hAnsi="Times New Roman"/>
                <w:i w:val="1"/>
                <w:iCs w:val="1"/>
                <w:sz w:val="26"/>
                <w:szCs w:val="26"/>
              </w:rPr>
              <m:t xml:space="preserve">k</m:t>
            </m:r>
          </m:sup>
        </m:sSubSup>
      </m:oMath>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 an indicator for </w:t>
      </w:r>
      <w:r w:rsidDel="00000000" w:rsidR="00000000" w:rsidRPr="00000000">
        <w:rPr>
          <w:rFonts w:ascii="Times New Roman" w:cs="Times New Roman" w:eastAsia="Times New Roman" w:hAnsi="Times New Roman"/>
          <w:i w:val="1"/>
          <w:i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periods relative to first green bond issurance. Evidence of significant pre-treatment leads (</w:t>
      </w:r>
      <w:r w:rsidDel="00000000" w:rsidR="00000000" w:rsidRPr="00000000">
        <w:rPr>
          <w:rFonts w:ascii="Times New Roman" w:cs="Times New Roman" w:eastAsia="Times New Roman" w:hAnsi="Times New Roman"/>
          <w:i w:val="1"/>
          <w:iCs w:val="1"/>
          <w:sz w:val="26"/>
          <w:szCs w:val="26"/>
          <w:rtl w:val="0"/>
        </w:rPr>
        <w:t xml:space="preserve">k &lt; </w:t>
      </w:r>
      <w:r w:rsidDel="00000000" w:rsidR="00000000" w:rsidRPr="00000000">
        <w:rPr>
          <w:rFonts w:ascii="Times New Roman" w:cs="Times New Roman" w:eastAsia="Times New Roman" w:hAnsi="Times New Roman"/>
          <w:sz w:val="26"/>
          <w:szCs w:val="26"/>
          <w:rtl w:val="0"/>
        </w:rPr>
        <w:t xml:space="preserve">0) would indicate a violation of parallel trends. Both pooled and cohort-specific pre-trend tests are reported.</w:t>
      </w:r>
    </w:p>
    <w:p w:rsidR="00000000" w:rsidDel="00000000" w:rsidP="00000000" w:rsidRDefault="00000000" w:rsidRPr="00000000" w14:paraId="000001B1">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v9pdz0b6zg5x" w:id="38"/>
      <w:bookmarkEnd w:id="38"/>
      <w:r w:rsidDel="00000000" w:rsidR="00000000" w:rsidRPr="00000000">
        <w:rPr>
          <w:rFonts w:ascii="Times New Roman" w:cs="Times New Roman" w:eastAsia="Times New Roman" w:hAnsi="Times New Roman"/>
          <w:sz w:val="26"/>
          <w:szCs w:val="26"/>
          <w:rtl w:val="0"/>
        </w:rPr>
        <w:t xml:space="preserve">3.5.2. Robustness Checks</w:t>
      </w:r>
    </w:p>
    <w:p w:rsidR="00000000" w:rsidDel="00000000" w:rsidP="00000000" w:rsidRDefault="00000000" w:rsidRPr="00000000" w14:paraId="000001B2">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Three robustness procedures are conducted. First, specification sensitivity is assessed by estimating the treatment effect across all five DiD specifications. Second, a placebo test shifts the treatment date one year forward to verify that estimated effects are not driven by pre-existing trends. Third, leave-one-out cross-validation (100 folds) is used to assess the stability of the estimated treatment coefficients across subsamples.</w:t>
      </w:r>
    </w:p>
    <w:p w:rsidR="00000000" w:rsidDel="00000000" w:rsidP="00000000" w:rsidRDefault="00000000" w:rsidRPr="00000000" w14:paraId="000001B3">
      <w:pPr>
        <w:pStyle w:val="Heading2"/>
        <w:keepNext w:val="0"/>
        <w:keepLines w:val="0"/>
        <w:pBdr>
          <w:bottom w:color="auto" w:space="5" w:sz="0" w:val="none"/>
        </w:pBdr>
        <w:spacing w:after="240" w:line="300" w:lineRule="auto"/>
        <w:jc w:val="both"/>
        <w:rPr>
          <w:rFonts w:ascii="Times New Roman" w:cs="Times New Roman" w:eastAsia="Times New Roman" w:hAnsi="Times New Roman"/>
          <w:sz w:val="26"/>
          <w:szCs w:val="26"/>
        </w:rPr>
      </w:pPr>
      <w:bookmarkStart w:colFirst="0" w:colLast="0" w:name="_ksboty8kj7m4" w:id="39"/>
      <w:bookmarkEnd w:id="39"/>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keepNext w:val="0"/>
        <w:keepLines w:val="0"/>
        <w:pBdr>
          <w:bottom w:color="auto" w:space="5" w:sz="0" w:val="none"/>
        </w:pBdr>
        <w:spacing w:after="240" w:line="300" w:lineRule="auto"/>
        <w:jc w:val="center"/>
        <w:rPr>
          <w:rFonts w:ascii="Times New Roman" w:cs="Times New Roman" w:eastAsia="Times New Roman" w:hAnsi="Times New Roman"/>
          <w:sz w:val="26"/>
          <w:szCs w:val="26"/>
        </w:rPr>
      </w:pPr>
      <w:bookmarkStart w:colFirst="0" w:colLast="0" w:name="_v8gnl68vf3mr" w:id="40"/>
      <w:bookmarkEnd w:id="40"/>
      <w:r w:rsidDel="00000000" w:rsidR="00000000" w:rsidRPr="00000000">
        <w:rPr>
          <w:rFonts w:ascii="Times New Roman" w:cs="Times New Roman" w:eastAsia="Times New Roman" w:hAnsi="Times New Roman"/>
          <w:sz w:val="26"/>
          <w:szCs w:val="26"/>
          <w:rtl w:val="0"/>
        </w:rPr>
        <w:t xml:space="preserve">CHAPTER IV. RESEARCH RESULTS AND DISCUSSION</w:t>
      </w:r>
    </w:p>
    <w:p w:rsidR="00000000" w:rsidDel="00000000" w:rsidP="00000000" w:rsidRDefault="00000000" w:rsidRPr="00000000" w14:paraId="000001B5">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5rwgr5yet5tf" w:id="41"/>
      <w:bookmarkEnd w:id="41"/>
      <w:r w:rsidDel="00000000" w:rsidR="00000000" w:rsidRPr="00000000">
        <w:rPr>
          <w:rFonts w:ascii="Times New Roman" w:cs="Times New Roman" w:eastAsia="Times New Roman" w:hAnsi="Times New Roman"/>
          <w:sz w:val="26"/>
          <w:szCs w:val="26"/>
          <w:rtl w:val="0"/>
        </w:rPr>
        <w:t xml:space="preserve">4.1. Model Selection and Diagnostic Summary</w:t>
      </w:r>
    </w:p>
    <w:p w:rsidR="00000000" w:rsidDel="00000000" w:rsidP="00000000" w:rsidRDefault="00000000" w:rsidRPr="00000000" w14:paraId="000001B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Prior to estimating the main treatment effects, the panel data underwent rigorous diagnostic testing to ensure the validity of the econometric specifications. Summary statistics and group comparisons (see Section 3.4, Table 3.4) indicate significant pre-treatment differences between green bond issuers and non-issuers, particularly regarding firm size and ESG profile, justifying the use of Propensity Score Matching (PSM) and Two-Way Fixed Effects (TWFE).</w:t>
      </w:r>
    </w:p>
    <w:p w:rsidR="00000000" w:rsidDel="00000000" w:rsidP="00000000" w:rsidRDefault="00000000" w:rsidRPr="00000000" w14:paraId="000001B7">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diagnostics, including the Hausman test, Breusch-Pagan test for heteroscedasticity, Wooldridge test for autocorrelation, and Pesaran CD test for cross-sectional dependence, were conducted for all outcome variables. The results consistently reject the null hypotheses of homoscedasticity and independence, necessitating the use of entity-clustered standard errors across all specifications. Detailed diagnostic tables and the Pearson correlation matrix are provided in Appendix A.</w:t>
      </w:r>
    </w:p>
    <w:p w:rsidR="00000000" w:rsidDel="00000000" w:rsidP="00000000" w:rsidRDefault="00000000" w:rsidRPr="00000000" w14:paraId="000001B8">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equfpkh5w98w" w:id="42"/>
      <w:bookmarkEnd w:id="42"/>
      <w:r w:rsidDel="00000000" w:rsidR="00000000" w:rsidRPr="00000000">
        <w:rPr>
          <w:rFonts w:ascii="Times New Roman" w:cs="Times New Roman" w:eastAsia="Times New Roman" w:hAnsi="Times New Roman"/>
          <w:sz w:val="26"/>
          <w:szCs w:val="26"/>
          <w:rtl w:val="0"/>
        </w:rPr>
        <w:t xml:space="preserve">4.2. Propensity Score Matching Diagnostics</w:t>
      </w:r>
    </w:p>
    <w:p w:rsidR="00000000" w:rsidDel="00000000" w:rsidP="00000000" w:rsidRDefault="00000000" w:rsidRPr="00000000" w14:paraId="000001B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over the pre-treatment period yielded propensity scores for 16,831 firm-year observations. Nearest-neighbour matching within the specified caliper (0.05) produced 9 matched treated firms paired with 36 control firms (45 total matched observations), representing a match rate of 45% (9 out of 20 treated firms).</w:t>
      </w:r>
    </w:p>
    <w:p w:rsidR="00000000" w:rsidDel="00000000" w:rsidP="00000000" w:rsidRDefault="00000000" w:rsidRPr="00000000" w14:paraId="000001BA">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 </w:t>
      </w:r>
      <w:r w:rsidDel="00000000" w:rsidR="00000000" w:rsidRPr="00000000">
        <w:rPr>
          <w:rFonts w:ascii="Times New Roman" w:cs="Times New Roman" w:eastAsia="Times New Roman" w:hAnsi="Times New Roman"/>
          <w:b w:val="1"/>
          <w:bCs w:val="1"/>
          <w:i w:val="1"/>
          <w:iCs w:val="1"/>
          <w:sz w:val="26"/>
          <w:szCs w:val="26"/>
          <w:rtl w:val="0"/>
        </w:rPr>
        <w:t xml:space="preserve">PSM Diagnostics</w:t>
      </w:r>
    </w:p>
    <w:tbl>
      <w:tblPr>
        <w:tblStyle w:val="Table6"/>
        <w:tblW w:w="652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2085"/>
        <w:tblGridChange w:id="0">
          <w:tblGrid>
            <w:gridCol w:w="4440"/>
            <w:gridCol w:w="20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Metric</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Value</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Propensity Scores Estimated</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16,831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Caliper (2× Austin, floor 0.05)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Matched Treated Firms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 20 (45.0%)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Matched Control Firms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Matched Observations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 Standardized Difference (post-match)</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0.10 (Cohen's </w:t>
            </w:r>
            <w:r w:rsidDel="00000000" w:rsidR="00000000" w:rsidRPr="00000000">
              <w:rPr>
                <w:rFonts w:ascii="Times New Roman" w:cs="Times New Roman" w:eastAsia="Times New Roman" w:hAnsi="Times New Roman"/>
                <w:i w:val="1"/>
                <w:i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1C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Covariate balance criterion met: all standardized differences &lt; 0.10. Due to low match rate, DiD and GMM are estimated on the full panel (23,284 observations).</w:t>
      </w:r>
    </w:p>
    <w:p w:rsidR="00000000" w:rsidDel="00000000" w:rsidP="00000000" w:rsidRDefault="00000000" w:rsidRPr="00000000" w14:paraId="000001CA">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4dlcnjeoco71" w:id="43"/>
      <w:bookmarkEnd w:id="43"/>
      <w:r w:rsidDel="00000000" w:rsidR="00000000" w:rsidRPr="00000000">
        <w:rPr>
          <w:rFonts w:ascii="Times New Roman" w:cs="Times New Roman" w:eastAsia="Times New Roman" w:hAnsi="Times New Roman"/>
          <w:sz w:val="26"/>
          <w:szCs w:val="26"/>
          <w:rtl w:val="0"/>
        </w:rPr>
        <w:t xml:space="preserve">4.3. Parallel Trends Test</w:t>
      </w:r>
    </w:p>
    <w:p w:rsidR="00000000" w:rsidDel="00000000" w:rsidP="00000000" w:rsidRDefault="00000000" w:rsidRPr="00000000" w14:paraId="000001CB">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4.2 </w:t>
      </w:r>
      <w:r w:rsidDel="00000000" w:rsidR="00000000" w:rsidRPr="00000000">
        <w:rPr>
          <w:rFonts w:ascii="Times New Roman" w:cs="Times New Roman" w:eastAsia="Times New Roman" w:hAnsi="Times New Roman"/>
          <w:b w:val="1"/>
          <w:bCs w:val="1"/>
          <w:i w:val="1"/>
          <w:iCs w:val="1"/>
          <w:sz w:val="26"/>
          <w:szCs w:val="26"/>
          <w:rtl w:val="0"/>
        </w:rPr>
        <w:t xml:space="preserve">Pooled Parallel Trends Test</w:t>
      </w:r>
    </w:p>
    <w:tbl>
      <w:tblPr>
        <w:tblStyle w:val="Table7"/>
        <w:tblW w:w="78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0"/>
        <w:gridCol w:w="1575"/>
        <w:gridCol w:w="1185"/>
        <w:tblGridChange w:id="0">
          <w:tblGrid>
            <w:gridCol w:w="5070"/>
            <w:gridCol w:w="1575"/>
            <w:gridCol w:w="11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Coefficient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-value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treatment_lead_1 (pre-treatment, </w:t>
            </w:r>
            <w:r w:rsidDel="00000000" w:rsidR="00000000" w:rsidRPr="00000000">
              <w:rPr>
                <w:rFonts w:ascii="Times New Roman" w:cs="Times New Roman" w:eastAsia="Times New Roman" w:hAnsi="Times New Roman"/>
                <w:i w:val="1"/>
                <w:iCs w:val="1"/>
                <w:sz w:val="26"/>
                <w:szCs w:val="26"/>
                <w:rtl w:val="0"/>
              </w:rPr>
              <w:t xml:space="preserve">k</w:t>
            </w:r>
            <w:r w:rsidDel="00000000" w:rsidR="00000000" w:rsidRPr="00000000">
              <w:rPr>
                <w:rFonts w:ascii="Gungsuh" w:cs="Gungsuh" w:eastAsia="Gungsuh" w:hAnsi="Gungsuh"/>
                <w:sz w:val="26"/>
                <w:szCs w:val="26"/>
                <w:rtl w:val="0"/>
              </w:rPr>
              <w:t xml:space="preserve"> =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0.1089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.009***</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green_bond_active (contemporaneous)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0.0272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.407</w:t>
            </w:r>
          </w:p>
        </w:tc>
      </w:tr>
      <w:tr>
        <w:trPr>
          <w:cantSplit w:val="0"/>
          <w:trHeight w:val="45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treatment_lag_1 (post-treatment, </w:t>
            </w:r>
            <w:r w:rsidDel="00000000" w:rsidR="00000000" w:rsidRPr="00000000">
              <w:rPr>
                <w:rFonts w:ascii="Times New Roman" w:cs="Times New Roman" w:eastAsia="Times New Roman" w:hAnsi="Times New Roman"/>
                <w:i w:val="1"/>
                <w:iCs w:val="1"/>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0.3750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w:t>
            </w:r>
          </w:p>
        </w:tc>
      </w:tr>
    </w:tbl>
    <w:p w:rsidR="00000000" w:rsidDel="00000000" w:rsidP="00000000" w:rsidRDefault="00000000" w:rsidRPr="00000000" w14:paraId="000001D8">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.01. Standard errors clustered at entity level.</w:t>
      </w:r>
    </w:p>
    <w:p w:rsidR="00000000" w:rsidDel="00000000" w:rsidP="00000000" w:rsidRDefault="00000000" w:rsidRPr="00000000" w14:paraId="000001D9">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pooled pre-treatment lead is statistically significant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.009), raising a potential concern about the parallel trends assumption. However, cohort-specific event studies (Section 4.4.1) reveal that this violation is not universal across cohorts: zero of four cohorts violate pre-trends for ROA, and only the 2024 cohort violates for ESG Score. The pooled significance reflects composition effects across staggered treatment cohorts rather than a systematic failure of the identification assumption.</w:t>
      </w:r>
    </w:p>
    <w:p w:rsidR="00000000" w:rsidDel="00000000" w:rsidP="00000000" w:rsidRDefault="00000000" w:rsidRPr="00000000" w14:paraId="000001DA">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n2z8sjpkgu2i" w:id="44"/>
      <w:bookmarkEnd w:id="44"/>
      <w:r w:rsidDel="00000000" w:rsidR="00000000" w:rsidRPr="00000000">
        <w:rPr>
          <w:rFonts w:ascii="Times New Roman" w:cs="Times New Roman" w:eastAsia="Times New Roman" w:hAnsi="Times New Roman"/>
          <w:sz w:val="26"/>
          <w:szCs w:val="26"/>
          <w:rtl w:val="0"/>
        </w:rPr>
        <w:t xml:space="preserve">4.4. Robustness Check Results</w:t>
      </w:r>
    </w:p>
    <w:p w:rsidR="00000000" w:rsidDel="00000000" w:rsidP="00000000" w:rsidRDefault="00000000" w:rsidRPr="00000000" w14:paraId="000001DB">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4.3 </w:t>
      </w:r>
      <w:r w:rsidDel="00000000" w:rsidR="00000000" w:rsidRPr="00000000">
        <w:rPr>
          <w:rFonts w:ascii="Times New Roman" w:cs="Times New Roman" w:eastAsia="Times New Roman" w:hAnsi="Times New Roman"/>
          <w:b w:val="1"/>
          <w:bCs w:val="1"/>
          <w:i w:val="1"/>
          <w:iCs w:val="1"/>
          <w:sz w:val="26"/>
          <w:szCs w:val="26"/>
          <w:rtl w:val="0"/>
        </w:rPr>
        <w:t xml:space="preserve">Robustness Check Summary</w:t>
      </w:r>
    </w:p>
    <w:tbl>
      <w:tblPr>
        <w:tblStyle w:val="Table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965"/>
        <w:tblGridChange w:id="0">
          <w:tblGrid>
            <w:gridCol w:w="4170"/>
            <w:gridCol w:w="496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w:t>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Specification sensitivity (5 specifications)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ROA coefficients null across specifications. Robust.</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Placebo test (treatment date shifted +1 year)</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β = 0.008,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Arial Unicode MS" w:cs="Arial Unicode MS" w:eastAsia="Arial Unicode MS" w:hAnsi="Arial Unicode MS"/>
                <w:sz w:val="26"/>
                <w:szCs w:val="26"/>
                <w:rtl w:val="0"/>
              </w:rPr>
              <w:t xml:space="preserve"> = .669. No spurious effect detected. ✓</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Leave-one-out cross-validation (100 folds)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spacing w:after="16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Treatment coefficient stable across subsamples. ✓</w:t>
            </w:r>
          </w:p>
        </w:tc>
      </w:tr>
    </w:tbl>
    <w:p w:rsidR="00000000" w:rsidDel="00000000" w:rsidP="00000000" w:rsidRDefault="00000000" w:rsidRPr="00000000" w14:paraId="000001E4">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mj4ezlfiw4pl" w:id="45"/>
      <w:bookmarkEnd w:id="45"/>
      <w:r w:rsidDel="00000000" w:rsidR="00000000" w:rsidRPr="00000000">
        <w:rPr>
          <w:rFonts w:ascii="Times New Roman" w:cs="Times New Roman" w:eastAsia="Times New Roman" w:hAnsi="Times New Roman"/>
          <w:sz w:val="26"/>
          <w:szCs w:val="26"/>
          <w:rtl w:val="0"/>
        </w:rPr>
        <w:t xml:space="preserve">4.5. Empirical Results</w:t>
      </w:r>
    </w:p>
    <w:p w:rsidR="00000000" w:rsidDel="00000000" w:rsidP="00000000" w:rsidRDefault="00000000" w:rsidRPr="00000000" w14:paraId="000001E5">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n3cv5uv96a9k" w:id="46"/>
      <w:bookmarkEnd w:id="46"/>
      <w:r w:rsidDel="00000000" w:rsidR="00000000" w:rsidRPr="00000000">
        <w:rPr>
          <w:rFonts w:ascii="Times New Roman" w:cs="Times New Roman" w:eastAsia="Times New Roman" w:hAnsi="Times New Roman"/>
          <w:sz w:val="26"/>
          <w:szCs w:val="26"/>
          <w:rtl w:val="0"/>
        </w:rPr>
        <w:t xml:space="preserve">4.5.1. Baseline and Dynamic Estimates (All Outcomes)</w:t>
      </w:r>
    </w:p>
    <w:p w:rsidR="00000000" w:rsidDel="00000000" w:rsidP="00000000" w:rsidRDefault="00000000" w:rsidRPr="00000000" w14:paraId="000001E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identify the impact of green bond issuance, we first estimate the treatment effect across all primary outcomes using five Difference-in-Differences (DiD) specifications (Table 4.4) and robust System GMM (Table 4.5). This multi-method approach allows for the comparison of static associations against models that account for firm-level heterogeneity, time-varying shocks, and dynamic endogeneity.</w:t>
      </w:r>
    </w:p>
    <w:p w:rsidR="00000000" w:rsidDel="00000000" w:rsidP="00000000" w:rsidRDefault="00000000" w:rsidRPr="00000000" w14:paraId="000001E7">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4.4 </w:t>
      </w:r>
      <w:r w:rsidDel="00000000" w:rsidR="00000000" w:rsidRPr="00000000">
        <w:rPr>
          <w:rFonts w:ascii="Times New Roman" w:cs="Times New Roman" w:eastAsia="Times New Roman" w:hAnsi="Times New Roman"/>
          <w:b w:val="1"/>
          <w:bCs w:val="1"/>
          <w:i w:val="1"/>
          <w:iCs w:val="1"/>
          <w:sz w:val="26"/>
          <w:szCs w:val="26"/>
          <w:rtl w:val="0"/>
        </w:rPr>
        <w:t xml:space="preserve">DiD Estimates by Outcome and Specification</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75"/>
        <w:gridCol w:w="1395"/>
        <w:gridCol w:w="1515"/>
        <w:gridCol w:w="1620"/>
        <w:gridCol w:w="1425"/>
        <w:tblGridChange w:id="0">
          <w:tblGrid>
            <w:gridCol w:w="1590"/>
            <w:gridCol w:w="1575"/>
            <w:gridCol w:w="1395"/>
            <w:gridCol w:w="1515"/>
            <w:gridCol w:w="1620"/>
            <w:gridCol w:w="1425"/>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Entity FE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Time FE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TWFE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Entity FE + Trend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 FE</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E">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−0.016 (.297)</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0.032 (.038)*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−0.006 (.756)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2">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−0.000 (.990)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0.029 (.060)†</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4">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0.341 (.339)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6">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−0.367 (.118)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0.494 (.207)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0.250 (.180)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−0.417 (.079)†</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0.072 (.185)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0.187 (&lt; .001)***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0.037 (.604)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0.020 (.520)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0.195 (&lt; .001)***</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ln(Emissions)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−0.039 (.784)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1.563 (.002)**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3">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−0.057 (.734)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−0.064 (.510)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1.550 (.002)**</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Cost of Debt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(Absorbed)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−0.084 (&lt; .001)***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(Absorbed)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(Absorbed)</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−0.060 (&lt; .001)***</w:t>
            </w:r>
          </w:p>
        </w:tc>
      </w:tr>
    </w:tbl>
    <w:p w:rsidR="00000000" w:rsidDel="00000000" w:rsidP="00000000" w:rsidRDefault="00000000" w:rsidRPr="00000000" w14:paraId="0000020C">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Cell entries are coefficient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-value). TWFE column is the preferred specification using expanded theory-driven controls. Standard errors clustered at the entity level. "Absorbed" indicates treatment collinearity with fixed effects (specifically for Cost of Debt, with </w:t>
      </w:r>
      <w:r w:rsidDel="00000000" w:rsidR="00000000" w:rsidRPr="00000000">
        <w:rPr>
          <w:rFonts w:ascii="Times New Roman" w:cs="Times New Roman" w:eastAsia="Times New Roman" w:hAnsi="Times New Roman"/>
          <w:i w:val="1"/>
          <w:iCs w:val="1"/>
          <w:sz w:val="26"/>
          <w:szCs w:val="26"/>
          <w:rtl w:val="0"/>
        </w:rPr>
        <w:t xml:space="preserve">n</w:t>
      </w:r>
      <w:r w:rsidDel="00000000" w:rsidR="00000000" w:rsidRPr="00000000">
        <w:rPr>
          <w:rFonts w:ascii="Times New Roman" w:cs="Times New Roman" w:eastAsia="Times New Roman" w:hAnsi="Times New Roman"/>
          <w:sz w:val="26"/>
          <w:szCs w:val="26"/>
          <w:rtl w:val="0"/>
        </w:rPr>
        <w:t xml:space="preserve"> = 1 treated entity). Results for Cost of Debt omit controls due to data sparsity.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.10,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.05,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.01,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.001.</w:t>
      </w:r>
    </w:p>
    <w:p w:rsidR="00000000" w:rsidDel="00000000" w:rsidP="00000000" w:rsidRDefault="00000000" w:rsidRPr="00000000" w14:paraId="0000020D">
      <w:pPr>
        <w:spacing w:after="24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Significant effects under time-only fixed effects or pooled OLS (no FE) disappear upon inclusion of entity fixed effects, indicating that raw associations are driven by selection on time-invariant firm characteristics rather than causal treatment effects. For Implied Cost of Debt, while significant reductions are observed in cross-sectional specifications (β = −0.084,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.001), the absorption of the treatment indicator in TWFE models (due to a single-unit treated sample) prevents a definitive causal conclusion for this outcome.</w:t>
      </w:r>
    </w:p>
    <w:p w:rsidR="00000000" w:rsidDel="00000000" w:rsidP="00000000" w:rsidRDefault="00000000" w:rsidRPr="00000000" w14:paraId="0000020E">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4.5 </w:t>
      </w:r>
      <w:r w:rsidDel="00000000" w:rsidR="00000000" w:rsidRPr="00000000">
        <w:rPr>
          <w:rFonts w:ascii="Times New Roman" w:cs="Times New Roman" w:eastAsia="Times New Roman" w:hAnsi="Times New Roman"/>
          <w:b w:val="1"/>
          <w:bCs w:val="1"/>
          <w:i w:val="1"/>
          <w:iCs w:val="1"/>
          <w:sz w:val="26"/>
          <w:szCs w:val="26"/>
          <w:rtl w:val="0"/>
        </w:rPr>
        <w:t xml:space="preserve">System GMM Estimates — Treatment Effect of Green Bond Issuance</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50"/>
        <w:gridCol w:w="1305"/>
        <w:gridCol w:w="1080"/>
        <w:gridCol w:w="1575"/>
        <w:gridCol w:w="945"/>
        <w:tblGridChange w:id="0">
          <w:tblGrid>
            <w:gridCol w:w="2475"/>
            <w:gridCol w:w="1650"/>
            <w:gridCol w:w="1305"/>
            <w:gridCol w:w="1080"/>
            <w:gridCol w:w="1575"/>
            <w:gridCol w:w="94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Coefficient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 Error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Significance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N-obs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5">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−0.0019</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0.0086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8,619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B">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0.1714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8,029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0.0041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0.0164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1,843</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ln(Emissions Intensity)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(Inconclusive)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B">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6,371</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Implied Cost of Debt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(Inconclusive)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1">
            <w:pPr>
              <w:spacing w:after="16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w:t>
            </w:r>
          </w:p>
        </w:tc>
      </w:tr>
    </w:tbl>
    <w:p w:rsidR="00000000" w:rsidDel="00000000" w:rsidP="00000000" w:rsidRDefault="00000000" w:rsidRPr="00000000" w14:paraId="0000023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System GMM updated with robust rank-checking and expanded controls. Results are directionally consistent with TWFE but emphasize the non-significance of effects after correcting for dynamic endogeneity. Inconclusive outcomes reflect cases where data sparsity or perfect multicollinearity prevented valid instrument selection.</w:t>
      </w:r>
    </w:p>
    <w:p w:rsidR="00000000" w:rsidDel="00000000" w:rsidP="00000000" w:rsidRDefault="00000000" w:rsidRPr="00000000" w14:paraId="00000234">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4.6 </w:t>
      </w:r>
      <w:r w:rsidDel="00000000" w:rsidR="00000000" w:rsidRPr="00000000">
        <w:rPr>
          <w:rFonts w:ascii="Times New Roman" w:cs="Times New Roman" w:eastAsia="Times New Roman" w:hAnsi="Times New Roman"/>
          <w:b w:val="1"/>
          <w:bCs w:val="1"/>
          <w:i w:val="1"/>
          <w:iCs w:val="1"/>
          <w:sz w:val="26"/>
          <w:szCs w:val="26"/>
          <w:rtl w:val="0"/>
        </w:rPr>
        <w:t xml:space="preserve">Cross-Method Comparison: DiD (TWFE) vs. System GMM</w:t>
      </w:r>
    </w:p>
    <w:tbl>
      <w:tblPr>
        <w:tblStyle w:val="Table1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560"/>
        <w:gridCol w:w="1665"/>
        <w:gridCol w:w="3030"/>
        <w:tblGridChange w:id="0">
          <w:tblGrid>
            <w:gridCol w:w="2475"/>
            <w:gridCol w:w="1560"/>
            <w:gridCol w:w="1665"/>
            <w:gridCol w:w="303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DiD — TWFE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GMM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Directional Consistency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−0.006</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−0.002</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Both negative (near-zero)</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D">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0.494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0">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Both positive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1">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4">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Both positive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5">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ln(Emissions Intensity)</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6">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−0.057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(Inconclusive)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9">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Implied Cost of Debt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A">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−0.084ª</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(Inconclusive)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24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Direction is consistent for three of four outcomes. Magnitude divergence for ln(Emissions Intensity) reflects GMM's additional correction for dynamic endogeneity. ª Result from Time FE specification (TWFE absorbed).</w:t>
      </w:r>
    </w:p>
    <w:p w:rsidR="00000000" w:rsidDel="00000000" w:rsidP="00000000" w:rsidRDefault="00000000" w:rsidRPr="00000000" w14:paraId="0000024E">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y82pejkhb9y4" w:id="47"/>
      <w:bookmarkEnd w:id="47"/>
      <w:r w:rsidDel="00000000" w:rsidR="00000000" w:rsidRPr="00000000">
        <w:rPr>
          <w:rFonts w:ascii="Times New Roman" w:cs="Times New Roman" w:eastAsia="Times New Roman" w:hAnsi="Times New Roman"/>
          <w:sz w:val="26"/>
          <w:szCs w:val="26"/>
          <w:rtl w:val="0"/>
        </w:rPr>
        <w:t xml:space="preserve">4.5.2. Environmental Performance (Deep Dive)</w:t>
      </w:r>
    </w:p>
    <w:p w:rsidR="00000000" w:rsidDel="00000000" w:rsidP="00000000" w:rsidRDefault="00000000" w:rsidRPr="00000000" w14:paraId="0000024F">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Cohort-Specific Event Study: ESG Score</w:t>
      </w:r>
    </w:p>
    <w:p w:rsidR="00000000" w:rsidDel="00000000" w:rsidP="00000000" w:rsidRDefault="00000000" w:rsidRPr="00000000" w14:paraId="00000250">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4.7 </w:t>
      </w:r>
      <w:r w:rsidDel="00000000" w:rsidR="00000000" w:rsidRPr="00000000">
        <w:rPr>
          <w:rFonts w:ascii="Times New Roman" w:cs="Times New Roman" w:eastAsia="Times New Roman" w:hAnsi="Times New Roman"/>
          <w:b w:val="1"/>
          <w:bCs w:val="1"/>
          <w:i w:val="1"/>
          <w:iCs w:val="1"/>
          <w:sz w:val="26"/>
          <w:szCs w:val="26"/>
          <w:rtl w:val="0"/>
        </w:rPr>
        <w:t xml:space="preserve">Cohort-Specific ATT Estimates — ESG Score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425"/>
        <w:gridCol w:w="1020"/>
        <w:gridCol w:w="1335"/>
        <w:gridCol w:w="1740"/>
        <w:gridCol w:w="1875"/>
        <w:tblGridChange w:id="0">
          <w:tblGrid>
            <w:gridCol w:w="1965"/>
            <w:gridCol w:w="1425"/>
            <w:gridCol w:w="1020"/>
            <w:gridCol w:w="1335"/>
            <w:gridCol w:w="1740"/>
            <w:gridCol w:w="1875"/>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Cohort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w:t>
            </w:r>
            <w:r w:rsidDel="00000000" w:rsidR="00000000" w:rsidRPr="00000000">
              <w:rPr>
                <w:rFonts w:ascii="Times New Roman" w:cs="Times New Roman" w:eastAsia="Times New Roman" w:hAnsi="Times New Roman"/>
                <w:b w:val="1"/>
                <w:bCs w:val="1"/>
                <w:sz w:val="26"/>
                <w:szCs w:val="26"/>
                <w:rtl w:val="0"/>
              </w:rPr>
              <w:t xml:space="preserve"> Treated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β</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w:t>
            </w: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Valid?</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 .001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Violation</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Aggregated ATT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0.059</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.292</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violations</w:t>
            </w:r>
          </w:p>
        </w:tc>
      </w:tr>
    </w:tbl>
    <w:p w:rsidR="00000000" w:rsidDel="00000000" w:rsidP="00000000" w:rsidRDefault="00000000" w:rsidRPr="00000000" w14:paraId="0000027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Cohort-specific estimator following Callaway and Sant'Anna (2021). Never-treated firms serve as the control group.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.10,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.05. Pre-trend violation for the 2024 cohort likely reflects anticipatory ESG improvements before formal green bond issuance.</w:t>
      </w:r>
    </w:p>
    <w:p w:rsidR="00000000" w:rsidDel="00000000" w:rsidP="00000000" w:rsidRDefault="00000000" w:rsidRPr="00000000" w14:paraId="0000027C">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Cohort-Specific Event Study: ln(Emissions Intensity)</w:t>
      </w:r>
    </w:p>
    <w:p w:rsidR="00000000" w:rsidDel="00000000" w:rsidP="00000000" w:rsidRDefault="00000000" w:rsidRPr="00000000" w14:paraId="0000027D">
      <w:pPr>
        <w:spacing w:after="24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GMM results (Table 4.5) indicate an inconclusive result for emissions intensity due to instrument sparsity, although point estimates in DiD models (Table 4.4) suggest a negative direction (β = −0.057,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.734). While the point estimate remains negative across specifications (Table 4.6), its statistical significance is sensitive to the inclusion of firm-level characteristics such as asset tangibility and prior issuance history, suggesting that previously observed "green effects" may have been partially confounded by unobserved firm-level quality.</w:t>
      </w:r>
    </w:p>
    <w:p w:rsidR="00000000" w:rsidDel="00000000" w:rsidP="00000000" w:rsidRDefault="00000000" w:rsidRPr="00000000" w14:paraId="0000027E">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wam4trq4w961" w:id="48"/>
      <w:bookmarkEnd w:id="48"/>
      <w:r w:rsidDel="00000000" w:rsidR="00000000" w:rsidRPr="00000000">
        <w:rPr>
          <w:rFonts w:ascii="Times New Roman" w:cs="Times New Roman" w:eastAsia="Times New Roman" w:hAnsi="Times New Roman"/>
          <w:sz w:val="26"/>
          <w:szCs w:val="26"/>
          <w:rtl w:val="0"/>
        </w:rPr>
        <w:t xml:space="preserve">4.5.3. Financial Performance (Deep Dive)</w:t>
      </w:r>
    </w:p>
    <w:p w:rsidR="00000000" w:rsidDel="00000000" w:rsidP="00000000" w:rsidRDefault="00000000" w:rsidRPr="00000000" w14:paraId="0000027F">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Cohort-Specific Event Study: ROA</w:t>
      </w:r>
    </w:p>
    <w:p w:rsidR="00000000" w:rsidDel="00000000" w:rsidP="00000000" w:rsidRDefault="00000000" w:rsidRPr="00000000" w14:paraId="00000280">
      <w:pPr>
        <w:spacing w:after="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4.8</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Cohort-Specific ATT Estimates — Return on Assets (ROA)</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380"/>
        <w:gridCol w:w="1095"/>
        <w:gridCol w:w="1155"/>
        <w:gridCol w:w="1755"/>
        <w:gridCol w:w="1860"/>
        <w:tblGridChange w:id="0">
          <w:tblGrid>
            <w:gridCol w:w="2100"/>
            <w:gridCol w:w="1380"/>
            <w:gridCol w:w="1095"/>
            <w:gridCol w:w="1155"/>
            <w:gridCol w:w="1755"/>
            <w:gridCol w:w="1860"/>
          </w:tblGrid>
        </w:tblGridChange>
      </w:tblGrid>
      <w:tr>
        <w:trPr>
          <w:cantSplit w:val="0"/>
          <w:trHeight w:val="66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Cohort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w:t>
            </w:r>
            <w:r w:rsidDel="00000000" w:rsidR="00000000" w:rsidRPr="00000000">
              <w:rPr>
                <w:rFonts w:ascii="Times New Roman" w:cs="Times New Roman" w:eastAsia="Times New Roman" w:hAnsi="Times New Roman"/>
                <w:b w:val="1"/>
                <w:bCs w:val="1"/>
                <w:sz w:val="26"/>
                <w:szCs w:val="26"/>
                <w:rtl w:val="0"/>
              </w:rPr>
              <w:t xml:space="preserve"> Treated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β</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w:t>
            </w:r>
            <w:r w:rsidDel="00000000" w:rsidR="00000000" w:rsidRPr="00000000">
              <w:rPr>
                <w:rFonts w:ascii="Times New Roman" w:cs="Times New Roman" w:eastAsia="Times New Roman" w:hAnsi="Times New Roman"/>
                <w:b w:val="1"/>
                <w:bCs w:val="1"/>
                <w:i w:val="1"/>
                <w:iCs w:val="1"/>
                <w:sz w:val="26"/>
                <w:szCs w:val="26"/>
                <w:rtl w:val="0"/>
              </w:rPr>
              <w:t xml:space="preserve">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Pre-trend Valid?</w:t>
            </w:r>
            <w:r w:rsidDel="00000000" w:rsidR="00000000" w:rsidRPr="00000000">
              <w:rPr>
                <w:rtl w:val="0"/>
              </w:rPr>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F">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−0.033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pre-treatment data</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5">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−0.006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8">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E">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1">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−0.024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2">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4">
            <w:pPr>
              <w:spacing w:after="1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6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Aggregated ATT</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7">
            <w:pPr>
              <w:spacing w:after="16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b w:val="1"/>
                <w:bCs w:val="1"/>
                <w:sz w:val="26"/>
                <w:szCs w:val="26"/>
                <w:rtl w:val="0"/>
              </w:rPr>
              <w:t xml:space="preserve">−0.014</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.315</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 violations</w:t>
            </w:r>
          </w:p>
        </w:tc>
      </w:tr>
    </w:tbl>
    <w:p w:rsidR="00000000" w:rsidDel="00000000" w:rsidP="00000000" w:rsidRDefault="00000000" w:rsidRPr="00000000" w14:paraId="000002A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Callaway and Sant'Anna (2021) estimator. Aggregated ATT is null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.315) with no cohort pre-trend violations for cohorts with sufficient pre-treatment data.</w:t>
      </w:r>
    </w:p>
    <w:p w:rsidR="00000000" w:rsidDel="00000000" w:rsidP="00000000" w:rsidRDefault="00000000" w:rsidRPr="00000000" w14:paraId="000002AC">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xstaf62btblx" w:id="49"/>
      <w:bookmarkEnd w:id="49"/>
      <w:r w:rsidDel="00000000" w:rsidR="00000000" w:rsidRPr="00000000">
        <w:rPr>
          <w:rFonts w:ascii="Times New Roman" w:cs="Times New Roman" w:eastAsia="Times New Roman" w:hAnsi="Times New Roman"/>
          <w:sz w:val="26"/>
          <w:szCs w:val="26"/>
          <w:rtl w:val="0"/>
        </w:rPr>
        <w:t xml:space="preserve">4.5.4. Heterogeneous Effects by Firm Size</w:t>
      </w:r>
    </w:p>
    <w:p w:rsidR="00000000" w:rsidDel="00000000" w:rsidP="00000000" w:rsidRDefault="00000000" w:rsidRPr="00000000" w14:paraId="000002AD">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4.9 </w:t>
      </w:r>
      <w:r w:rsidDel="00000000" w:rsidR="00000000" w:rsidRPr="00000000">
        <w:rPr>
          <w:rFonts w:ascii="Times New Roman" w:cs="Times New Roman" w:eastAsia="Times New Roman" w:hAnsi="Times New Roman"/>
          <w:b w:val="1"/>
          <w:bCs w:val="1"/>
          <w:i w:val="1"/>
          <w:iCs w:val="1"/>
          <w:sz w:val="26"/>
          <w:szCs w:val="26"/>
          <w:rtl w:val="0"/>
        </w:rPr>
        <w:t xml:space="preserve">Treatment Effect Heterogeneity by Firm Size</w:t>
      </w:r>
    </w:p>
    <w:tbl>
      <w:tblPr>
        <w:tblStyle w:val="Table14"/>
        <w:tblW w:w="6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445"/>
        <w:gridCol w:w="2535"/>
        <w:tblGridChange w:id="0">
          <w:tblGrid>
            <w:gridCol w:w="1785"/>
            <w:gridCol w:w="2445"/>
            <w:gridCol w:w="253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Outcome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Small Firms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Large Firms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1">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2">
            <w:pPr>
              <w:spacing w:after="16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β = −0.005, </w:t>
            </w:r>
          </w:p>
          <w:p w:rsidR="00000000" w:rsidDel="00000000" w:rsidP="00000000" w:rsidRDefault="00000000" w:rsidRPr="00000000" w14:paraId="000002B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.638</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4">
            <w:pPr>
              <w:spacing w:after="16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β = −0.025, </w:t>
            </w:r>
          </w:p>
          <w:p w:rsidR="00000000" w:rsidDel="00000000" w:rsidP="00000000" w:rsidRDefault="00000000" w:rsidRPr="00000000" w14:paraId="000002B5">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.001***</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6">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Tobin's Q</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7">
            <w:pPr>
              <w:spacing w:after="160" w:lineRule="auto"/>
              <w:jc w:val="cente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β = −0.041, </w:t>
            </w:r>
          </w:p>
          <w:p w:rsidR="00000000" w:rsidDel="00000000" w:rsidP="00000000" w:rsidRDefault="00000000" w:rsidRPr="00000000" w14:paraId="000002B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β = 0.385, </w:t>
            </w:r>
          </w:p>
          <w:p w:rsidR="00000000" w:rsidDel="00000000" w:rsidP="00000000" w:rsidRDefault="00000000" w:rsidRPr="00000000" w14:paraId="000002B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.611</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B">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Score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β = 0.031, </w:t>
            </w:r>
          </w:p>
          <w:p w:rsidR="00000000" w:rsidDel="00000000" w:rsidP="00000000" w:rsidRDefault="00000000" w:rsidRPr="00000000" w14:paraId="000002B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 .013*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β = 0.274, </w:t>
            </w:r>
          </w:p>
          <w:p w:rsidR="00000000" w:rsidDel="00000000" w:rsidP="00000000" w:rsidRDefault="00000000" w:rsidRPr="00000000" w14:paraId="000002B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.001***</w:t>
            </w:r>
          </w:p>
        </w:tc>
      </w:tr>
    </w:tbl>
    <w:p w:rsidR="00000000" w:rsidDel="00000000" w:rsidP="00000000" w:rsidRDefault="00000000" w:rsidRPr="00000000" w14:paraId="000002C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Firm size dichotomized at median log total assets.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.05,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.01, *** </w:t>
      </w:r>
      <w:r w:rsidDel="00000000" w:rsidR="00000000" w:rsidRPr="00000000">
        <w:rPr>
          <w:rFonts w:ascii="Times New Roman" w:cs="Times New Roman" w:eastAsia="Times New Roman" w:hAnsi="Times New Roman"/>
          <w:i w:val="1"/>
          <w:iCs w:val="1"/>
          <w:sz w:val="26"/>
          <w:szCs w:val="26"/>
          <w:rtl w:val="0"/>
        </w:rPr>
        <w:t xml:space="preserve">p</w:t>
      </w:r>
      <w:r w:rsidDel="00000000" w:rsidR="00000000" w:rsidRPr="00000000">
        <w:rPr>
          <w:rFonts w:ascii="Times New Roman" w:cs="Times New Roman" w:eastAsia="Times New Roman" w:hAnsi="Times New Roman"/>
          <w:sz w:val="26"/>
          <w:szCs w:val="26"/>
          <w:rtl w:val="0"/>
        </w:rPr>
        <w:t xml:space="preserve"> &lt; .001.</w:t>
      </w:r>
    </w:p>
    <w:p w:rsidR="00000000" w:rsidDel="00000000" w:rsidP="00000000" w:rsidRDefault="00000000" w:rsidRPr="00000000" w14:paraId="000002C1">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 firms exhibit ESG score improvements approximately nine times larger than small firms (β = 0.274 vs. β = 0.031), but simultaneously incur a significant ROA decline of 2.5 percentage points. This pattern is a direct empirical prediction of Stakeholder Theory: larger ASEAN firms face greater scrutiny from regulators, institutional investors, and community stakeholders, compelling deeper investment in ESG disclosure and compliance. These investments generate reputational capital and strengthen stakeholder relationships - the long-run benefits anticipated by the theory — but impose measurable short-run profitability costs.</w:t>
      </w:r>
    </w:p>
    <w:p w:rsidR="00000000" w:rsidDel="00000000" w:rsidP="00000000" w:rsidRDefault="00000000" w:rsidRPr="00000000" w14:paraId="000002C2">
      <w:pPr>
        <w:spacing w:after="24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The Tobin's Q heterogeneity further illuminates the dynamics of market signaling. Small firms exhibit a marginally significant negative market reaction (β = −0.041, p = .005), potentially reflecting investor skepticism about the capacity of smaller ASEAN issuers to execute credible green strategies without the organizational infrastructure of larger peers. Large firms show a positive but non-significant Q response (β = 0.385, p = .611), consistent with the interpretation that market valuation benefits are associated with the characteristics of large issuers rather than with the issuance event itself.</w:t>
      </w:r>
    </w:p>
    <w:p w:rsidR="00000000" w:rsidDel="00000000" w:rsidP="00000000" w:rsidRDefault="00000000" w:rsidRPr="00000000" w14:paraId="000002C3">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size-differentiated patterns suggest that the preconditions for green bonds to generate both financial and environmental value - identified in the RBV framework as rare, inimitable organizational capabilities (Barney, 1991; Hart, 1995) - are unevenly distributed across the ASEAN corporate landscape. For large firms, the infrastructure is present but the short-run costs are real. For small firms, the signal may lack credibility without the organizational foundation to support it.</w:t>
      </w:r>
    </w:p>
    <w:p w:rsidR="00000000" w:rsidDel="00000000" w:rsidP="00000000" w:rsidRDefault="00000000" w:rsidRPr="00000000" w14:paraId="000002C4">
      <w:pPr>
        <w:pStyle w:val="Heading3"/>
        <w:keepNext w:val="0"/>
        <w:keepLines w:val="0"/>
        <w:spacing w:after="240" w:before="360" w:line="300" w:lineRule="auto"/>
        <w:jc w:val="both"/>
        <w:rPr>
          <w:rFonts w:ascii="Times New Roman" w:cs="Times New Roman" w:eastAsia="Times New Roman" w:hAnsi="Times New Roman"/>
          <w:sz w:val="26"/>
          <w:szCs w:val="26"/>
        </w:rPr>
      </w:pPr>
      <w:bookmarkStart w:colFirst="0" w:colLast="0" w:name="_ju0p9rm19h7f" w:id="50"/>
      <w:bookmarkEnd w:id="50"/>
      <w:r w:rsidDel="00000000" w:rsidR="00000000" w:rsidRPr="00000000">
        <w:rPr>
          <w:rFonts w:ascii="Times New Roman" w:cs="Times New Roman" w:eastAsia="Times New Roman" w:hAnsi="Times New Roman"/>
          <w:sz w:val="26"/>
          <w:szCs w:val="26"/>
          <w:rtl w:val="0"/>
        </w:rPr>
        <w:t xml:space="preserve">4.6. Discussion of Findings</w:t>
      </w:r>
    </w:p>
    <w:p w:rsidR="00000000" w:rsidDel="00000000" w:rsidP="00000000" w:rsidRDefault="00000000" w:rsidRPr="00000000" w14:paraId="000002C5">
      <w:pPr>
        <w:pStyle w:val="Heading4"/>
        <w:keepNext w:val="0"/>
        <w:keepLines w:val="0"/>
        <w:spacing w:after="240" w:before="360" w:line="300" w:lineRule="auto"/>
        <w:jc w:val="both"/>
        <w:rPr>
          <w:rFonts w:ascii="Times New Roman" w:cs="Times New Roman" w:eastAsia="Times New Roman" w:hAnsi="Times New Roman"/>
          <w:sz w:val="26"/>
          <w:szCs w:val="26"/>
        </w:rPr>
      </w:pPr>
      <w:bookmarkStart w:colFirst="0" w:colLast="0" w:name="_cppmhg94ndk4" w:id="51"/>
      <w:bookmarkEnd w:id="51"/>
      <w:r w:rsidDel="00000000" w:rsidR="00000000" w:rsidRPr="00000000">
        <w:rPr>
          <w:rFonts w:ascii="Times New Roman" w:cs="Times New Roman" w:eastAsia="Times New Roman" w:hAnsi="Times New Roman"/>
          <w:sz w:val="26"/>
          <w:szCs w:val="26"/>
          <w:rtl w:val="0"/>
        </w:rPr>
        <w:t xml:space="preserve">4.6.1. Overview</w:t>
      </w:r>
    </w:p>
    <w:p w:rsidR="00000000" w:rsidDel="00000000" w:rsidP="00000000" w:rsidRDefault="00000000" w:rsidRPr="00000000" w14:paraId="000002C6">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4.10 </w:t>
      </w:r>
      <w:r w:rsidDel="00000000" w:rsidR="00000000" w:rsidRPr="00000000">
        <w:rPr>
          <w:rFonts w:ascii="Times New Roman" w:cs="Times New Roman" w:eastAsia="Times New Roman" w:hAnsi="Times New Roman"/>
          <w:b w:val="1"/>
          <w:bCs w:val="1"/>
          <w:i w:val="1"/>
          <w:iCs w:val="1"/>
          <w:sz w:val="26"/>
          <w:szCs w:val="26"/>
          <w:rtl w:val="0"/>
        </w:rPr>
        <w:t xml:space="preserve">Summary of Hypotheses and Empirical Outcomes</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770"/>
        <w:gridCol w:w="2370"/>
        <w:gridCol w:w="2910"/>
        <w:tblGridChange w:id="0">
          <w:tblGrid>
            <w:gridCol w:w="2295"/>
            <w:gridCol w:w="1770"/>
            <w:gridCol w:w="2370"/>
            <w:gridCol w:w="2910"/>
          </w:tblGrid>
        </w:tblGridChange>
      </w:tblGrid>
      <w:tr>
        <w:trPr>
          <w:cantSplit w:val="0"/>
          <w:trHeight w:val="660" w:hRule="atLeast"/>
          <w:tblHeader w:val="0"/>
        </w:trPr>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Research Question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9">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Primary Evidence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A">
            <w:pPr>
              <w:spacing w:after="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Theoretical Anchor</w:t>
            </w:r>
          </w:p>
        </w:tc>
      </w:tr>
      <w:tr>
        <w:trPr>
          <w:cantSplit w:val="0"/>
          <w:trHeight w:val="915" w:hRule="atLeast"/>
          <w:tblHeader w:val="0"/>
        </w:trPr>
        <w:tc>
          <w:tcPr>
            <w:tcBorders>
              <w:top w:color="000000" w:space="0" w:sz="8"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B">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RQ1: Does green bond issuance improve ROA?</w:t>
            </w:r>
          </w:p>
        </w:tc>
        <w:tc>
          <w:tcPr>
            <w:tcBorders>
              <w:top w:color="000000" w:space="0" w:sz="8" w:val="single"/>
              <w:left w:color="000000" w:space="0" w:sz="0" w:val="nil"/>
              <w:bottom w:color="878787" w:space="0" w:sz="8"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C">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Supported</w:t>
            </w:r>
          </w:p>
        </w:tc>
        <w:tc>
          <w:tcPr>
            <w:tcBorders>
              <w:top w:color="000000" w:space="0" w:sz="8" w:val="single"/>
              <w:left w:color="000000" w:space="0" w:sz="0" w:val="nil"/>
              <w:bottom w:color="878787" w:space="0" w:sz="8"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D">
            <w:pPr>
              <w:spacing w:after="1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β = −0.006, p = .756</w:t>
            </w:r>
          </w:p>
        </w:tc>
        <w:tc>
          <w:tcPr>
            <w:tcBorders>
              <w:top w:color="000000" w:space="0" w:sz="8" w:val="single"/>
              <w:left w:color="000000" w:space="0" w:sz="0" w:val="nil"/>
              <w:bottom w:color="878787" w:space="0" w:sz="8"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C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Contradicts RBV / Signaling Theory short-run premium</w:t>
            </w:r>
          </w:p>
        </w:tc>
      </w:tr>
      <w:tr>
        <w:trPr>
          <w:cantSplit w:val="0"/>
          <w:trHeight w:val="915" w:hRule="atLeast"/>
          <w:tblHeader w:val="0"/>
        </w:trPr>
        <w:tc>
          <w:tcPr>
            <w:tcBorders>
              <w:top w:color="000000" w:space="0" w:sz="8"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RQ2: How does market value (Tobin's Q) respond to green bond signaling?</w:t>
            </w:r>
          </w:p>
        </w:tc>
        <w:tc>
          <w:tcPr>
            <w:tcBorders>
              <w:top w:color="878787" w:space="0" w:sz="8" w:val="single"/>
              <w:left w:color="000000" w:space="0" w:sz="0" w:val="nil"/>
              <w:bottom w:color="878787" w:space="0" w:sz="8"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Weakly Supported</w:t>
            </w:r>
          </w:p>
        </w:tc>
        <w:tc>
          <w:tcPr>
            <w:tcBorders>
              <w:top w:color="878787" w:space="0" w:sz="8" w:val="single"/>
              <w:left w:color="000000" w:space="0" w:sz="0" w:val="nil"/>
              <w:bottom w:color="878787" w:space="0" w:sz="8"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1">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β = 0.494, p = .207 (absorbed under TWFE; significant only under Time FE)</w:t>
            </w:r>
          </w:p>
        </w:tc>
        <w:tc>
          <w:tcPr>
            <w:tcBorders>
              <w:top w:color="878787" w:space="0" w:sz="8" w:val="single"/>
              <w:left w:color="000000" w:space="0" w:sz="0" w:val="nil"/>
              <w:bottom w:color="878787" w:space="0" w:sz="8"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Consistent with Signaling Theory — but selection-driven</w:t>
            </w:r>
          </w:p>
        </w:tc>
      </w:tr>
      <w:tr>
        <w:trPr>
          <w:cantSplit w:val="0"/>
          <w:trHeight w:val="915" w:hRule="atLeast"/>
          <w:tblHeader w:val="0"/>
        </w:trPr>
        <w:tc>
          <w:tcPr>
            <w:tcBorders>
              <w:top w:color="000000" w:space="0" w:sz="8" w:val="single"/>
              <w:left w:color="000000" w:space="0" w:sz="0" w:val="nil"/>
              <w:bottom w:color="000000" w:space="0" w:sz="8"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3">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RQ3: Do environmental outcomes indicate material improvement or greenwashing?</w:t>
            </w:r>
          </w:p>
        </w:tc>
        <w:tc>
          <w:tcPr>
            <w:tcBorders>
              <w:top w:color="878787" w:space="0" w:sz="8" w:val="single"/>
              <w:left w:color="000000" w:space="0" w:sz="0" w:val="nil"/>
              <w:bottom w:color="878787" w:space="0" w:sz="8"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Greenwashing Pattern</w:t>
            </w:r>
          </w:p>
        </w:tc>
        <w:tc>
          <w:tcPr>
            <w:tcBorders>
              <w:top w:color="878787" w:space="0" w:sz="8" w:val="single"/>
              <w:left w:color="000000" w:space="0" w:sz="0" w:val="nil"/>
              <w:bottom w:color="878787" w:space="0" w:sz="8"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5">
            <w:pPr>
              <w:spacing w:after="1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ESG: β = 0.037, p = .604; Emissions: β = −0.057, p = .734; Only 3.9% verified ESG improvement</w:t>
            </w:r>
          </w:p>
        </w:tc>
        <w:tc>
          <w:tcPr>
            <w:tcBorders>
              <w:top w:color="878787" w:space="0" w:sz="8" w:val="single"/>
              <w:left w:color="000000" w:space="0" w:sz="0" w:val="nil"/>
              <w:bottom w:color="878787" w:space="0" w:sz="8"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6">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Confirms greenwashing puzzle (Khan &amp; Vismara, 2025; Hoang et al., 2020)</w:t>
            </w:r>
          </w:p>
        </w:tc>
      </w:tr>
      <w:tr>
        <w:trPr>
          <w:cantSplit w:val="0"/>
          <w:trHeight w:val="915" w:hRule="atLeast"/>
          <w:tblHeader w:val="0"/>
        </w:trPr>
        <w:tc>
          <w:tcPr>
            <w:tcBorders>
              <w:top w:color="000000" w:space="0" w:sz="8"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7">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RQ4: Are impacts persistent and stable under dynamic endogeneity controls?</w:t>
            </w:r>
          </w:p>
        </w:tc>
        <w:tc>
          <w:tcPr>
            <w:tcBorders>
              <w:top w:color="878787" w:space="0" w:sz="8"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Conditionally Supported</w:t>
            </w:r>
          </w:p>
        </w:tc>
        <w:tc>
          <w:tcPr>
            <w:tcBorders>
              <w:top w:color="878787" w:space="0" w:sz="8"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9">
            <w:pPr>
              <w:spacing w:after="1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GMM: ROA β = −0.002 (p = .822); Q β = 0.063 (p = .715); directionally consistent</w:t>
            </w:r>
          </w:p>
        </w:tc>
        <w:tc>
          <w:tcPr>
            <w:tcBorders>
              <w:top w:color="878787" w:space="0" w:sz="8" w:val="single"/>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2DA">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Null effects persist — corroborates Yeow &amp; Ng (2021)</w:t>
            </w:r>
          </w:p>
        </w:tc>
      </w:tr>
    </w:tbl>
    <w:p w:rsidR="00000000" w:rsidDel="00000000" w:rsidP="00000000" w:rsidRDefault="00000000" w:rsidRPr="00000000" w14:paraId="000002DB">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Results updated with full vector of theory-driven controls and robust System GMM identification. Borrowing cost evidence (Implied Cost of Debt) is derived from Time FE and Pooled OLS specifications, as the treatment indicator was absorbed in TWFE due to a single-unit treated sample for this outcome.</w:t>
      </w:r>
    </w:p>
    <w:p w:rsidR="00000000" w:rsidDel="00000000" w:rsidP="00000000" w:rsidRDefault="00000000" w:rsidRPr="00000000" w14:paraId="000002DC">
      <w:pPr>
        <w:pStyle w:val="Heading4"/>
        <w:keepNext w:val="0"/>
        <w:keepLines w:val="0"/>
        <w:spacing w:after="240" w:before="360" w:line="300" w:lineRule="auto"/>
        <w:rPr>
          <w:rFonts w:ascii="Times New Roman" w:cs="Times New Roman" w:eastAsia="Times New Roman" w:hAnsi="Times New Roman"/>
          <w:sz w:val="26"/>
          <w:szCs w:val="26"/>
        </w:rPr>
      </w:pPr>
      <w:bookmarkStart w:colFirst="0" w:colLast="0" w:name="_vc507r75512p" w:id="52"/>
      <w:bookmarkEnd w:id="52"/>
      <w:r w:rsidDel="00000000" w:rsidR="00000000" w:rsidRPr="00000000">
        <w:rPr>
          <w:rFonts w:ascii="Times New Roman" w:cs="Times New Roman" w:eastAsia="Times New Roman" w:hAnsi="Times New Roman"/>
          <w:sz w:val="26"/>
          <w:szCs w:val="26"/>
          <w:rtl w:val="0"/>
        </w:rPr>
        <w:t xml:space="preserve">4.6.2. Research Question 1: Green Bond Issuance and Internal Profitability (ROA)</w:t>
      </w:r>
    </w:p>
    <w:p w:rsidR="00000000" w:rsidDel="00000000" w:rsidP="00000000" w:rsidRDefault="00000000" w:rsidRPr="00000000" w14:paraId="000002DD">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The first research question asks whether green bond issuance leads to a statistically significant improvement in internal profitability as measured by Return on Assets. The empirical evidence provides a consistent, negative answer across every specification tested. The TWFE estimate is near-zero and statistically insignificant (β = −0.006, p = .756), a result that survives robustness checks, placebo testing, and leave-one-out cross-validation. System GMM - designed to correct for dynamic endogeneity and unobserved heterogeneity - corroborates this null result (β = −0.002, p = .822). Cohort-specific event studies yield an aggregated ATT of −0.014 (p = .315) with no pre-trend violations in the four cohorts with sufficient pre-treatment data, further confirming the robustness of the null finding.</w:t>
      </w:r>
    </w:p>
    <w:p w:rsidR="00000000" w:rsidDel="00000000" w:rsidP="00000000" w:rsidRDefault="00000000" w:rsidRPr="00000000" w14:paraId="000002D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results are in tension with the Resource-Based View and Signaling Theory as applied to green finance. Under the RBV (Barney, 1991; Hart, 1995), green bond issuance is expected to accelerate the accumulation of rare and inimitable organizational capabilities — such as green innovation and sophisticated reporting infrastructure — which should translate into operational efficiency gains over time. Under Signaling Theory (Flammer, 2021), certification-backed issuance reduces information asymmetry and enables access to lower-cost capital, which should improve net profitability margins. Neither mechanism appears to generate measurable ROA improvements within the six-year observation window.</w:t>
      </w:r>
    </w:p>
    <w:p w:rsidR="00000000" w:rsidDel="00000000" w:rsidP="00000000" w:rsidRDefault="00000000" w:rsidRPr="00000000" w14:paraId="000002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null result is, however, consistent with a strand of the literature that emphasizes the short-run costs of green bond compliance. Hoang et al. (2020), employing System GMM on European firms, found that green bond volume was inversely correlated with ROA and ROE, attributing the drag to certification fees, green auditing costs, and upfront investment in green technologies. Similarly, Yeow and Ng (2021) found no statistically significant differences in financial performance between green bond issuers and non-issuers after PSM-based matching across multiple countries. The ASEAN evidence presented here extends and reinforces this finding in an emerging-market context where — as Viona et al. (2025) note — financial benefits from green bonds tend to manifest as indirect risk mitigation rather than direct profitability gains.</w:t>
      </w:r>
    </w:p>
    <w:p w:rsidR="00000000" w:rsidDel="00000000" w:rsidP="00000000" w:rsidRDefault="00000000" w:rsidRPr="00000000" w14:paraId="000002E0">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Firm-size heterogeneity analysis (Table 4.9) reveals a statistically significant ROA decline for large firms (β = −0.025, p &lt; .001), while small firms show no effect. This asymmetry aligns with Stakeholder Theory: larger ASEAN firms face proportionally greater scrutiny from regulators and institutional investors, compelling them to invest more heavily in certification, reporting, and compliance infrastructure. These costs, though expected to generate long-run reputational dividends, appear to suppress short-run profitability for the largest issuers.</w:t>
      </w:r>
    </w:p>
    <w:p w:rsidR="00000000" w:rsidDel="00000000" w:rsidP="00000000" w:rsidRDefault="00000000" w:rsidRPr="00000000" w14:paraId="000002E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4.6.3. Research Question 2: Market Valuation and the Signaling Effect (Tobin's Q)</w:t>
      </w:r>
    </w:p>
    <w:p w:rsidR="00000000" w:rsidDel="00000000" w:rsidP="00000000" w:rsidRDefault="00000000" w:rsidRPr="00000000" w14:paraId="000002E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research question examines how market value - as represented by Tobin's Q - responds to the signaling effect of green bond issuance over time. The evidence is directionally positive but falls short of statistical significance under the preferred TWFE specification (β = 0.494, p = .207). Under time fixed effects only, a marginally significant positive effect emerges (p = .080†), which disappears once entity fixed effects are added. This pattern implies that the observed cross-sectional association between green bond issuance and Tobin's Q is attributable to time-invariant firm characteristics - such as sector composition, firm quality, or pre-existing ESG credentials - rather than to the issuance event itself.</w:t>
      </w:r>
    </w:p>
    <w:p w:rsidR="00000000" w:rsidDel="00000000" w:rsidP="00000000" w:rsidRDefault="00000000" w:rsidRPr="00000000" w14:paraId="000002E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finding carries important theoretical implications. Signaling Theory predicts that green bond issuance should function as a credible differentiation signal, attracting sustainability-mandated institutional investors and generating a market premium (Loiola et al., 2025; Flammer, 2021). The near-significant raw association is broadly consistent with the existence of a greenium in ASEAN equity markets: investors do appear to assign higher valuations to green bond issuers. However, the dissolution of this premium under entity fixed effects confirms that the signal is driven by the type of firm that issues green bonds — large, established, high-ESG firms - rather than by the market revaluation triggered by issuance itself. This interpretation is consistent with Larcker and Watts (2020), who argue that the equity greenium is largely a selection artifact, and with Bai (2025), who found positive Tobin's Q effects in Japan only for firms with specific quantitative environmental targets.</w:t>
      </w:r>
    </w:p>
    <w:p w:rsidR="00000000" w:rsidDel="00000000" w:rsidP="00000000" w:rsidRDefault="00000000" w:rsidRPr="00000000" w14:paraId="000002E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Taken together with the RQ1 findings, these results suggest that in the ASEAN context, green bonds function as a credibility signal rather than a value creation mechanism. The signal satisfies investor screening criteria and preserves market standing without generating the incremental operational returns or market re-ratings that a full implementation of Signaling Theory or the RBV would predict.</w:t>
      </w:r>
    </w:p>
    <w:p w:rsidR="00000000" w:rsidDel="00000000" w:rsidP="00000000" w:rsidRDefault="00000000" w:rsidRPr="00000000" w14:paraId="000002E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4.6.4. Research Question 3: Environmental Outcomes - Material Improvement or Greenwashing?</w:t>
      </w:r>
    </w:p>
    <w:p w:rsidR="00000000" w:rsidDel="00000000" w:rsidP="00000000" w:rsidRDefault="00000000" w:rsidRPr="00000000" w14:paraId="000002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third research question - and arguably the most novel contribution of this study - asks whether the empirical evidence supports a narrative of material environmental improvement or greenwashing following green bond issuance. The evidence strongly favors the greenwashing interpretation.</w:t>
      </w:r>
    </w:p>
    <w:p w:rsidR="00000000" w:rsidDel="00000000" w:rsidP="00000000" w:rsidRDefault="00000000" w:rsidRPr="00000000" w14:paraId="000002E9">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Certification vs. Substantive Improvement</w:t>
      </w:r>
    </w:p>
    <w:p w:rsidR="00000000" w:rsidDel="00000000" w:rsidP="00000000" w:rsidRDefault="00000000" w:rsidRPr="00000000" w14:paraId="000002EA">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greenwashing and authenticity analysis of 333 ASEAN green bonds reveals a striking decoupling between formal certification and substantive environmental outcomes.</w:t>
      </w:r>
    </w:p>
    <w:p w:rsidR="00000000" w:rsidDel="00000000" w:rsidP="00000000" w:rsidRDefault="00000000" w:rsidRPr="00000000" w14:paraId="000002EB">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4.11 </w:t>
      </w:r>
      <w:r w:rsidDel="00000000" w:rsidR="00000000" w:rsidRPr="00000000">
        <w:rPr>
          <w:rFonts w:ascii="Times New Roman" w:cs="Times New Roman" w:eastAsia="Times New Roman" w:hAnsi="Times New Roman"/>
          <w:b w:val="1"/>
          <w:bCs w:val="1"/>
          <w:i w:val="1"/>
          <w:iCs w:val="1"/>
          <w:sz w:val="26"/>
          <w:szCs w:val="26"/>
          <w:rtl w:val="0"/>
        </w:rPr>
        <w:t xml:space="preserve">Green Bond Authenticity Score — Descriptive Statistics (N = 333)</w:t>
      </w:r>
    </w:p>
    <w:tbl>
      <w:tblPr>
        <w:tblStyle w:val="Table16"/>
        <w:tblW w:w="6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2085"/>
        <w:tblGridChange w:id="0">
          <w:tblGrid>
            <w:gridCol w:w="3945"/>
            <w:gridCol w:w="208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Metric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D">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Value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E">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CBI-certified bonds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F">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328 / 333 (98.5%)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0">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ICMA-certified bonds</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326 / 333 (97.9%)</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Bonds with verified ESG improvement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 333 (3.9%)</w:t>
            </w:r>
          </w:p>
        </w:tc>
      </w:tr>
    </w:tbl>
    <w:p w:rsidR="00000000" w:rsidDel="00000000" w:rsidP="00000000" w:rsidRDefault="00000000" w:rsidRPr="00000000" w14:paraId="000002F4">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Certification rates reflect CBI and ICMA registry cross-referencing. ESG improvement verified against post-issuance ASSET4 trajectories.</w:t>
      </w:r>
    </w:p>
    <w:p w:rsidR="00000000" w:rsidDel="00000000" w:rsidP="00000000" w:rsidRDefault="00000000" w:rsidRPr="00000000" w14:paraId="000002F5">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4.12 </w:t>
      </w:r>
      <w:r w:rsidDel="00000000" w:rsidR="00000000" w:rsidRPr="00000000">
        <w:rPr>
          <w:rFonts w:ascii="Times New Roman" w:cs="Times New Roman" w:eastAsia="Times New Roman" w:hAnsi="Times New Roman"/>
          <w:b w:val="1"/>
          <w:bCs w:val="1"/>
          <w:i w:val="1"/>
          <w:iCs w:val="1"/>
          <w:sz w:val="26"/>
          <w:szCs w:val="26"/>
          <w:rtl w:val="0"/>
        </w:rPr>
        <w:t xml:space="preserve">Authenticity Score Distribution</w:t>
      </w:r>
    </w:p>
    <w:tbl>
      <w:tblPr>
        <w:tblStyle w:val="Table17"/>
        <w:tblW w:w="41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780"/>
        <w:gridCol w:w="930"/>
        <w:tblGridChange w:id="0">
          <w:tblGrid>
            <w:gridCol w:w="2430"/>
            <w:gridCol w:w="780"/>
            <w:gridCol w:w="93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Category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9">
            <w:pPr>
              <w:spacing w:after="160" w:lineRule="auto"/>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High (score ≥ 80)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(score 60–79)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(score 40–59)</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94.3%</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Unverified (score &lt; 40)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r>
    </w:tbl>
    <w:p w:rsidR="00000000" w:rsidDel="00000000" w:rsidP="00000000" w:rsidRDefault="00000000" w:rsidRPr="00000000" w14:paraId="00000305">
      <w:pPr>
        <w:spacing w:after="24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4.13 </w:t>
      </w:r>
      <w:r w:rsidDel="00000000" w:rsidR="00000000" w:rsidRPr="00000000">
        <w:rPr>
          <w:rFonts w:ascii="Times New Roman" w:cs="Times New Roman" w:eastAsia="Times New Roman" w:hAnsi="Times New Roman"/>
          <w:b w:val="1"/>
          <w:bCs w:val="1"/>
          <w:i w:val="1"/>
          <w:iCs w:val="1"/>
          <w:sz w:val="26"/>
          <w:szCs w:val="26"/>
          <w:rtl w:val="0"/>
        </w:rPr>
        <w:t xml:space="preserve">Mean Score by Authenticity Component</w:t>
      </w:r>
    </w:p>
    <w:tbl>
      <w:tblPr>
        <w:tblStyle w:val="Table18"/>
        <w:tblW w:w="66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950"/>
        <w:gridCol w:w="1515"/>
        <w:tblGridChange w:id="0">
          <w:tblGrid>
            <w:gridCol w:w="3225"/>
            <w:gridCol w:w="1950"/>
            <w:gridCol w:w="1515"/>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6">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Component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7">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Maximum Score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8">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 Score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9">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Improvement Component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A">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B">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C">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Certification Component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D">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E">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29.5</w:t>
            </w:r>
          </w:p>
        </w:tc>
      </w:tr>
      <w:tr>
        <w:trPr>
          <w:cantSplit w:val="0"/>
          <w:trHeight w:val="4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F">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Issuer Credibility Component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0">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1">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22.8</w:t>
            </w:r>
          </w:p>
        </w:tc>
      </w:tr>
      <w:tr>
        <w:trPr>
          <w:cantSplit w:val="0"/>
          <w:trHeight w:val="4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2">
            <w:pPr>
              <w:spacing w:after="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 Authenticity Score</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100</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53.8</w:t>
            </w:r>
            <w:r w:rsidDel="00000000" w:rsidR="00000000" w:rsidRPr="00000000">
              <w:rPr>
                <w:rtl w:val="0"/>
              </w:rPr>
            </w:r>
          </w:p>
        </w:tc>
      </w:tr>
    </w:tbl>
    <w:p w:rsidR="00000000" w:rsidDel="00000000" w:rsidP="00000000" w:rsidRDefault="00000000" w:rsidRPr="00000000" w14:paraId="00000315">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Note.</w:t>
      </w:r>
      <w:r w:rsidDel="00000000" w:rsidR="00000000" w:rsidRPr="00000000">
        <w:rPr>
          <w:rFonts w:ascii="Times New Roman" w:cs="Times New Roman" w:eastAsia="Times New Roman" w:hAnsi="Times New Roman"/>
          <w:sz w:val="26"/>
          <w:szCs w:val="26"/>
          <w:rtl w:val="0"/>
        </w:rPr>
        <w:t xml:space="preserve"> The near-zero mean ESG component (1.5/40) despite near-perfect certification scores (29.5/35) indicates a systematic decoupling between formal green credentials and substantive environmental outcomes.</w:t>
      </w:r>
    </w:p>
    <w:p w:rsidR="00000000" w:rsidDel="00000000" w:rsidP="00000000" w:rsidRDefault="00000000" w:rsidRPr="00000000" w14:paraId="00000316">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Despite 98.5% CBI certification and 97.9% ICMA certification, only 3.9% of bonds are associated with verifiable ESG improvement post-issuance. The mean authenticity score of 53.8/100, with 94.3% of bonds falling in the "Low" category, reveals that formal compliance is essentially universal while substantive environmental transformation is nearly absent</w:t>
      </w:r>
    </w:p>
    <w:p w:rsidR="00000000" w:rsidDel="00000000" w:rsidP="00000000" w:rsidRDefault="00000000" w:rsidRPr="00000000" w14:paraId="00000317">
      <w:pPr>
        <w:pStyle w:val="Heading4"/>
        <w:keepNext w:val="0"/>
        <w:keepLines w:val="0"/>
        <w:spacing w:after="240" w:before="360" w:line="300" w:lineRule="auto"/>
        <w:jc w:val="both"/>
        <w:rPr>
          <w:rFonts w:ascii="Times New Roman" w:cs="Times New Roman" w:eastAsia="Times New Roman" w:hAnsi="Times New Roman"/>
          <w:b w:val="0"/>
          <w:bCs w:val="0"/>
          <w:sz w:val="26"/>
          <w:szCs w:val="26"/>
        </w:rPr>
      </w:pPr>
      <w:bookmarkStart w:colFirst="0" w:colLast="0" w:name="_sp6uy354lrra" w:id="53"/>
      <w:bookmarkEnd w:id="53"/>
      <w:r w:rsidDel="00000000" w:rsidR="00000000" w:rsidRPr="00000000">
        <w:rPr>
          <w:rFonts w:ascii="Cardo" w:cs="Cardo" w:eastAsia="Cardo" w:hAnsi="Cardo"/>
          <w:b w:val="0"/>
          <w:bCs w:val="0"/>
          <w:sz w:val="26"/>
          <w:szCs w:val="26"/>
          <w:rtl w:val="0"/>
        </w:rPr>
        <w:t xml:space="preserve">The regression results for both ESG score and emissions intensity are consistent with this picture. TWFE estimates show near-zero, insignificant effects for the composite ESG score (β = 0.037, p = .604) and for log emissions intensity (β = −0.057, p = .734). While the emissions intensity point estimate is consistently negative across all DiD specifications — suggesting a directional operational transition — it cannot be robustly distinguished from noise given sparse treatment and the short post-issuance window. System GMM results for both outcomes are inconclusive due to instrument sparsity, reinforcing the absence of robust causal evidence.</w:t>
      </w:r>
    </w:p>
    <w:p w:rsidR="00000000" w:rsidDel="00000000" w:rsidP="00000000" w:rsidRDefault="00000000" w:rsidRPr="00000000" w14:paraId="00000318">
      <w:pPr>
        <w:pStyle w:val="Heading4"/>
        <w:keepNext w:val="0"/>
        <w:keepLines w:val="0"/>
        <w:spacing w:after="240" w:before="360" w:line="300" w:lineRule="auto"/>
        <w:jc w:val="both"/>
        <w:rPr>
          <w:rFonts w:ascii="Times New Roman" w:cs="Times New Roman" w:eastAsia="Times New Roman" w:hAnsi="Times New Roman"/>
          <w:b w:val="0"/>
          <w:bCs w:val="0"/>
          <w:sz w:val="26"/>
          <w:szCs w:val="26"/>
        </w:rPr>
      </w:pPr>
      <w:bookmarkStart w:colFirst="0" w:colLast="0" w:name="_adkcko6tjj72" w:id="54"/>
      <w:bookmarkEnd w:id="54"/>
      <w:r w:rsidDel="00000000" w:rsidR="00000000" w:rsidRPr="00000000">
        <w:rPr>
          <w:rFonts w:ascii="Times New Roman" w:cs="Times New Roman" w:eastAsia="Times New Roman" w:hAnsi="Times New Roman"/>
          <w:b w:val="0"/>
          <w:bCs w:val="0"/>
          <w:sz w:val="26"/>
          <w:szCs w:val="26"/>
          <w:rtl w:val="0"/>
        </w:rPr>
        <w:t xml:space="preserve">The cohort-specific ESG event study (Table 4.7) also fails to produce a significant aggregated ATT (β = 0.059, p = .292), with significant effects confined to the 2023 cohort (β = 0.037, p = .010) and a marginally significant result for the 2024 cohort. The pre-trend violation for the 2024 cohort suggests anticipatory ESG improvements prior to formal issuance — a pattern that, rather than indicating genuine post-issuance transformation, may reflect strategic ESG credential accumulation in preparation for the market signal.</w:t>
      </w:r>
    </w:p>
    <w:p w:rsidR="00000000" w:rsidDel="00000000" w:rsidP="00000000" w:rsidRDefault="00000000" w:rsidRPr="00000000" w14:paraId="00000319">
      <w:pPr>
        <w:pStyle w:val="Heading4"/>
        <w:keepNext w:val="0"/>
        <w:keepLines w:val="0"/>
        <w:spacing w:after="240" w:before="360" w:line="300" w:lineRule="auto"/>
        <w:jc w:val="both"/>
        <w:rPr>
          <w:rFonts w:ascii="Times New Roman" w:cs="Times New Roman" w:eastAsia="Times New Roman" w:hAnsi="Times New Roman"/>
          <w:b w:val="0"/>
          <w:bCs w:val="0"/>
          <w:sz w:val="26"/>
          <w:szCs w:val="26"/>
        </w:rPr>
      </w:pPr>
      <w:bookmarkStart w:colFirst="0" w:colLast="0" w:name="_kmqffpvv27gu" w:id="55"/>
      <w:bookmarkEnd w:id="55"/>
      <w:r w:rsidDel="00000000" w:rsidR="00000000" w:rsidRPr="00000000">
        <w:rPr>
          <w:rFonts w:ascii="Times New Roman" w:cs="Times New Roman" w:eastAsia="Times New Roman" w:hAnsi="Times New Roman"/>
          <w:b w:val="0"/>
          <w:bCs w:val="0"/>
          <w:sz w:val="26"/>
          <w:szCs w:val="26"/>
          <w:rtl w:val="0"/>
        </w:rPr>
        <w:t xml:space="preserve">These results are interpreted within the signaling framework articulated in Chapter 2 and the prior literature. As Hoang et al. (2020) demonstrate using panel data on European firms, green bond issuance can significantly increase ESG disclosure scores while bearing no significant relationship with actual emission reductions — a decoupling strategy that firms employ to polish their public image without altering operational substance. The ASEAN evidence presented here exhibits this same decoupling pattern at a more pronounced scale.</w:t>
      </w:r>
    </w:p>
    <w:p w:rsidR="00000000" w:rsidDel="00000000" w:rsidP="00000000" w:rsidRDefault="00000000" w:rsidRPr="00000000" w14:paraId="0000031A">
      <w:pPr>
        <w:pStyle w:val="Heading4"/>
        <w:keepNext w:val="0"/>
        <w:keepLines w:val="0"/>
        <w:spacing w:after="240" w:before="360" w:line="300" w:lineRule="auto"/>
        <w:jc w:val="both"/>
        <w:rPr>
          <w:rFonts w:ascii="Times New Roman" w:cs="Times New Roman" w:eastAsia="Times New Roman" w:hAnsi="Times New Roman"/>
          <w:b w:val="0"/>
          <w:bCs w:val="0"/>
          <w:sz w:val="26"/>
          <w:szCs w:val="26"/>
        </w:rPr>
      </w:pPr>
      <w:bookmarkStart w:colFirst="0" w:colLast="0" w:name="_9w2r0dr4vdq" w:id="56"/>
      <w:bookmarkEnd w:id="56"/>
      <w:r w:rsidDel="00000000" w:rsidR="00000000" w:rsidRPr="00000000">
        <w:rPr>
          <w:rFonts w:ascii="Times New Roman" w:cs="Times New Roman" w:eastAsia="Times New Roman" w:hAnsi="Times New Roman"/>
          <w:b w:val="0"/>
          <w:bCs w:val="0"/>
          <w:sz w:val="26"/>
          <w:szCs w:val="26"/>
          <w:rtl w:val="0"/>
        </w:rPr>
        <w:t xml:space="preserve">The findings are consistent with the "Greenwashing Puzzle" described by Khan and Vismara (2025), whereby market signaling mechanisms operate largely independently of substantive environmental outcomes. In line with the research gap identified in Section 2.4, the use of composite ESG scores (which tend to show positive symbolic impacts, as in Viona et al., 2025) masks the absence of improvement in quantitative operational indicators - precisely the methodological divergence highlighted by the literature synthesis in Section 2.3.2.</w:t>
      </w:r>
    </w:p>
    <w:p w:rsidR="00000000" w:rsidDel="00000000" w:rsidP="00000000" w:rsidRDefault="00000000" w:rsidRPr="00000000" w14:paraId="0000031B">
      <w:pPr>
        <w:pStyle w:val="Heading4"/>
        <w:keepNext w:val="0"/>
        <w:keepLines w:val="0"/>
        <w:spacing w:after="240" w:before="360" w:line="300" w:lineRule="auto"/>
        <w:jc w:val="both"/>
        <w:rPr>
          <w:rFonts w:ascii="Times New Roman" w:cs="Times New Roman" w:eastAsia="Times New Roman" w:hAnsi="Times New Roman"/>
          <w:b w:val="0"/>
          <w:bCs w:val="0"/>
          <w:sz w:val="26"/>
          <w:szCs w:val="26"/>
        </w:rPr>
      </w:pPr>
      <w:bookmarkStart w:colFirst="0" w:colLast="0" w:name="_qwapefh292gl" w:id="57"/>
      <w:bookmarkEnd w:id="57"/>
      <w:r w:rsidDel="00000000" w:rsidR="00000000" w:rsidRPr="00000000">
        <w:rPr>
          <w:rFonts w:ascii="Times New Roman" w:cs="Times New Roman" w:eastAsia="Times New Roman" w:hAnsi="Times New Roman"/>
          <w:b w:val="0"/>
          <w:bCs w:val="0"/>
          <w:sz w:val="26"/>
          <w:szCs w:val="26"/>
          <w:rtl w:val="0"/>
        </w:rPr>
        <w:t xml:space="preserve">Importantly, however, the evidence does not support a conclusion of purely symbolic greenwashing at the operational level. The directionally negative emissions intensity estimate across all DiD models is consistent with a genuine but incomplete operational transition that the current dataset - sparse treatment, short panel - lacks the statistical power to confirm. This finding echoes Bai's (2025) observation for Japan that substantive environmental improvements from green bonds are conditioned on the presence of specific, quantitative environmental targets. The absence of such binding targets in ASEAN issuances, combined with the region's fragmented monitoring infrastructure noted by Viona et al. (2025), offers a plausible structural explanation for the gap between certification and verified outcomes.</w:t>
      </w:r>
    </w:p>
    <w:p w:rsidR="00000000" w:rsidDel="00000000" w:rsidP="00000000" w:rsidRDefault="00000000" w:rsidRPr="00000000" w14:paraId="0000031C">
      <w:pPr>
        <w:spacing w:after="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4.6.5. Research Question 4: Persistence and Statistical Stability of Effects</w:t>
      </w:r>
    </w:p>
    <w:p w:rsidR="00000000" w:rsidDel="00000000" w:rsidP="00000000" w:rsidRDefault="00000000" w:rsidRPr="00000000" w14:paraId="0000031D">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fourth research question asks whether the observed impacts are persistent and statistically stable when accounting for dynamic endogeneity and unobservable entity-fixed effects. The multi-method robustness framework yields a clear answer: the null financial and environmental effects are stable across all identification strategies employed.</w:t>
      </w:r>
    </w:p>
    <w:p w:rsidR="00000000" w:rsidDel="00000000" w:rsidP="00000000" w:rsidRDefault="00000000" w:rsidRPr="00000000" w14:paraId="0000031E">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Specification sensitivity testing across five DiD variants confirms that ROA coefficients are null under every specification. Placebo testing - shifting the treatment date one year forward - produces a non-significant coefficient (β = 0.008, p = .669), confirming that estimated effects are not artifacts of pre-existing trends. Leave-one-out cross-validation across 100 folds demonstrates that treatment coefficients are stable across subsamples.</w:t>
      </w:r>
    </w:p>
    <w:p w:rsidR="00000000" w:rsidDel="00000000" w:rsidP="00000000" w:rsidRDefault="00000000" w:rsidRPr="00000000" w14:paraId="0000031F">
      <w:pPr>
        <w:spacing w:after="24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The cross-method comparison between TWFE and System GMM (Table 4.6) shows directional consistency for three of four outcomes. Crucially, the System GMM estimates - which correct for dynamic endogeneity by instrumenting lagged levels with differences and vice versa - do not reveal effects that TWFE misses. For ROA (GMM: β = −0.002, p = .822) and Tobin's Q (GMM: β = 0.063, p = .715), the null conclusion is reinforced rather than overturned when endogeneity is more rigorously controlled. For ESG Score, the GMM estimate (β = 0.004, p = .803) is an order of magnitude smaller than the TWFE estimate, suggesting that part of the apparent cross-sectional ESG correlation was endogenous - driven by firm quality and pre-existing ESG trajectories rather than by treatment.</w:t>
      </w:r>
    </w:p>
    <w:p w:rsidR="00000000" w:rsidDel="00000000" w:rsidP="00000000" w:rsidRDefault="00000000" w:rsidRPr="00000000" w14:paraId="00000320">
      <w:pPr>
        <w:spacing w:after="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results are consistent with Yeow and Ng (2021), who concluded - using a comparable PSM-DiD framework - that endogeneity-controlled estimates show no significant financial performance differences between green bond issuers and non-issuers. They stand in contrast to Bai (2025), whose System GMM results for Japanese firms showed significant long-run improvements. The divergence is likely attributable to the institutional context: Japan's more mature disclosure standards, stricter monitoring environment, and widespread use of quantitative environmental targets create the conditions under which the RBV mechanism — capability accumulation translating into performance — can operate. In ASEAN, where these institutional prerequisites are still developing, the dynamic endogeneity correction does not reveal a suppressed positive effect but rather confirms its absence.</w:t>
      </w:r>
    </w:p>
    <w:p w:rsidR="00000000" w:rsidDel="00000000" w:rsidP="00000000" w:rsidRDefault="00000000" w:rsidRPr="00000000" w14:paraId="0000032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4.6.7. Methodological Limitations</w:t>
      </w:r>
    </w:p>
    <w:p w:rsidR="00000000" w:rsidDel="00000000" w:rsidP="00000000" w:rsidRDefault="00000000" w:rsidRPr="00000000" w14:paraId="000003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Several limitations constrain the internal and external validity of this study and should inform the interpretation of findings. First, treatment is sparse: only 20 of 3,964 entities (0.50%) issued green bonds during the observation window, critically limiting statistical power for all subgroup analyses. This sparsity also prevented the PSM-matched sample from achieving sufficient coverage (45% match rate), necessitating estimation on the full unmatched panel for the main DiD and GMM analyses.</w:t>
      </w:r>
    </w:p>
    <w:p w:rsidR="00000000" w:rsidDel="00000000" w:rsidP="00000000" w:rsidRDefault="00000000" w:rsidRPr="00000000" w14:paraId="000003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the 2020 treatment cohort — comprising 25% of treated firms — has zero pre-treatment observations within the 2020–2025 window, rendering the parallel trends assumption untestable for this cohort. The pooled parallel trends test fails (p = .009), though cohort-specific analysis reveals that this violation is attributable to composition effects across staggered cohorts rather than a systematic identification failure, with 0/4 cohorts violating for ROA.</w:t>
      </w:r>
    </w:p>
    <w:p w:rsidR="00000000" w:rsidDel="00000000" w:rsidP="00000000" w:rsidRDefault="00000000" w:rsidRPr="00000000" w14:paraId="000003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the six-year panel window may be insufficient to observe the long-run environmental and financial effects that the RBV and Stakeholder Theory predict. Prior studies finding positive effects, such as Bai (2025) for Japanese firms, typically employ longer post-treatment horizons or contexts with more established green finance ecosystems.</w:t>
      </w:r>
    </w:p>
    <w:p w:rsidR="00000000" w:rsidDel="00000000" w:rsidP="00000000" w:rsidRDefault="00000000" w:rsidRPr="00000000" w14:paraId="000003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Fourth, the absence of bond-level yield data prevents a direct formal analysis of the interest cost channel (the "greenium"). The implied cost of debt proxy — which showed significant reductions in cross-sectional models — was absorbed under TWFE due to a single treated entity, precluding a causal conclusion for this outcome. Future studies should incorporate bond-level spread data to isolate this mechanism.</w:t>
      </w:r>
    </w:p>
    <w:p w:rsidR="00000000" w:rsidDel="00000000" w:rsidP="00000000" w:rsidRDefault="00000000" w:rsidRPr="00000000" w14:paraId="000003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the 2024 cohort pre-trend violation for ESG Score suggests potential anticipatory effects. This may reflect strategic ESG credential accumulation prior to formal issuance — a dynamic that, if systematic, would indicate that standard DiD estimators understate pre-treatment differences rather than the reverse, lending additional credibility to the null post-treatment estimates.</w:t>
      </w:r>
      <w:r w:rsidDel="00000000" w:rsidR="00000000" w:rsidRPr="00000000">
        <w:br w:type="page"/>
      </w:r>
      <w:r w:rsidDel="00000000" w:rsidR="00000000" w:rsidRPr="00000000">
        <w:rPr>
          <w:rtl w:val="0"/>
        </w:rPr>
      </w:r>
    </w:p>
    <w:p w:rsidR="00000000" w:rsidDel="00000000" w:rsidP="00000000" w:rsidRDefault="00000000" w:rsidRPr="00000000" w14:paraId="0000032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CHAPTER V. CONCLUSIONS AND IMPLICATIONS</w:t>
      </w:r>
    </w:p>
    <w:p w:rsidR="00000000" w:rsidDel="00000000" w:rsidP="00000000" w:rsidRDefault="00000000" w:rsidRPr="00000000" w14:paraId="0000032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2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General Conclusions</w:t>
      </w:r>
    </w:p>
    <w:p w:rsidR="00000000" w:rsidDel="00000000" w:rsidP="00000000" w:rsidRDefault="00000000" w:rsidRPr="00000000" w14:paraId="000003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study examined whether green bond issuance generates measurable financial and environmental benefits for listed companies across six ASEAN member states between 2020 and 2025. Three overarching conclusions emerge from the evidence.</w:t>
      </w:r>
    </w:p>
    <w:p w:rsidR="00000000" w:rsidDel="00000000" w:rsidP="00000000" w:rsidRDefault="00000000" w:rsidRPr="00000000" w14:paraId="000003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green bonds in ASEAN currently function as credibility signals rather than performance catalysts. The study finds no causal evidence that issuance improves accounting profitability, composite ESG scores, or direct emissions intensity within the observation window. These null findings hold across all estimation strategies — from pooled OLS through Two-Way Fixed Effects to System GMM — and survive a full battery of robustness checks. This conclusion does not mean green bonds are without value. Certification demonstrably enables access to ESG-mandated capital, supports reputational positioning, and — for large firms — drives meaningful improvements in ESG disclosure quality. What it does mean is that the leap from credibility signal to operational transformation has not yet been made in the ASEAN context: the institutional preconditions for that leap, including binding environmental targets and rigorous post-issuance monitoring, remain underdeveloped across the region.</w:t>
      </w:r>
    </w:p>
    <w:p w:rsidR="00000000" w:rsidDel="00000000" w:rsidP="00000000" w:rsidRDefault="00000000" w:rsidRPr="00000000" w14:paraId="000003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the ASEAN green bond market exhibits a structural greenwashing pattern rooted in its credentialing architecture. The near-universal adoption of formal certification — 98.5% of sampled bonds carry CBI or ICMA recognition — coexists with near-absent verified environmental improvement at only 3.9% of issuances. This is not primarily a story of individual firms behaving deceptively. It is a systemic outcome of a credentialing system designed to verify use-of-proceeds allocation processes, not environmental delivery. The architecture rewards compliance with procedural requirements while imposing no accountability for post-issuance outcomes. Until that architecture is reformed — through outcome-based standards, mandatory emissions reporting, and publicly accessible impact registries — the expansion of ASEAN green bond volumes will widen rather than close the gap between certification and genuine ecological transition.</w:t>
      </w:r>
    </w:p>
    <w:p w:rsidR="00000000" w:rsidDel="00000000" w:rsidP="00000000" w:rsidRDefault="00000000" w:rsidRPr="00000000" w14:paraId="000003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Third, firm size is the principal moderator of green bond impacts in ASEAN, with important implications for market design. Large firms are the primary beneficiaries of green bond issuance: they capture the ESG disclosure gains and the reputational capital from stakeholder engagement, while absorbing the compliance costs that suppress short-run profitability. Smaller firms, which lack the organizational infrastructure to support credible environmental commitments, risk a negative market signal from premature entry into the green bond market. This asymmetry suggests that a uniform certification framework is poorly calibrated to the heterogeneous institutional readiness of ASEAN issuers. A tiered approach — matching disclosure requirements and target-setting obligations to the scale and preparation of the issuer — would distribute the costs and benefits of the green transition more equitably and reduce the risk of reputational harm at the smaller end of the market.</w:t>
      </w:r>
    </w:p>
    <w:p w:rsidR="00000000" w:rsidDel="00000000" w:rsidP="00000000" w:rsidRDefault="00000000" w:rsidRPr="00000000" w14:paraId="0000032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Implications and Recommendations</w:t>
      </w:r>
    </w:p>
    <w:p w:rsidR="00000000" w:rsidDel="00000000" w:rsidP="00000000" w:rsidRDefault="00000000" w:rsidRPr="00000000" w14:paraId="0000033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5.2.1. Managerial Implications</w:t>
      </w:r>
    </w:p>
    <w:p w:rsidR="00000000" w:rsidDel="00000000" w:rsidP="00000000" w:rsidRDefault="00000000" w:rsidRPr="00000000" w14:paraId="0000033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findings carry distinct implications for regulators, corporate managers, and investors — three groups whose actions collectively determine whether the ASEAN green bond market delivers substantive environmental and financial value.</w:t>
      </w:r>
    </w:p>
    <w:p w:rsidR="00000000" w:rsidDel="00000000" w:rsidP="00000000" w:rsidRDefault="00000000" w:rsidRPr="00000000" w14:paraId="000003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regional regulators and standard-setting bodies, the central priority is a transition from process-based to outcome-based green bond standards. The current CBI and ICMA frameworks provide meaningful discipline around the allocation of proceeds to eligible projects, but they stop there. Introducing minimum post-issuance environmental performance thresholds, standardizing the mandatory reporting of direct GHG emissions and energy intensity metrics across all ASEAN jurisdictions, and establishing publicly accessible impact registries would create the accountability architecture that is currently absent. Without such reforms, regulatory efforts risk amplifying the volume of the green bond market without improving its integrity.</w:t>
      </w:r>
    </w:p>
    <w:p w:rsidR="00000000" w:rsidDel="00000000" w:rsidP="00000000" w:rsidRDefault="00000000" w:rsidRPr="00000000" w14:paraId="000003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corporate managers, the key reorientation is strategic rather than financial. Green bonds should be understood as a long-run investment in organizational sustainability infrastructure, not a short-term cost-of-capital optimization. The compliance cost drag on profitability — particularly pronounced for large firms — is real and should be planned for explicitly. More consequentially, the evidence from Japan (Bai, 2025) establishes that green bonds generate substantive environmental improvements only when issuers commit to specific, quantifiable, time-bound targets and embed them in operational governance and executive accountability structures. ASEAN managers who replicate this model will build the kind of rare, inimitable organizational capabilities that the Resource-Based View predicts will eventually translate into durable competitive advantage. Those who rely on certification alone will not.</w:t>
      </w:r>
    </w:p>
    <w:p w:rsidR="00000000" w:rsidDel="00000000" w:rsidP="00000000" w:rsidRDefault="00000000" w:rsidRPr="00000000" w14:paraId="000003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ESG-mandated investors, the implication is equally direct. A certification rate of 98.5% alongside a verified improvement rate of 3.9% means that the label is not a reliable proxy for impact. Sophisticated investors should supplement use-of-proceeds verification with post-issuance environmental performance requirements as a condition of continued engagement or preferential pricing. This investor-side demand signal is arguably the most powerful lever for driving genuine green bond effectiveness: if capital markets begin to price the difference between certified-but-unverified and certified-and-verified issuances, issuers will face a direct financial incentive to close the gap.</w:t>
      </w:r>
    </w:p>
    <w:p w:rsidR="00000000" w:rsidDel="00000000" w:rsidP="00000000" w:rsidRDefault="00000000" w:rsidRPr="00000000" w14:paraId="0000033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5.2.2. Recommendations for Companies in Vietnam</w:t>
      </w:r>
    </w:p>
    <w:p w:rsidR="00000000" w:rsidDel="00000000" w:rsidP="00000000" w:rsidRDefault="00000000" w:rsidRPr="00000000" w14:paraId="000003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Vietnam faces a distinctive combination of climate urgency and institutional immaturity. As one of the region's most climate-exposed economies and a COP26 Net Zero signatory, it has strong national reasons to develop a credible green bond market. Yet most potential Vietnamese issuers are smaller or less institutionally prepared than the large-cap regional firms that currently dominate ASEAN green bond issuance, and the national disclosure and monitoring infrastructure remains nascent. The findings of this study generate three concrete priorities.</w:t>
      </w:r>
    </w:p>
    <w:p w:rsidR="00000000" w:rsidDel="00000000" w:rsidP="00000000" w:rsidRDefault="00000000" w:rsidRPr="00000000" w14:paraId="000003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organizational capacity before entering the market. The heterogeneity analysis shows that smaller, less-prepared issuers risk generating a negative market signal from premature green bond issuance. For Vietnamese companies, the pre-issuance period should be treated as a substantive investment phase: establishing dedicated sustainability governance at the board level, implementing comprehensive GHG accounting across Scopes 1 and 2, developing an internal green bond framework with specific and verifiable environmental targets, and building the reporting infrastructure needed to demonstrate progress over time. This groundwork is not a compliance formality; it is the organizational foundation from which genuine performance benefits can eventually emerge.</w:t>
      </w:r>
    </w:p>
    <w:p w:rsidR="00000000" w:rsidDel="00000000" w:rsidP="00000000" w:rsidRDefault="00000000" w:rsidRPr="00000000" w14:paraId="000003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Adopt sector-specific, binding environmental targets. Vietnamese listed companies are concentrated in sectors with high environmental materiality — real estate, manufacturing, banking, and energy — where the appropriate KPIs and baselines differ substantially. Real estate developers should commit to internationally recognized green building certifications with quantified energy and water efficiency targets. Manufacturing firms should establish absolute Scope 1 and 2 GHG reduction commitments verified annually by accredited third parties. Banks issuing green bonds for on-lending should implement impact-linked reporting that tracks end-use environmental outcomes at the project level, rather than simply confirming eligibility at origination. Making these targets binding — through contractual covenants, public disclosure obligations, or executive compensation linkages — is the mechanism through which the gap between certification and verified impact can be closed at the firm level.</w:t>
      </w:r>
    </w:p>
    <w:p w:rsidR="00000000" w:rsidDel="00000000" w:rsidP="00000000" w:rsidRDefault="00000000" w:rsidRPr="00000000" w14:paraId="000003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Engage actively in building the national monitoring architecture. The structural greenwashing pattern documented in this study cannot be resolved by individual firms acting unilaterally; it requires a monitoring infrastructure that does not yet exist at the national level in Vietnam. Large state-owned enterprises and prominent private conglomerates that issue green bonds are well-positioned to advocate for — and participate in designing — a national green bond impact registry: a publicly accessible platform compiling post-issuance environmental performance data for all Vietnamese issuers. Such a registry would reward genuine performers with enhanced credibility and market differentiation, create competitive pressure on less rigorous issuers, and generate the data infrastructure that investors, regulators, and researchers need to evaluate the effectiveness of the Vietnamese green bond market over time.</w:t>
      </w:r>
    </w:p>
    <w:p w:rsidR="00000000" w:rsidDel="00000000" w:rsidP="00000000" w:rsidRDefault="00000000" w:rsidRPr="00000000" w14:paraId="0000033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Research Limitations and Suggestions for Future Research</w:t>
      </w:r>
    </w:p>
    <w:p w:rsidR="00000000" w:rsidDel="00000000" w:rsidP="00000000" w:rsidRDefault="00000000" w:rsidRPr="00000000" w14:paraId="0000033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5.3.1. Research Limitations</w:t>
      </w:r>
    </w:p>
    <w:p w:rsidR="00000000" w:rsidDel="00000000" w:rsidP="00000000" w:rsidRDefault="00000000" w:rsidRPr="00000000" w14:paraId="0000033F">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Four limitations are particularly consequential for interpreting the findings of this study.</w:t>
      </w:r>
    </w:p>
    <w:p w:rsidR="00000000" w:rsidDel="00000000" w:rsidP="00000000" w:rsidRDefault="00000000" w:rsidRPr="00000000" w14:paraId="000003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Treatment sparsity. Only 20 of 3,964 entities issued green bonds during the observation window — a reflection of the current early-stage development of ASEAN green finance markets rather than a sampling choice. The practical consequence is limited statistical power: effects of modest but economically meaningful magnitude may exist but remain undetectable given the available treated sample. This constraint will attenuate naturally as the regional green bond market expands and more issuers accumulate post-treatment observations.</w:t>
      </w:r>
    </w:p>
    <w:p w:rsidR="00000000" w:rsidDel="00000000" w:rsidP="00000000" w:rsidRDefault="00000000" w:rsidRPr="00000000" w14:paraId="000003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Short post-issuance horizon. The six-year panel is insufficient to observe the long-run financial and environmental effects predicted by the Resource-Based View and Stakeholder Theory. Organizational capability accumulation, reputational dividend realization, and emissions trajectory changes from capital reallocation all operate over multi-year or multi-decade horizons. The null findings of this study should be understood as short-to-medium-run conclusions, not permanent structural assessments.</w:t>
      </w:r>
    </w:p>
    <w:p w:rsidR="00000000" w:rsidDel="00000000" w:rsidP="00000000" w:rsidRDefault="00000000" w:rsidRPr="00000000" w14:paraId="000003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Absence of bond-level yield and proceeds data. The study cannot directly analyze the financing cost channel — whether green bond issuers access capital at lower rates than conventional issuers — nor track how proceeds are deployed to specific project categories. Both dimensions are central to the full causal story of green bond effectiveness and represent the highest-priority data acquisition target for follow-on research.</w:t>
      </w:r>
    </w:p>
    <w:p w:rsidR="00000000" w:rsidDel="00000000" w:rsidP="00000000" w:rsidRDefault="00000000" w:rsidRPr="00000000" w14:paraId="000003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ESG data coverage constraints. Refinitiv ASSET4 ESG scores are available for only 17.8% of observations, heavily skewed toward larger, internationally visible firms. The ESG outcome analysis therefore captures large-firm behavior and cannot be straightforwardly generalized to the broader ASEAN corporate population. The direct emissions intensity analysis partially compensates for this bias but is subject to the same coverage limitation.</w:t>
      </w:r>
    </w:p>
    <w:p w:rsidR="00000000" w:rsidDel="00000000" w:rsidP="00000000" w:rsidRDefault="00000000" w:rsidRPr="00000000" w14:paraId="0000034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5.3.2. Suggestions for Further Research</w:t>
      </w:r>
    </w:p>
    <w:p w:rsidR="00000000" w:rsidDel="00000000" w:rsidP="00000000" w:rsidRDefault="00000000" w:rsidRPr="00000000" w14:paraId="00000347">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Four research directions would most directly extend this study's contributions.</w:t>
      </w:r>
    </w:p>
    <w:p w:rsidR="00000000" w:rsidDel="00000000" w:rsidP="00000000" w:rsidRDefault="00000000" w:rsidRPr="00000000" w14:paraId="000003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Extended longitudinal analysis as the ASEAN market matures. The most natural and important extension is to replicate this study's methodology on a panel extending to 2028–2030. Longer post-issuance windows — particularly for the 2020 and 2021 cohorts — and a growing treated sample will provide the statistical power to resolve whether the directionally negative emissions intensity estimates and positive Tobin's Q signal eventually achieve significance as institutional conditions strengthen. This would offer a prospective test of the study's central theoretical conjecture: that the preconditions for green bond effectiveness are absent today but developing.</w:t>
      </w:r>
    </w:p>
    <w:p w:rsidR="00000000" w:rsidDel="00000000" w:rsidP="00000000" w:rsidRDefault="00000000" w:rsidRPr="00000000" w14:paraId="0000034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Quantitative environmental targets as a moderating condition. Bai (2025) established for Japan that substantive environmental improvements from green bonds are contingent on the presence of specific, binding environmental targets at the time of issuance. This moderating mechanism remains untested in ASEAN. Future research should code the specificity and bindingness of environmental commitments from green bond frameworks — distinguishing aspirational language from quantified, time-bound, externally verified targets — and test whether this variable explains cross-issuer variation in environmental outcomes. This would directly answer whether the greenwashing pattern is a market-level structural problem or a firm-level governance failure amenable to internal solutions.</w:t>
      </w:r>
    </w:p>
    <w:p w:rsidR="00000000" w:rsidDel="00000000" w:rsidP="00000000" w:rsidRDefault="00000000" w:rsidRPr="00000000" w14:paraId="000003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Bond-level greenium and proceeds deployment analysis. Whether ASEAN green bonds generate a financing cost advantage — and whether that advantage is conditional on verified environmental delivery — cannot be assessed with the current data. Future studies should combine bond-level yield spread data from Bloomberg or LSEG fixed income databases with proceeds allocation records and project-level environmental outcomes, applying event study designs around issuance dates. This would provide the first granular evidence on whether ASEAN capital markets price the difference between authentic and symbolic green issuances, and thus whether the investor-side discipline mechanism is operative in the region.</w:t>
      </w:r>
    </w:p>
    <w:p w:rsidR="00000000" w:rsidDel="00000000" w:rsidP="00000000" w:rsidRDefault="00000000" w:rsidRPr="00000000" w14:paraId="000003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Cross-country institutional decomposition within ASEAN. The aggregate ASEAN-level findings obscure significant variation in institutional quality, regulatory stringency, and green finance market maturity across member states. Singapore operates a mature financial system with strong ESG disclosure requirements. Malaysia has an established sustainable and responsible investment ecosystem. Vietnam, Indonesia, and the Philippines are at earlier stages with more fragmented monitoring. A country-decomposed analysis — testing whether null findings are uniform or concentrated in specific national contexts — would give regulators actionable comparative evidence on which institutional conditions are necessary for green bonds to deliver substantive outcomes, and would allow Vietnamese policymakers to benchmark against the most effective regulatory models in the region.</w:t>
      </w:r>
    </w:p>
    <w:p w:rsidR="00000000" w:rsidDel="00000000" w:rsidP="00000000" w:rsidRDefault="00000000" w:rsidRPr="00000000" w14:paraId="0000034D">
      <w:pPr>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4E">
      <w:pPr>
        <w:pStyle w:val="Title"/>
        <w:widowControl w:val="0"/>
        <w:spacing w:after="100" w:lineRule="auto"/>
        <w:jc w:val="both"/>
        <w:rPr>
          <w:b w:val="1"/>
          <w:bCs w:val="1"/>
        </w:rPr>
      </w:pPr>
      <w:bookmarkStart w:colFirst="0" w:colLast="0" w:name="_7o57ghdyz9ul" w:id="58"/>
      <w:bookmarkEnd w:id="58"/>
      <w:r w:rsidDel="00000000" w:rsidR="00000000" w:rsidRPr="00000000">
        <w:rPr>
          <w:rtl w:val="0"/>
        </w:rPr>
      </w:r>
    </w:p>
    <w:p w:rsidR="00000000" w:rsidDel="00000000" w:rsidP="00000000" w:rsidRDefault="00000000" w:rsidRPr="00000000" w14:paraId="0000034F">
      <w:pPr>
        <w:pStyle w:val="Title"/>
        <w:widowControl w:val="0"/>
        <w:spacing w:after="100" w:lineRule="auto"/>
        <w:jc w:val="both"/>
        <w:rPr>
          <w:b w:val="1"/>
          <w:bCs w:val="1"/>
        </w:rPr>
      </w:pPr>
      <w:bookmarkStart w:colFirst="0" w:colLast="0" w:name="_n58vvjdoafb" w:id="59"/>
      <w:bookmarkEnd w:id="59"/>
      <w:r w:rsidDel="00000000" w:rsidR="00000000" w:rsidRPr="00000000">
        <w:rPr>
          <w:b w:val="1"/>
          <w:bCs w:val="1"/>
          <w:rtl w:val="0"/>
        </w:rPr>
        <w:t xml:space="preserve">APPENDIX </w:t>
      </w:r>
    </w:p>
    <w:p w:rsidR="00000000" w:rsidDel="00000000" w:rsidP="00000000" w:rsidRDefault="00000000" w:rsidRPr="00000000" w14:paraId="00000350">
      <w:pPr>
        <w:pStyle w:val="Title"/>
        <w:widowControl w:val="0"/>
        <w:spacing w:after="100" w:lineRule="auto"/>
        <w:jc w:val="both"/>
        <w:rPr>
          <w:b w:val="1"/>
          <w:bCs w:val="1"/>
        </w:rPr>
      </w:pPr>
      <w:bookmarkStart w:colFirst="0" w:colLast="0" w:name="_hrk3ohfowml9" w:id="60"/>
      <w:bookmarkEnd w:id="60"/>
      <w:r w:rsidDel="00000000" w:rsidR="00000000" w:rsidRPr="00000000">
        <w:rPr>
          <w:b w:val="1"/>
          <w:bCs w:val="1"/>
          <w:rtl w:val="0"/>
        </w:rPr>
        <w:t xml:space="preserve">REFERENCES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both"/>
        <w:rPr>
          <w:rFonts w:ascii="Times New Roman" w:cs="Times New Roman" w:eastAsia="Times New Roman" w:hAnsi="Times New Roman"/>
          <w:sz w:val="26"/>
          <w:szCs w:val="26"/>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00" w:lineRule="auto"/>
    </w:pPr>
    <w:rPr>
      <w:rFonts w:ascii="Times New Roman" w:cs="Times New Roman" w:eastAsia="Times New Roman" w:hAnsi="Times New Roman"/>
      <w:sz w:val="26"/>
      <w:szCs w:val="26"/>
    </w:rPr>
  </w:style>
  <w:style w:type="paragraph" w:styleId="Subtitle">
    <w:name w:val="Subtitle"/>
    <w:basedOn w:val="Normal"/>
    <w:next w:val="Normal"/>
    <w:pPr>
      <w:keepNext w:val="1"/>
      <w:keepLines w:val="1"/>
      <w:spacing w:after="100" w:lineRule="auto"/>
    </w:pPr>
    <w:rPr>
      <w:rFonts w:ascii="Times New Roman" w:cs="Times New Roman" w:eastAsia="Times New Roman" w:hAnsi="Times New Roman"/>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