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III. RESEARCH METHODOLOGY</w:t>
      </w:r>
    </w:p>
    <w:p w:rsidR="00000000" w:rsidDel="00000000" w:rsidP="00000000" w:rsidRDefault="00000000" w:rsidRPr="00000000" w14:paraId="00000002">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Research Process</w:t>
      </w:r>
    </w:p>
    <w:p w:rsidR="00000000" w:rsidDel="00000000" w:rsidP="00000000" w:rsidRDefault="00000000" w:rsidRPr="00000000" w14:paraId="0000000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study employs a multi-stage quasi-experimental research design to establish causal inference between green bond issuance and corporate performance outcomes in the ASEAN region. The overarching methodological framework integrates three complementary identification strategies: Propensity Score Matching (PSM), Difference-in-Differences (DiD), and System Generalized Method of Moments (GMM). This triangulation approach ensures robustness by addressing distinct sources of endogeneity inherent in the treatment assignment process.</w:t>
      </w:r>
    </w:p>
    <w:p w:rsidR="00000000" w:rsidDel="00000000" w:rsidP="00000000" w:rsidRDefault="00000000" w:rsidRPr="00000000" w14:paraId="0000000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 bond issuance is a non-random event. Firms that elect to issue green bonds differ systematically from non-issuers across multiple dimensions, including size, financial health, environmental commitment, and institutional capacity (Flammer, 2021; Tang &amp; Zhang, 2020). A naïve comparison of issuers and non-issuers would conflate the causal effect of green bond issuance with the selection effect arising from pre-existing firm characteristics. This confounding violates the fundamental identifying assumption of random treatment assignment required for causal inference.</w:t>
      </w:r>
    </w:p>
    <w:p w:rsidR="00000000" w:rsidDel="00000000" w:rsidP="00000000" w:rsidRDefault="00000000" w:rsidRPr="00000000" w14:paraId="0000000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address this challenge, the research design implements a three-stage identification strategy. The first stage involves using Propensity Score Matching (PSM) to mitigate selection bias by constructing a comparable control group. PSM estimates the probability of green bond issuance conditional on observable pre-treatment covariates, subsequently matching treated firms to control firms with similar propensity scores. This procedure ensures that subsequent treatment effect estimates are not driven by observable differences between issuers and non-issuers (Rosenbaum &amp; Rubin, 1983).</w:t>
      </w:r>
    </w:p>
    <w:p w:rsidR="00000000" w:rsidDel="00000000" w:rsidP="00000000" w:rsidRDefault="00000000" w:rsidRPr="00000000" w14:paraId="0000000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second stage employs a Difference-in-Differences (DiD) framework, leveraging the panel structure of the data to control for time-invariant unobserved heterogeneity—such as corporate culture or management quality—through entity fixed effects. It simultaneously accounts for time-varying aggregate shocks, such as macroeconomic shifts or regulatory changes, via time fixed effects. By utilizing this dual-control approach, the DiD estimator isolates the treatment effect from within-firm and within-year variation in outcomes following green bond issuance (Angrist &amp; Pischke, 2009).</w:t>
      </w:r>
    </w:p>
    <w:p w:rsidR="00000000" w:rsidDel="00000000" w:rsidP="00000000" w:rsidRDefault="00000000" w:rsidRPr="00000000" w14:paraId="0000000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final stage applies the System Generalized Method of Moments (GMM) to mitigate dynamic endogeneity issues arising from the inclusion of lagged dependent variables. When performance metrics, such as profitability or ESG scores, exhibit temporal persistence, standard fixed-effects estimators are prone to producing biased results, a phenomenon known as Nickell bias. System GMM addresses this by using lagged levels and differences of endogenous variables as internal instruments, thereby ensuring consistent and robust estimates within a dynamic panel setting (Blundell &amp; Bond, 1998).</w:t>
      </w:r>
    </w:p>
    <w:p w:rsidR="00000000" w:rsidDel="00000000" w:rsidP="00000000" w:rsidRDefault="00000000" w:rsidRPr="00000000" w14:paraId="0000000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research workflow proceeds through sequential phases of data integration, preparation, and rigorous estimation. Initially, financial data, ESG scores, market metrics, and green bond records are integrated into a comprehensive panel dataset spanning 2020 to 2025. Following the construction of treatment indicators, outcomes, and theory-based controls, the analytical phase commences with propensity score estimation to ensure covariate balance. Subsequently, DiD estimation is conducted across multiple fixed-effects specifications, accompanied by parallel trends testing through an event-study framework to validate the underlying assumptions. The analysis then advances to System GMM estimation to address dynamic panel biases, concluding with extensive robustness checks, including placebo tests and greenwashing screens, to substantiate the hypothesis testing for both environmental and financial performance outcomes.</w:t>
      </w:r>
    </w:p>
    <w:p w:rsidR="00000000" w:rsidDel="00000000" w:rsidP="00000000" w:rsidRDefault="00000000" w:rsidRPr="00000000" w14:paraId="0000000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technical specifications for PSM algorithms, DiD models, and GMM implementations are detailed in Appendix A.7.</w:t>
      </w:r>
    </w:p>
    <w:p w:rsidR="00000000" w:rsidDel="00000000" w:rsidP="00000000" w:rsidRDefault="00000000" w:rsidRPr="00000000" w14:paraId="0000000A">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Research Data</w:t>
      </w:r>
    </w:p>
    <w:p w:rsidR="00000000" w:rsidDel="00000000" w:rsidP="00000000" w:rsidRDefault="00000000" w:rsidRPr="00000000" w14:paraId="0000000B">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 Data Sources</w:t>
      </w:r>
    </w:p>
    <w:p w:rsidR="00000000" w:rsidDel="00000000" w:rsidP="00000000" w:rsidRDefault="00000000" w:rsidRPr="00000000" w14:paraId="0000000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empirical analysis relies on a comprehensively integrated dataset constructed from four primary sources. Financial data is retrieved from LSEG Datastream/Workspace (Refinitiv), providing annual financial statements, ratios, and firm identifiers for listed companies across six ASEAN member states (Indonesia, Malaysia, the Philippines, Singapore, Thailand, and Vietnam) from 2020 to 2025. Environmental, Social, and Governance (ESG) performance is evaluated using the LSEG ASSET4 database, which supplies composite ESG scores and detailed environmental metrics, including carbon intensity and scope emissions, primarily for large- and mid-cap firms representing approximately 18% of the panel observations. Market valuation data, including market capitalization and trading volumes, is sourced directly from regional stock exchanges to facilitate the calculation of market-based metrics such as Tobin's Q. Finally, green bond issuance data is extracted from the LSEG Green Bonds Database and supplemented by meticulous manual authentication. This process verifies each of the 333 identified bonds against established certification standards, such as the Climate Bonds Initiative (CBI) and the International Capital Market Association (ICMA) Green Bond Principles, while also evaluating use-of-proceeds documentation to rigorously screen for greenwashing.</w:t>
      </w:r>
    </w:p>
    <w:p w:rsidR="00000000" w:rsidDel="00000000" w:rsidP="00000000" w:rsidRDefault="00000000" w:rsidRPr="00000000" w14:paraId="0000000D">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3.2.2. Sample Selection and Panel Structure</w:t>
      </w:r>
    </w:p>
    <w:p w:rsidR="00000000" w:rsidDel="00000000" w:rsidP="00000000" w:rsidRDefault="00000000" w:rsidRPr="00000000" w14:paraId="0000000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initial research universe encompasses all ASEAN-6 listed firms with available financial data within the LSEG Refinitiv database. The final unbalanced panel comprises 23,284 firm-year observations from 3,964 unique entities over the six-year observation window. The unbalanced nature of the panel naturally accommodates dynamic market entries and exits, such as initial public offerings and delistings. Geographically, the observations are distributed across Thailand (23.3%), Indonesia (23.3%), Malaysia (21.3%), Singapore (15.0%), Vietnam (10.1%), and the Philippines (6.9%).</w:t>
      </w:r>
    </w:p>
    <w:p w:rsidR="00000000" w:rsidDel="00000000" w:rsidP="00000000" w:rsidRDefault="00000000" w:rsidRPr="00000000" w14:paraId="0000000F">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3.1 </w:t>
      </w:r>
      <w:r w:rsidDel="00000000" w:rsidR="00000000" w:rsidRPr="00000000">
        <w:rPr>
          <w:rFonts w:ascii="Times New Roman" w:cs="Times New Roman" w:eastAsia="Times New Roman" w:hAnsi="Times New Roman"/>
          <w:b w:val="1"/>
          <w:bCs w:val="1"/>
          <w:i w:val="1"/>
          <w:iCs w:val="1"/>
          <w:sz w:val="26"/>
          <w:szCs w:val="26"/>
          <w:rtl w:val="0"/>
        </w:rPr>
        <w:t xml:space="preserve">Panel Data Structure</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7.5"/>
        <w:gridCol w:w="4567.5"/>
        <w:tblGridChange w:id="0">
          <w:tblGrid>
            <w:gridCol w:w="4567.5"/>
            <w:gridCol w:w="4567.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Dimension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Observations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23,284</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 of Entities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3,964 (identified by org_permid)</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Observation Periods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years (2020–2025)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Treated Firm-Years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 (0.35% of panel)</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Treated Firms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(0.50% of entities)</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Treatment Cohorts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cohorts (2020-2024)</w:t>
            </w:r>
          </w:p>
        </w:tc>
      </w:tr>
    </w:tbl>
    <w:p w:rsidR="00000000" w:rsidDel="00000000" w:rsidP="00000000" w:rsidRDefault="00000000" w:rsidRPr="00000000" w14:paraId="0000001E">
      <w:pPr>
        <w:spacing w:after="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study also implements a two-pass winsorization procedure to ensure statistical robustness. In the first pass, 18 raw financial metrics are winsorized at the 1st and 99th percentiles to mitigate the influence of extreme values. In the second pass, five computed financial ratios undergo identical winsorization. </w:t>
      </w:r>
    </w:p>
    <w:p w:rsidR="00000000" w:rsidDel="00000000" w:rsidP="00000000" w:rsidRDefault="00000000" w:rsidRPr="00000000" w14:paraId="0000001F">
      <w:pPr>
        <w:spacing w:after="24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Measurement of Variables</w:t>
      </w:r>
    </w:p>
    <w:p w:rsidR="00000000" w:rsidDel="00000000" w:rsidP="00000000" w:rsidRDefault="00000000" w:rsidRPr="00000000" w14:paraId="00000020">
      <w:pPr>
        <w:spacing w:after="24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3.3.1. Dependent Variables</w:t>
      </w:r>
    </w:p>
    <w:p w:rsidR="00000000" w:rsidDel="00000000" w:rsidP="00000000" w:rsidRDefault="00000000" w:rsidRPr="00000000" w14:paraId="00000021">
      <w:pPr>
        <w:spacing w:after="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study evaluates corporate performance across four primary outcome variables, encompassing both financial and environmental dimensions. </w:t>
      </w:r>
    </w:p>
    <w:p w:rsidR="00000000" w:rsidDel="00000000" w:rsidP="00000000" w:rsidRDefault="00000000" w:rsidRPr="00000000" w14:paraId="00000022">
      <w:pPr>
        <w:spacing w:after="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performance is evaluated using two distinct proxies. The first is an accounting-based measure, Return on Assets (ROA), representing internal operational profitability and efficiency of asset deployment. </w:t>
      </w:r>
    </w:p>
    <w:p w:rsidR="00000000" w:rsidDel="00000000" w:rsidP="00000000" w:rsidRDefault="00000000" w:rsidRPr="00000000" w14:paraId="00000023">
      <w:pPr>
        <w:spacing w:after="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second proxy is a market-based measure, Tobin's Q, which serves as a forward-looking indicator of market valuation, capturing the market's assessment of a firm's growth opportunities and intangible assets, potentially reflecting a "green premium" (Flammer, 2021). </w:t>
      </w:r>
    </w:p>
    <w:p w:rsidR="00000000" w:rsidDel="00000000" w:rsidP="00000000" w:rsidRDefault="00000000" w:rsidRPr="00000000" w14:paraId="00000024">
      <w:pPr>
        <w:spacing w:after="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Furthermore, the implied cost of debt is included to test the greenium hypothesis, assessing whether issuance leads to a reduction in borrowing costs (Larcker &amp; Watts, 2020), although severe data sparsity limits the robustness of this specific metric.</w:t>
      </w:r>
    </w:p>
    <w:p w:rsidR="00000000" w:rsidDel="00000000" w:rsidP="00000000" w:rsidRDefault="00000000" w:rsidRPr="00000000" w14:paraId="00000025">
      <w:pPr>
        <w:spacing w:after="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Corporate environmental performance is assessed through two complementary measures. The first is a composite ESG rating score sourced from Refinitiv ASSET4, which evaluates a firm's overarching sustainability performance and disclosure practices relative to industry peers (Berg et al., 2022). To capture direct environmental impact and address potential disclosure biases inherent in composite scores, the study employs a second metric: log emissions intensity. A negative treatment effect on thidirect evidence of substantive environmental improvement aligned with the fundamental objectives of green bond financing (Tang &amp; Zhang, 2020).</w:t>
      </w:r>
    </w:p>
    <w:p w:rsidR="00000000" w:rsidDel="00000000" w:rsidP="00000000" w:rsidRDefault="00000000" w:rsidRPr="00000000" w14:paraId="00000026">
      <w:pPr>
        <w:spacing w:after="240" w:line="288"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3.2 </w:t>
      </w:r>
      <w:r w:rsidDel="00000000" w:rsidR="00000000" w:rsidRPr="00000000">
        <w:rPr>
          <w:rFonts w:ascii="Times New Roman" w:cs="Times New Roman" w:eastAsia="Times New Roman" w:hAnsi="Times New Roman"/>
          <w:b w:val="1"/>
          <w:bCs w:val="1"/>
          <w:i w:val="1"/>
          <w:iCs w:val="1"/>
          <w:sz w:val="26"/>
          <w:szCs w:val="26"/>
          <w:rtl w:val="0"/>
        </w:rPr>
        <w:t xml:space="preserve">Dependent Variables</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015"/>
        <w:gridCol w:w="2580"/>
        <w:gridCol w:w="1335"/>
        <w:tblGridChange w:id="0">
          <w:tblGrid>
            <w:gridCol w:w="2190"/>
            <w:gridCol w:w="3015"/>
            <w:gridCol w:w="2580"/>
            <w:gridCol w:w="133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Variable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Dimension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Scale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on Assets (ROA)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 Accounting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income divided by total assets. </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&lt;1</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 Market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 capitalization divided by total assets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Environmental - Composite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Refinitiv ESG rating (ASSET4)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ln(Emissions Intensity)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Environmental - Direct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Natural log of GHG emissions per unit output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~0–21</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Implied Cost of Debt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 Cost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Interest expense divided by total debt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w:t>
            </w:r>
          </w:p>
        </w:tc>
      </w:tr>
    </w:tbl>
    <w:p w:rsidR="00000000" w:rsidDel="00000000" w:rsidP="00000000" w:rsidRDefault="00000000" w:rsidRPr="00000000" w14:paraId="0000003F">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3.3.2. Independent Variable (Treatment)</w:t>
      </w:r>
    </w:p>
    <w:p w:rsidR="00000000" w:rsidDel="00000000" w:rsidP="00000000" w:rsidRDefault="00000000" w:rsidRPr="00000000" w14:paraId="0000004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independent variable is corporate green bond issuance, operationalized as a binary treatment indicator. Within this framework, a firm is designated as treated if it issues at least one green bond during the 2020–2025 observation period. This study abstracts from continuous intensity dimensions—such as issuance volume or frequency—to preserve statistical power given the nascent stage of the ASEAN green bond market and to align with established practices in the literature (Flammer, 2021; Tang &amp; Zhang, 2020).</w:t>
      </w:r>
    </w:p>
    <w:p w:rsidR="00000000" w:rsidDel="00000000" w:rsidP="00000000" w:rsidRDefault="00000000" w:rsidRPr="00000000" w14:paraId="0000004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accommodate the distinct identification strategies employed, the treatment variable is specified in two complementary formats:</w:t>
      </w:r>
    </w:p>
    <w:p w:rsidR="00000000" w:rsidDel="00000000" w:rsidP="00000000" w:rsidRDefault="00000000" w:rsidRPr="00000000" w14:paraId="0000004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green_bond_issue</w:t>
      </w:r>
      <w:r w:rsidDel="00000000" w:rsidR="00000000" w:rsidRPr="00000000">
        <w:rPr>
          <w:rFonts w:ascii="Times New Roman" w:cs="Times New Roman" w:eastAsia="Times New Roman" w:hAnsi="Times New Roman"/>
          <w:sz w:val="26"/>
          <w:szCs w:val="26"/>
          <w:rtl w:val="0"/>
        </w:rPr>
        <w:t xml:space="preserve"> (Binary, 0/1): This variable takes the value of 1 exclusively in the inaugural year of a firm’s green bond issuance and 0 otherwise. This specification (PSM) analysis to isolate the probability of initial treatment adoption.</w:t>
      </w:r>
    </w:p>
    <w:p w:rsidR="00000000" w:rsidDel="00000000" w:rsidP="00000000" w:rsidRDefault="00000000" w:rsidRPr="00000000" w14:paraId="0000004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green_bond_active</w:t>
      </w:r>
      <w:r w:rsidDel="00000000" w:rsidR="00000000" w:rsidRPr="00000000">
        <w:rPr>
          <w:rFonts w:ascii="Times New Roman" w:cs="Times New Roman" w:eastAsia="Times New Roman" w:hAnsi="Times New Roman"/>
          <w:sz w:val="26"/>
          <w:szCs w:val="26"/>
          <w:rtl w:val="0"/>
        </w:rPr>
        <w:t xml:space="preserve"> (Binary, 0/1): This variable takes the value of 1 from the year of first issuance through the end of the observation period, and 0 otherwise. This specification is employed for the panel-based Difference-in-Differences (DiD) and System GMM models, recognizing that green bond financing represents a persistent shift in corporate financial and environmental commitment rather than a transient event.</w:t>
      </w:r>
    </w:p>
    <w:p w:rsidR="00000000" w:rsidDel="00000000" w:rsidP="00000000" w:rsidRDefault="00000000" w:rsidRPr="00000000" w14:paraId="0000004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treatment adoption is staggered temporally, with cohorts entering the treatment state progressively from 2020 through 2024. This staggered structure reflects the evolving regulatory landscape in ASEAN and necessitates the use of cohort-specific estimation techniques to account for potential heterogeneity in treatment effects across time. Green bond identification is based on the LSEG Green Bonds Database, with each issuance manually verified against established certification standards (e.g., CBI, ICMA) and use-of-proceeds documentation to ensure the integrity of the treatment group. issuers with documented green use-of-proceeds frameworks.</w:t>
      </w:r>
    </w:p>
    <w:p w:rsidR="00000000" w:rsidDel="00000000" w:rsidP="00000000" w:rsidRDefault="00000000" w:rsidRPr="00000000" w14:paraId="00000045">
      <w:pPr>
        <w:pStyle w:val="Heading4"/>
        <w:keepNext w:val="0"/>
        <w:keepLines w:val="0"/>
        <w:spacing w:before="360" w:line="300" w:lineRule="auto"/>
        <w:rPr>
          <w:b w:val="1"/>
          <w:bCs w:val="1"/>
        </w:rPr>
      </w:pPr>
      <w:bookmarkStart w:colFirst="0" w:colLast="0" w:name="_h8reu02hh2mt" w:id="0"/>
      <w:bookmarkEnd w:id="0"/>
      <w:r w:rsidDel="00000000" w:rsidR="00000000" w:rsidRPr="00000000">
        <w:rPr>
          <w:b w:val="1"/>
          <w:bCs w:val="1"/>
          <w:rtl w:val="0"/>
        </w:rPr>
        <w:t xml:space="preserve">3.3.3. Control Variables</w:t>
      </w:r>
    </w:p>
    <w:p w:rsidR="00000000" w:rsidDel="00000000" w:rsidP="00000000" w:rsidRDefault="00000000" w:rsidRPr="00000000" w14:paraId="0000004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mitigate omitted variable bias, all regression specifications include a vector of firm-level control variables, each measured with a one-year lag relative to the outcome to reduce simultaneity bias.</w:t>
      </w:r>
    </w:p>
    <w:p w:rsidR="00000000" w:rsidDel="00000000" w:rsidP="00000000" w:rsidRDefault="00000000" w:rsidRPr="00000000" w14:paraId="00000047">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3.3 </w:t>
      </w:r>
      <w:r w:rsidDel="00000000" w:rsidR="00000000" w:rsidRPr="00000000">
        <w:rPr>
          <w:rFonts w:ascii="Times New Roman" w:cs="Times New Roman" w:eastAsia="Times New Roman" w:hAnsi="Times New Roman"/>
          <w:b w:val="1"/>
          <w:bCs w:val="1"/>
          <w:i w:val="1"/>
          <w:iCs w:val="1"/>
          <w:sz w:val="26"/>
          <w:szCs w:val="26"/>
          <w:rtl w:val="0"/>
        </w:rPr>
        <w:t xml:space="preserve">Control Variables (One-Year Lagged)</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650"/>
        <w:tblGridChange w:id="0">
          <w:tblGrid>
            <w:gridCol w:w="4485"/>
            <w:gridCol w:w="465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Variable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Operationalization</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Firm Size (</w:t>
            </w:r>
            <w:r w:rsidDel="00000000" w:rsidR="00000000" w:rsidRPr="00000000">
              <w:rPr>
                <w:rFonts w:ascii="Times New Roman" w:cs="Times New Roman" w:eastAsia="Times New Roman" w:hAnsi="Times New Roman"/>
                <w:i w:val="1"/>
                <w:iCs w:val="1"/>
                <w:sz w:val="26"/>
                <w:szCs w:val="26"/>
                <w:rtl w:val="0"/>
              </w:rPr>
              <w:t xml:space="preserve">L1_Firm_Size</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Natural log of total assets at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Gungsuh" w:cs="Gungsuh" w:eastAsia="Gungsuh" w:hAnsi="Gungsuh"/>
                <w:sz w:val="26"/>
                <w:szCs w:val="26"/>
                <w:rtl w:val="0"/>
              </w:rPr>
              <w:t xml:space="preserve"> − 1</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Leverage (</w:t>
            </w:r>
            <w:r w:rsidDel="00000000" w:rsidR="00000000" w:rsidRPr="00000000">
              <w:rPr>
                <w:rFonts w:ascii="Times New Roman" w:cs="Times New Roman" w:eastAsia="Times New Roman" w:hAnsi="Times New Roman"/>
                <w:i w:val="1"/>
                <w:iCs w:val="1"/>
                <w:sz w:val="26"/>
                <w:szCs w:val="26"/>
                <w:rtl w:val="0"/>
              </w:rPr>
              <w:t xml:space="preserve">L1_Leverage</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debt divided by total assets at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Gungsuh" w:cs="Gungsuh" w:eastAsia="Gungsuh" w:hAnsi="Gungsuh"/>
                <w:sz w:val="26"/>
                <w:szCs w:val="26"/>
                <w:rtl w:val="0"/>
              </w:rPr>
              <w:t xml:space="preserve"> − 1</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 Turnover (</w:t>
            </w:r>
            <w:r w:rsidDel="00000000" w:rsidR="00000000" w:rsidRPr="00000000">
              <w:rPr>
                <w:rFonts w:ascii="Times New Roman" w:cs="Times New Roman" w:eastAsia="Times New Roman" w:hAnsi="Times New Roman"/>
                <w:i w:val="1"/>
                <w:iCs w:val="1"/>
                <w:sz w:val="26"/>
                <w:szCs w:val="26"/>
                <w:rtl w:val="0"/>
              </w:rPr>
              <w:t xml:space="preserve">L1_Asset_Turnover</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sales divided by total assets at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Gungsuh" w:cs="Gungsuh" w:eastAsia="Gungsuh" w:hAnsi="Gungsuh"/>
                <w:sz w:val="26"/>
                <w:szCs w:val="26"/>
                <w:rtl w:val="0"/>
              </w:rPr>
              <w:t xml:space="preserve"> − 1</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Capital Intensity (</w:t>
            </w:r>
            <w:r w:rsidDel="00000000" w:rsidR="00000000" w:rsidRPr="00000000">
              <w:rPr>
                <w:rFonts w:ascii="Times New Roman" w:cs="Times New Roman" w:eastAsia="Times New Roman" w:hAnsi="Times New Roman"/>
                <w:i w:val="1"/>
                <w:iCs w:val="1"/>
                <w:sz w:val="26"/>
                <w:szCs w:val="26"/>
                <w:rtl w:val="0"/>
              </w:rPr>
              <w:t xml:space="preserve">L1_Capital_Intensity</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Capital expenditures divided by total assets at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Gungsuh" w:cs="Gungsuh" w:eastAsia="Gungsuh" w:hAnsi="Gungsuh"/>
                <w:sz w:val="26"/>
                <w:szCs w:val="26"/>
                <w:rtl w:val="0"/>
              </w:rPr>
              <w:t xml:space="preserve"> − 1</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Cash Ratio (</w:t>
            </w:r>
            <w:r w:rsidDel="00000000" w:rsidR="00000000" w:rsidRPr="00000000">
              <w:rPr>
                <w:rFonts w:ascii="Times New Roman" w:cs="Times New Roman" w:eastAsia="Times New Roman" w:hAnsi="Times New Roman"/>
                <w:i w:val="1"/>
                <w:iCs w:val="1"/>
                <w:sz w:val="26"/>
                <w:szCs w:val="26"/>
                <w:rtl w:val="0"/>
              </w:rPr>
              <w:t xml:space="preserve">L1_Cash_Ratio</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Cash divided by total assets at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Gungsuh" w:cs="Gungsuh" w:eastAsia="Gungsuh" w:hAnsi="Gungsuh"/>
                <w:sz w:val="26"/>
                <w:szCs w:val="26"/>
                <w:rtl w:val="0"/>
              </w:rPr>
              <w:t xml:space="preserve"> − 1</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 Tangibility (</w:t>
            </w:r>
            <w:r w:rsidDel="00000000" w:rsidR="00000000" w:rsidRPr="00000000">
              <w:rPr>
                <w:rFonts w:ascii="Times New Roman" w:cs="Times New Roman" w:eastAsia="Times New Roman" w:hAnsi="Times New Roman"/>
                <w:i w:val="1"/>
                <w:iCs w:val="1"/>
                <w:sz w:val="26"/>
                <w:szCs w:val="26"/>
                <w:rtl w:val="0"/>
              </w:rPr>
              <w:t xml:space="preserve">asset_tangibility</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property, plant, and equipment as % of total assets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Issuer Track Record (</w:t>
            </w:r>
            <w:r w:rsidDel="00000000" w:rsidR="00000000" w:rsidRPr="00000000">
              <w:rPr>
                <w:rFonts w:ascii="Times New Roman" w:cs="Times New Roman" w:eastAsia="Times New Roman" w:hAnsi="Times New Roman"/>
                <w:i w:val="1"/>
                <w:iCs w:val="1"/>
                <w:sz w:val="26"/>
                <w:szCs w:val="26"/>
                <w:rtl w:val="0"/>
              </w:rPr>
              <w:t xml:space="preserve">issuer_track_record</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Cumulative count of prior green bond issuances</w:t>
            </w:r>
          </w:p>
        </w:tc>
      </w:tr>
      <w:tr>
        <w:trPr>
          <w:cantSplit w:val="0"/>
          <w:trHeight w:val="6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 Bond Framework (</w:t>
            </w:r>
            <w:r w:rsidDel="00000000" w:rsidR="00000000" w:rsidRPr="00000000">
              <w:rPr>
                <w:rFonts w:ascii="Times New Roman" w:cs="Times New Roman" w:eastAsia="Times New Roman" w:hAnsi="Times New Roman"/>
                <w:i w:val="1"/>
                <w:iCs w:val="1"/>
                <w:sz w:val="26"/>
                <w:szCs w:val="26"/>
                <w:rtl w:val="0"/>
              </w:rPr>
              <w:t xml:space="preserve">has_green_framework</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Binary indicator (= 1) if issuer has a documented framework</w:t>
            </w:r>
          </w:p>
        </w:tc>
      </w:tr>
    </w:tbl>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rPr/>
      </w:pPr>
      <w:bookmarkStart w:colFirst="0" w:colLast="0" w:name="_xejzxwfq8ez5" w:id="1"/>
      <w:bookmarkEnd w:id="1"/>
      <w:r w:rsidDel="00000000" w:rsidR="00000000" w:rsidRPr="00000000">
        <w:rPr>
          <w:rtl w:val="0"/>
        </w:rPr>
        <w:t xml:space="preserve">3.4. Research Models</w:t>
      </w:r>
    </w:p>
    <w:p w:rsidR="00000000" w:rsidDel="00000000" w:rsidP="00000000" w:rsidRDefault="00000000" w:rsidRPr="00000000" w14:paraId="0000005C">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3.4.1. Propensity Score Matching Model (First Stage)</w:t>
      </w:r>
    </w:p>
    <w:p w:rsidR="00000000" w:rsidDel="00000000" w:rsidP="00000000" w:rsidRDefault="00000000" w:rsidRPr="00000000" w14:paraId="0000005D">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3.4.1.1. Theoretical Foundation</w:t>
      </w:r>
    </w:p>
    <w:p w:rsidR="00000000" w:rsidDel="00000000" w:rsidP="00000000" w:rsidRDefault="00000000" w:rsidRPr="00000000" w14:paraId="0000005E">
      <w:pPr>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The Propensity Score Matching (PSM) procedure addresses selection on observables by balancing the distribution of pre-treatment covariates between treated and control groups (Rosenbaum &amp; Rubin, 1983). The propensity score, defined as the conditional probability of treatment given observed covariates, serves as a balancing score: conditional on the propensity score, the distribution of covariates is independent of treatment assignment.</w:t>
      </w:r>
      <w:r w:rsidDel="00000000" w:rsidR="00000000" w:rsidRPr="00000000">
        <w:rPr>
          <w:rtl w:val="0"/>
        </w:rPr>
      </w:r>
    </w:p>
    <w:p w:rsidR="00000000" w:rsidDel="00000000" w:rsidP="00000000" w:rsidRDefault="00000000" w:rsidRPr="00000000" w14:paraId="0000005F">
      <w:pPr>
        <w:spacing w:after="240" w:lineRule="auto"/>
        <w:jc w:val="center"/>
        <w:rPr>
          <w:rFonts w:ascii="Times New Roman" w:cs="Times New Roman" w:eastAsia="Times New Roman" w:hAnsi="Times New Roman"/>
          <w:i w:val="1"/>
          <w:iCs w:val="1"/>
          <w:sz w:val="26"/>
          <w:szCs w:val="26"/>
        </w:rPr>
      </w:pPr>
      <m:oMath>
        <m:r>
          <w:rPr>
            <w:rFonts w:ascii="Times New Roman" w:cs="Times New Roman" w:eastAsia="Times New Roman" w:hAnsi="Times New Roman"/>
            <w:i w:val="1"/>
            <w:iCs w:val="1"/>
            <w:sz w:val="26"/>
            <w:szCs w:val="26"/>
          </w:rPr>
          <m:t xml:space="preserve">e(</m:t>
        </m:r>
        <m:sSub>
          <m:sSubPr>
            <m:ctrlPr>
              <w:rPr>
                <w:rFonts w:ascii="Times New Roman" w:cs="Times New Roman" w:eastAsia="Times New Roman" w:hAnsi="Times New Roman"/>
                <w:i w:val="1"/>
                <w:iCs w:val="1"/>
                <w:sz w:val="26"/>
                <w:szCs w:val="26"/>
              </w:rPr>
            </m:ctrlPr>
          </m:sSubPr>
          <m:e>
            <m:r>
              <w:rPr>
                <w:rFonts w:ascii="Times New Roman" w:cs="Times New Roman" w:eastAsia="Times New Roman" w:hAnsi="Times New Roman"/>
                <w:i w:val="1"/>
                <w:iCs w:val="1"/>
                <w:sz w:val="26"/>
                <w:szCs w:val="26"/>
              </w:rPr>
              <m:t xml:space="preserve">X</m:t>
            </m:r>
          </m:e>
          <m:sub>
            <m:r>
              <w:rPr>
                <w:rFonts w:ascii="Times New Roman" w:cs="Times New Roman" w:eastAsia="Times New Roman" w:hAnsi="Times New Roman"/>
                <w:i w:val="1"/>
                <w:iCs w:val="1"/>
                <w:sz w:val="26"/>
                <w:szCs w:val="26"/>
              </w:rPr>
              <m:t xml:space="preserve">i</m:t>
            </m:r>
          </m:sub>
        </m:sSub>
        <m:r>
          <w:rPr>
            <w:rFonts w:ascii="Times New Roman" w:cs="Times New Roman" w:eastAsia="Times New Roman" w:hAnsi="Times New Roman"/>
            <w:i w:val="1"/>
            <w:iCs w:val="1"/>
            <w:sz w:val="26"/>
            <w:szCs w:val="26"/>
          </w:rPr>
          <m:t xml:space="preserve">) </m:t>
        </m:r>
        <m:r>
          <w:rPr>
            <w:rFonts w:ascii="Times New Roman" w:cs="Times New Roman" w:eastAsia="Times New Roman" w:hAnsi="Times New Roman"/>
            <w:i w:val="1"/>
            <w:iCs w:val="1"/>
            <w:color w:val="a9b1d6"/>
            <w:sz w:val="26"/>
            <w:szCs w:val="26"/>
          </w:rPr>
          <m:t xml:space="preserve">= P(</m:t>
        </m:r>
        <m:sSub>
          <m:sSubPr>
            <m:ctrlPr>
              <w:rPr>
                <w:rFonts w:ascii="Times New Roman" w:cs="Times New Roman" w:eastAsia="Times New Roman" w:hAnsi="Times New Roman"/>
                <w:i w:val="1"/>
                <w:iCs w:val="1"/>
                <w:color w:val="a9b1d6"/>
                <w:sz w:val="26"/>
                <w:szCs w:val="26"/>
              </w:rPr>
            </m:ctrlPr>
          </m:sSubPr>
          <m:e>
            <m:r>
              <w:rPr>
                <w:rFonts w:ascii="Times New Roman" w:cs="Times New Roman" w:eastAsia="Times New Roman" w:hAnsi="Times New Roman"/>
                <w:i w:val="1"/>
                <w:iCs w:val="1"/>
                <w:color w:val="a9b1d6"/>
                <w:sz w:val="26"/>
                <w:szCs w:val="26"/>
              </w:rPr>
              <m:t xml:space="preserve">D</m:t>
            </m:r>
          </m:e>
          <m:sub>
            <m:r>
              <w:rPr>
                <w:rFonts w:ascii="Times New Roman" w:cs="Times New Roman" w:eastAsia="Times New Roman" w:hAnsi="Times New Roman"/>
                <w:i w:val="1"/>
                <w:iCs w:val="1"/>
                <w:color w:val="a9b1d6"/>
                <w:sz w:val="26"/>
                <w:szCs w:val="26"/>
              </w:rPr>
              <m:t xml:space="preserve">i</m:t>
            </m:r>
          </m:sub>
        </m:sSub>
        <m:r>
          <w:rPr>
            <w:rFonts w:ascii="Times New Roman" w:cs="Times New Roman" w:eastAsia="Times New Roman" w:hAnsi="Times New Roman"/>
            <w:i w:val="1"/>
            <w:iCs w:val="1"/>
            <w:color w:val="a9b1d6"/>
            <w:sz w:val="26"/>
            <w:szCs w:val="26"/>
          </w:rPr>
          <m:t xml:space="preserve">=1|</m:t>
        </m:r>
        <m:sSub>
          <m:sSubPr>
            <m:ctrlPr>
              <w:rPr>
                <w:rFonts w:ascii="Times New Roman" w:cs="Times New Roman" w:eastAsia="Times New Roman" w:hAnsi="Times New Roman"/>
                <w:i w:val="1"/>
                <w:iCs w:val="1"/>
                <w:color w:val="a9b1d6"/>
                <w:sz w:val="26"/>
                <w:szCs w:val="26"/>
              </w:rPr>
            </m:ctrlPr>
          </m:sSubPr>
          <m:e>
            <m:r>
              <w:rPr>
                <w:rFonts w:ascii="Times New Roman" w:cs="Times New Roman" w:eastAsia="Times New Roman" w:hAnsi="Times New Roman"/>
                <w:i w:val="1"/>
                <w:iCs w:val="1"/>
                <w:color w:val="a9b1d6"/>
                <w:sz w:val="26"/>
                <w:szCs w:val="26"/>
              </w:rPr>
              <m:t xml:space="preserve">X</m:t>
            </m:r>
          </m:e>
          <m:sub>
            <m:r>
              <w:rPr>
                <w:rFonts w:ascii="Times New Roman" w:cs="Times New Roman" w:eastAsia="Times New Roman" w:hAnsi="Times New Roman"/>
                <w:i w:val="1"/>
                <w:iCs w:val="1"/>
                <w:color w:val="a9b1d6"/>
                <w:sz w:val="26"/>
                <w:szCs w:val="26"/>
              </w:rPr>
              <m:t xml:space="preserve">i</m:t>
            </m:r>
          </m:sub>
        </m:sSub>
        <m:r>
          <w:rPr>
            <w:rFonts w:ascii="Times New Roman" w:cs="Times New Roman" w:eastAsia="Times New Roman" w:hAnsi="Times New Roman"/>
            <w:i w:val="1"/>
            <w:iCs w:val="1"/>
            <w:color w:val="a9b1d6"/>
            <w:sz w:val="26"/>
            <w:szCs w:val="26"/>
          </w:rPr>
          <m:t xml:space="preserve">)</m:t>
        </m:r>
      </m:oMath>
      <w:r w:rsidDel="00000000" w:rsidR="00000000" w:rsidRPr="00000000">
        <w:rPr>
          <w:rtl w:val="0"/>
        </w:rPr>
      </w:r>
    </w:p>
    <w:p w:rsidR="00000000" w:rsidDel="00000000" w:rsidP="00000000" w:rsidRDefault="00000000" w:rsidRPr="00000000" w14:paraId="00000060">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Formula 1: The Propensity Score </w:t>
      </w:r>
    </w:p>
    <w:p w:rsidR="00000000" w:rsidDel="00000000" w:rsidP="00000000" w:rsidRDefault="00000000" w:rsidRPr="00000000" w14:paraId="0000006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w:t>
      </w:r>
      <m:oMath>
        <m:sSub>
          <m:sSubPr>
            <m:ctrlPr>
              <w:rPr>
                <w:rFonts w:ascii="Times New Roman" w:cs="Times New Roman" w:eastAsia="Times New Roman" w:hAnsi="Times New Roman"/>
                <w:i w:val="1"/>
                <w:iCs w:val="1"/>
                <w:color w:val="a9b1d6"/>
                <w:sz w:val="26"/>
                <w:szCs w:val="26"/>
              </w:rPr>
            </m:ctrlPr>
          </m:sSubPr>
          <m:e>
            <m:r>
              <w:rPr>
                <w:rFonts w:ascii="Times New Roman" w:cs="Times New Roman" w:eastAsia="Times New Roman" w:hAnsi="Times New Roman"/>
                <w:i w:val="1"/>
                <w:iCs w:val="1"/>
                <w:color w:val="a9b1d6"/>
                <w:sz w:val="26"/>
                <w:szCs w:val="26"/>
              </w:rPr>
              <m:t xml:space="preserve">D</m:t>
            </m:r>
          </m:e>
          <m:sub>
            <m:r>
              <w:rPr>
                <w:rFonts w:ascii="Times New Roman" w:cs="Times New Roman" w:eastAsia="Times New Roman" w:hAnsi="Times New Roman"/>
                <w:i w:val="1"/>
                <w:iCs w:val="1"/>
                <w:color w:val="a9b1d6"/>
                <w:sz w:val="26"/>
                <w:szCs w:val="26"/>
              </w:rPr>
              <m:t xml:space="preserve">i</m:t>
            </m:r>
          </m:sub>
        </m:sSub>
        <m:r>
          <w:rPr>
            <w:rFonts w:ascii="Times New Roman" w:cs="Times New Roman" w:eastAsia="Times New Roman" w:hAnsi="Times New Roman"/>
            <w:i w:val="1"/>
            <w:iCs w:val="1"/>
            <w:color w:val="a9b1d6"/>
            <w:sz w:val="26"/>
            <w:szCs w:val="26"/>
          </w:rPr>
          <m:t xml:space="preserve">=1</m:t>
        </m:r>
      </m:oMath>
      <w:r w:rsidDel="00000000" w:rsidR="00000000" w:rsidRPr="00000000">
        <w:rPr>
          <w:rFonts w:ascii="Times New Roman" w:cs="Times New Roman" w:eastAsia="Times New Roman" w:hAnsi="Times New Roman"/>
          <w:i w:val="1"/>
          <w:iCs w:val="1"/>
          <w:sz w:val="26"/>
          <w:szCs w:val="26"/>
          <w:vertAlign w:val="subscript"/>
          <w:rtl w:val="0"/>
        </w:rPr>
        <w:t xml:space="preserve"> </w:t>
      </w:r>
      <w:r w:rsidDel="00000000" w:rsidR="00000000" w:rsidRPr="00000000">
        <w:rPr>
          <w:rFonts w:ascii="Times New Roman" w:cs="Times New Roman" w:eastAsia="Times New Roman" w:hAnsi="Times New Roman"/>
          <w:sz w:val="26"/>
          <w:szCs w:val="26"/>
          <w:rtl w:val="0"/>
        </w:rPr>
        <w:t xml:space="preserve">if firm </w:t>
      </w:r>
      <w:r w:rsidDel="00000000" w:rsidR="00000000" w:rsidRPr="00000000">
        <w:rPr>
          <w:rFonts w:ascii="Times New Roman" w:cs="Times New Roman" w:eastAsia="Times New Roman" w:hAnsi="Times New Roman"/>
          <w:i w:val="1"/>
          <w:iCs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issued a green bond, </w:t>
      </w:r>
      <m:oMath>
        <m:sSub>
          <m:sSubPr>
            <m:ctrlPr>
              <w:rPr>
                <w:rFonts w:ascii="Times New Roman" w:cs="Times New Roman" w:eastAsia="Times New Roman" w:hAnsi="Times New Roman"/>
                <w:i w:val="1"/>
                <w:iCs w:val="1"/>
                <w:color w:val="a9b1d6"/>
                <w:sz w:val="26"/>
                <w:szCs w:val="26"/>
              </w:rPr>
            </m:ctrlPr>
          </m:sSubPr>
          <m:e>
            <m:r>
              <w:rPr>
                <w:rFonts w:ascii="Times New Roman" w:cs="Times New Roman" w:eastAsia="Times New Roman" w:hAnsi="Times New Roman"/>
                <w:i w:val="1"/>
                <w:iCs w:val="1"/>
                <w:color w:val="a9b1d6"/>
                <w:sz w:val="26"/>
                <w:szCs w:val="26"/>
              </w:rPr>
              <m:t xml:space="preserve">X</m:t>
            </m:r>
          </m:e>
          <m:sub>
            <m:r>
              <w:rPr>
                <w:rFonts w:ascii="Times New Roman" w:cs="Times New Roman" w:eastAsia="Times New Roman" w:hAnsi="Times New Roman"/>
                <w:i w:val="1"/>
                <w:iCs w:val="1"/>
                <w:color w:val="a9b1d6"/>
                <w:sz w:val="26"/>
                <w:szCs w:val="26"/>
              </w:rPr>
              <m:t xml:space="preserve">i</m:t>
            </m:r>
          </m:sub>
        </m:sSub>
      </m:oMath>
      <w:r w:rsidDel="00000000" w:rsidR="00000000" w:rsidRPr="00000000">
        <w:rPr>
          <w:rFonts w:ascii="Times New Roman" w:cs="Times New Roman" w:eastAsia="Times New Roman" w:hAnsi="Times New Roman"/>
          <w:sz w:val="26"/>
          <w:szCs w:val="26"/>
          <w:rtl w:val="0"/>
        </w:rPr>
        <w:t xml:space="preserve"> is the covariate vector. The balancing property is </w:t>
      </w:r>
      <m:oMath>
        <m:d>
          <m:dPr>
            <m:begChr m:val="("/>
            <m:endChr m:val=")"/>
            <m:ctrlPr>
              <w:rPr>
                <w:rFonts w:ascii="Times New Roman" w:cs="Times New Roman" w:eastAsia="Times New Roman" w:hAnsi="Times New Roman"/>
                <w:sz w:val="26"/>
                <w:szCs w:val="26"/>
              </w:rPr>
            </m:ctrlPr>
          </m:d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 ⊥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e>
        </m:d>
      </m:oMath>
      <w:r w:rsidDel="00000000" w:rsidR="00000000" w:rsidRPr="00000000">
        <w:rPr>
          <w:rFonts w:ascii="Times New Roman" w:cs="Times New Roman" w:eastAsia="Times New Roman" w:hAnsi="Times New Roman"/>
          <w:sz w:val="26"/>
          <w:szCs w:val="26"/>
          <w:rtl w:val="0"/>
        </w:rPr>
        <w:t xml:space="preserve">. The score therefore acts as a balancing score.</w:t>
      </w:r>
    </w:p>
    <w:p w:rsidR="00000000" w:rsidDel="00000000" w:rsidP="00000000" w:rsidRDefault="00000000" w:rsidRPr="00000000" w14:paraId="00000062">
      <w:pPr>
        <w:spacing w:after="240" w:lineRule="auto"/>
        <w:jc w:val="both"/>
        <w:rPr>
          <w:rFonts w:ascii="Times New Roman" w:cs="Times New Roman" w:eastAsia="Times New Roman" w:hAnsi="Times New Roman"/>
          <w:color w:val="a9b1d6"/>
          <w:sz w:val="26"/>
          <w:szCs w:val="26"/>
        </w:rPr>
      </w:pPr>
      <w:r w:rsidDel="00000000" w:rsidR="00000000" w:rsidRPr="00000000">
        <w:rPr>
          <w:rFonts w:ascii="Times New Roman" w:cs="Times New Roman" w:eastAsia="Times New Roman" w:hAnsi="Times New Roman"/>
          <w:sz w:val="26"/>
          <w:szCs w:val="26"/>
          <w:rtl w:val="0"/>
        </w:rPr>
        <w:t xml:space="preserve">For identifying the Average Treatment Effect on the Treated (ATT), the Conditional Independence Assumption (CIA) is the core requirement. This assumption ensures that treatment assignment is independent of potential outcomes conditional on the observed covariates, effectively allowing for a causal interpretation by simulating a randomized experimental design within the observational data.</w:t>
      </w:r>
      <w:r w:rsidDel="00000000" w:rsidR="00000000" w:rsidRPr="00000000">
        <w:rPr>
          <w:rtl w:val="0"/>
        </w:rPr>
      </w:r>
    </w:p>
    <w:p w:rsidR="00000000" w:rsidDel="00000000" w:rsidP="00000000" w:rsidRDefault="00000000" w:rsidRPr="00000000" w14:paraId="00000063">
      <w:pPr>
        <w:spacing w:after="240" w:lineRule="auto"/>
        <w:jc w:val="center"/>
        <w:rPr>
          <w:rFonts w:ascii="Times New Roman" w:cs="Times New Roman" w:eastAsia="Times New Roman" w:hAnsi="Times New Roman"/>
          <w:i w:val="1"/>
          <w:iCs w:val="1"/>
          <w:sz w:val="26"/>
          <w:szCs w:val="26"/>
        </w:rPr>
      </w:pPr>
      <m:oMath>
        <m:d>
          <m:dPr>
            <m:begChr m:val="{"/>
            <m:endChr m:val="}"/>
            <m:ctrlPr>
              <w:rPr>
                <w:rFonts w:ascii="Times New Roman" w:cs="Times New Roman" w:eastAsia="Times New Roman" w:hAnsi="Times New Roman"/>
                <w:i w:val="1"/>
                <w:iCs w:val="1"/>
                <w:sz w:val="26"/>
                <w:szCs w:val="26"/>
              </w:rPr>
            </m:ctrlPr>
          </m:dPr>
          <m:e>
            <m:sSubSup>
              <m:sSubSupPr>
                <m:ctrlPr>
                  <w:rPr>
                    <w:rFonts w:ascii="Times New Roman" w:cs="Times New Roman" w:eastAsia="Times New Roman" w:hAnsi="Times New Roman"/>
                    <w:i w:val="1"/>
                    <w:iCs w:val="1"/>
                    <w:sz w:val="26"/>
                    <w:szCs w:val="26"/>
                  </w:rPr>
                </m:ctrlPr>
              </m:sSubSupPr>
              <m:e>
                <m:r>
                  <w:rPr>
                    <w:rFonts w:ascii="Times New Roman" w:cs="Times New Roman" w:eastAsia="Times New Roman" w:hAnsi="Times New Roman"/>
                    <w:i w:val="1"/>
                    <w:iCs w:val="1"/>
                    <w:sz w:val="26"/>
                    <w:szCs w:val="26"/>
                  </w:rPr>
                  <m:t xml:space="preserve">Y</m:t>
                </m:r>
              </m:e>
              <m:sub>
                <m:r>
                  <w:rPr>
                    <w:rFonts w:ascii="Times New Roman" w:cs="Times New Roman" w:eastAsia="Times New Roman" w:hAnsi="Times New Roman"/>
                    <w:i w:val="1"/>
                    <w:iCs w:val="1"/>
                    <w:sz w:val="26"/>
                    <w:szCs w:val="26"/>
                  </w:rPr>
                  <m:t xml:space="preserve">i</m:t>
                </m:r>
              </m:sub>
              <m:sup>
                <m:r>
                  <w:rPr>
                    <w:rFonts w:ascii="Times New Roman" w:cs="Times New Roman" w:eastAsia="Times New Roman" w:hAnsi="Times New Roman"/>
                    <w:i w:val="1"/>
                    <w:iCs w:val="1"/>
                    <w:sz w:val="26"/>
                    <w:szCs w:val="26"/>
                  </w:rPr>
                  <m:t xml:space="preserve">(0)</m:t>
                </m:r>
              </m:sup>
            </m:sSubSup>
            <m:r>
              <w:rPr>
                <w:rFonts w:ascii="Times New Roman" w:cs="Times New Roman" w:eastAsia="Times New Roman" w:hAnsi="Times New Roman"/>
                <w:i w:val="1"/>
                <w:iCs w:val="1"/>
                <w:sz w:val="26"/>
                <w:szCs w:val="26"/>
              </w:rPr>
              <m:t xml:space="preserve">,</m:t>
            </m:r>
            <m:sSubSup>
              <m:sSubSupPr>
                <m:ctrlPr>
                  <w:rPr>
                    <w:rFonts w:ascii="Times New Roman" w:cs="Times New Roman" w:eastAsia="Times New Roman" w:hAnsi="Times New Roman"/>
                    <w:i w:val="1"/>
                    <w:iCs w:val="1"/>
                    <w:sz w:val="26"/>
                    <w:szCs w:val="26"/>
                  </w:rPr>
                </m:ctrlPr>
              </m:sSubSupPr>
              <m:e>
                <m:r>
                  <w:rPr>
                    <w:rFonts w:ascii="Times New Roman" w:cs="Times New Roman" w:eastAsia="Times New Roman" w:hAnsi="Times New Roman"/>
                    <w:i w:val="1"/>
                    <w:iCs w:val="1"/>
                    <w:sz w:val="26"/>
                    <w:szCs w:val="26"/>
                  </w:rPr>
                  <m:t xml:space="preserve">Y</m:t>
                </m:r>
              </m:e>
              <m:sub>
                <m:r>
                  <w:rPr>
                    <w:rFonts w:ascii="Times New Roman" w:cs="Times New Roman" w:eastAsia="Times New Roman" w:hAnsi="Times New Roman"/>
                    <w:i w:val="1"/>
                    <w:iCs w:val="1"/>
                    <w:sz w:val="26"/>
                    <w:szCs w:val="26"/>
                  </w:rPr>
                  <m:t xml:space="preserve">i</m:t>
                </m:r>
              </m:sub>
              <m:sup>
                <m:r>
                  <w:rPr>
                    <w:rFonts w:ascii="Times New Roman" w:cs="Times New Roman" w:eastAsia="Times New Roman" w:hAnsi="Times New Roman"/>
                    <w:i w:val="1"/>
                    <w:iCs w:val="1"/>
                    <w:sz w:val="26"/>
                    <w:szCs w:val="26"/>
                  </w:rPr>
                  <m:t xml:space="preserve">(1)</m:t>
                </m:r>
              </m:sup>
            </m:sSubSup>
          </m:e>
        </m:d>
        <m:r>
          <w:rPr>
            <w:rFonts w:ascii="Times New Roman" w:cs="Times New Roman" w:eastAsia="Times New Roman" w:hAnsi="Times New Roman"/>
            <w:i w:val="1"/>
            <w:iCs w:val="1"/>
            <w:sz w:val="26"/>
            <w:szCs w:val="26"/>
          </w:rPr>
          <m:t xml:space="preserve"> </m:t>
        </m:r>
        <m:r>
          <w:rPr>
            <w:rFonts w:ascii="Times New Roman" w:cs="Times New Roman" w:eastAsia="Times New Roman" w:hAnsi="Times New Roman"/>
            <w:i w:val="1"/>
            <w:iCs w:val="1"/>
            <w:color w:val="a9b1d6"/>
            <w:sz w:val="26"/>
            <w:szCs w:val="26"/>
          </w:rPr>
          <m:t xml:space="preserve">⊥ </m:t>
        </m:r>
        <m:sSub>
          <m:sSubPr>
            <m:ctrlPr>
              <w:rPr>
                <w:rFonts w:ascii="Times New Roman" w:cs="Times New Roman" w:eastAsia="Times New Roman" w:hAnsi="Times New Roman"/>
                <w:i w:val="1"/>
                <w:iCs w:val="1"/>
                <w:sz w:val="26"/>
                <w:szCs w:val="26"/>
              </w:rPr>
            </m:ctrlPr>
          </m:sSubPr>
          <m:e>
            <m:r>
              <w:rPr>
                <w:rFonts w:ascii="Times New Roman" w:cs="Times New Roman" w:eastAsia="Times New Roman" w:hAnsi="Times New Roman"/>
                <w:i w:val="1"/>
                <w:iCs w:val="1"/>
                <w:sz w:val="26"/>
                <w:szCs w:val="26"/>
              </w:rPr>
              <m:t xml:space="preserve">D</m:t>
            </m:r>
          </m:e>
          <m:sub>
            <m:r>
              <w:rPr>
                <w:rFonts w:ascii="Times New Roman" w:cs="Times New Roman" w:eastAsia="Times New Roman" w:hAnsi="Times New Roman"/>
                <w:i w:val="1"/>
                <w:iCs w:val="1"/>
                <w:sz w:val="26"/>
                <w:szCs w:val="26"/>
              </w:rPr>
              <m:t xml:space="preserve">i</m:t>
            </m:r>
          </m:sub>
        </m:sSub>
        <m:r>
          <w:rPr>
            <w:rFonts w:ascii="Times New Roman" w:cs="Times New Roman" w:eastAsia="Times New Roman" w:hAnsi="Times New Roman"/>
            <w:i w:val="1"/>
            <w:iCs w:val="1"/>
            <w:sz w:val="26"/>
            <w:szCs w:val="26"/>
          </w:rPr>
          <m:t xml:space="preserve"> | </m:t>
        </m:r>
        <m:sSub>
          <m:sSubPr>
            <m:ctrlPr>
              <w:rPr>
                <w:rFonts w:ascii="Times New Roman" w:cs="Times New Roman" w:eastAsia="Times New Roman" w:hAnsi="Times New Roman"/>
                <w:i w:val="1"/>
                <w:iCs w:val="1"/>
                <w:sz w:val="26"/>
                <w:szCs w:val="26"/>
              </w:rPr>
            </m:ctrlPr>
          </m:sSubPr>
          <m:e>
            <m:r>
              <w:rPr>
                <w:rFonts w:ascii="Times New Roman" w:cs="Times New Roman" w:eastAsia="Times New Roman" w:hAnsi="Times New Roman"/>
                <w:i w:val="1"/>
                <w:iCs w:val="1"/>
                <w:sz w:val="26"/>
                <w:szCs w:val="26"/>
              </w:rPr>
              <m:t xml:space="preserve">X</m:t>
            </m:r>
          </m:e>
          <m:sub>
            <m:r>
              <w:rPr>
                <w:rFonts w:ascii="Times New Roman" w:cs="Times New Roman" w:eastAsia="Times New Roman" w:hAnsi="Times New Roman"/>
                <w:i w:val="1"/>
                <w:iCs w:val="1"/>
                <w:sz w:val="26"/>
                <w:szCs w:val="26"/>
              </w:rPr>
              <m:t xml:space="preserve">i</m:t>
            </m:r>
          </m:sub>
        </m:sSub>
      </m:oMath>
      <w:r w:rsidDel="00000000" w:rsidR="00000000" w:rsidRPr="00000000">
        <w:rPr>
          <w:rtl w:val="0"/>
        </w:rPr>
      </w:r>
    </w:p>
    <w:p w:rsidR="00000000" w:rsidDel="00000000" w:rsidP="00000000" w:rsidRDefault="00000000" w:rsidRPr="00000000" w14:paraId="00000064">
      <w:pPr>
        <w:spacing w:after="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Formula 2: Conditional Independence Assumption (CIA)</w:t>
      </w:r>
      <w:r w:rsidDel="00000000" w:rsidR="00000000" w:rsidRPr="00000000">
        <w:rPr>
          <w:rtl w:val="0"/>
        </w:rPr>
      </w:r>
    </w:p>
    <w:p w:rsidR="00000000" w:rsidDel="00000000" w:rsidP="00000000" w:rsidRDefault="00000000" w:rsidRPr="00000000" w14:paraId="00000065">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3.4.1.2. Propensity Score Estimation</w:t>
      </w:r>
    </w:p>
    <w:p w:rsidR="00000000" w:rsidDel="00000000" w:rsidP="00000000" w:rsidRDefault="00000000" w:rsidRPr="00000000" w14:paraId="0000006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estimate the propensity scores, an enhanced logistic regression model is employed, specified as: </w:t>
      </w:r>
    </w:p>
    <w:p w:rsidR="00000000" w:rsidDel="00000000" w:rsidP="00000000" w:rsidRDefault="00000000" w:rsidRPr="00000000" w14:paraId="00000067">
      <w:pPr>
        <w:spacing w:after="240" w:lineRule="auto"/>
        <w:jc w:val="center"/>
        <w:rPr>
          <w:rFonts w:ascii="Times New Roman" w:cs="Times New Roman" w:eastAsia="Times New Roman" w:hAnsi="Times New Roman"/>
          <w:sz w:val="26"/>
          <w:szCs w:val="26"/>
          <w:vertAlign w:val="subscript"/>
        </w:rPr>
      </w:pPr>
      <m:oMath>
        <m:box>
          <m:boxPr>
            <m:opEmu m:val="1"/>
          </m:boxPr>
          <m:e>
            <m:r>
              <m:t>log</m:t>
            </m:r>
          </m:e>
        </m:box>
        <m:d>
          <m:dPr>
            <m:begChr m:val="("/>
            <m:endChr m:val=")"/>
          </m:dPr>
          <m:e>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num>
              <m:den>
                <m:r>
                  <w:rPr>
                    <w:rFonts w:ascii="Times New Roman" w:cs="Times New Roman" w:eastAsia="Times New Roman" w:hAnsi="Times New Roman"/>
                    <w:sz w:val="26"/>
                    <w:szCs w:val="26"/>
                  </w:rPr>
                  <m:t xml:space="preserve">1-e(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den>
            </m:f>
          </m:e>
        </m:d>
        <m:r>
          <w:rPr>
            <w:rFonts w:ascii="Times New Roman" w:cs="Times New Roman" w:eastAsia="Times New Roman" w:hAnsi="Times New Roman"/>
            <w:sz w:val="26"/>
            <w:szCs w:val="26"/>
          </w:rPr>
          <m:t xml:space="preserve"> =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β</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j=1</m:t>
            </m:r>
          </m:sub>
          <m:sup>
            <m:r>
              <w:rPr>
                <w:rFonts w:ascii="Times New Roman" w:cs="Times New Roman" w:eastAsia="Times New Roman" w:hAnsi="Times New Roman"/>
                <w:sz w:val="26"/>
                <w:szCs w:val="26"/>
              </w:rPr>
              <m:t xml:space="preserve">n</m:t>
            </m:r>
          </m:sup>
        </m:nary>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β</m:t>
            </m:r>
          </m:e>
          <m:sub>
            <m:r>
              <w:rPr>
                <w:rFonts w:ascii="Times New Roman" w:cs="Times New Roman" w:eastAsia="Times New Roman" w:hAnsi="Times New Roman"/>
                <w:sz w:val="26"/>
                <w:szCs w:val="26"/>
              </w:rPr>
              <m:t xml:space="preserve">j</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ij</m:t>
            </m:r>
          </m:sub>
        </m:sSub>
        <m:r>
          <w:rPr>
            <w:rFonts w:ascii="Times New Roman" w:cs="Times New Roman" w:eastAsia="Times New Roman" w:hAnsi="Times New Roman"/>
            <w:sz w:val="26"/>
            <w:szCs w:val="26"/>
          </w:rPr>
          <m:t xml:space="preserve">+</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k=1</m:t>
            </m:r>
          </m:sub>
          <m:sup>
            <m:r>
              <w:rPr>
                <w:rFonts w:ascii="Times New Roman" w:cs="Times New Roman" w:eastAsia="Times New Roman" w:hAnsi="Times New Roman"/>
                <w:sz w:val="26"/>
                <w:szCs w:val="26"/>
              </w:rPr>
              <m:t xml:space="preserve">7</m:t>
            </m:r>
          </m:sup>
        </m:nary>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γ</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Industr</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m=1</m:t>
            </m:r>
          </m:sub>
          <m:sup>
            <m:r>
              <w:rPr>
                <w:rFonts w:ascii="Times New Roman" w:cs="Times New Roman" w:eastAsia="Times New Roman" w:hAnsi="Times New Roman"/>
                <w:sz w:val="26"/>
                <w:szCs w:val="26"/>
              </w:rPr>
              <m:t xml:space="preserve">5</m:t>
            </m:r>
          </m:sup>
        </m:nary>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δ</m:t>
            </m:r>
          </m:e>
          <m:sub>
            <m:r>
              <w:rPr>
                <w:rFonts w:ascii="Times New Roman" w:cs="Times New Roman" w:eastAsia="Times New Roman" w:hAnsi="Times New Roman"/>
                <w:sz w:val="26"/>
                <w:szCs w:val="26"/>
              </w:rPr>
              <m:t xml:space="preserve">m</m:t>
            </m:r>
          </m:sub>
        </m:sSub>
        <m:r>
          <w:rPr>
            <w:rFonts w:ascii="Times New Roman" w:cs="Times New Roman" w:eastAsia="Times New Roman" w:hAnsi="Times New Roman"/>
            <w:sz w:val="26"/>
            <w:szCs w:val="26"/>
          </w:rPr>
          <m:t xml:space="preserve">Countr</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m</m:t>
            </m:r>
          </m:sub>
        </m:sSub>
      </m:oMath>
      <w:r w:rsidDel="00000000" w:rsidR="00000000" w:rsidRPr="00000000">
        <w:rPr>
          <w:rtl w:val="0"/>
        </w:rPr>
      </w:r>
    </w:p>
    <w:p w:rsidR="00000000" w:rsidDel="00000000" w:rsidP="00000000" w:rsidRDefault="00000000" w:rsidRPr="00000000" w14:paraId="00000068">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Formula 3: Propensity Score Estimation Model (Logistic)</w:t>
      </w:r>
    </w:p>
    <w:p w:rsidR="00000000" w:rsidDel="00000000" w:rsidP="00000000" w:rsidRDefault="00000000" w:rsidRPr="00000000" w14:paraId="00000069">
      <w:pPr>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Note. </w:t>
      </w: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 are covariates described in the Table 3.3. </w:t>
      </w:r>
      <m:oMath>
        <m:r>
          <w:rPr>
            <w:rFonts w:ascii="Times New Roman" w:cs="Times New Roman" w:eastAsia="Times New Roman" w:hAnsi="Times New Roman"/>
            <w:sz w:val="26"/>
            <w:szCs w:val="26"/>
          </w:rPr>
          <m:t xml:space="preserve">Industry</m:t>
        </m:r>
      </m:oMath>
      <w:r w:rsidDel="00000000" w:rsidR="00000000" w:rsidRPr="00000000">
        <w:rPr>
          <w:rFonts w:ascii="Times New Roman" w:cs="Times New Roman" w:eastAsia="Times New Roman" w:hAnsi="Times New Roman"/>
          <w:sz w:val="26"/>
          <w:szCs w:val="26"/>
          <w:rtl w:val="0"/>
        </w:rPr>
        <w:t xml:space="preserve"> and </w:t>
      </w:r>
      <m:oMath>
        <m:r>
          <w:rPr>
            <w:rFonts w:ascii="Times New Roman" w:cs="Times New Roman" w:eastAsia="Times New Roman" w:hAnsi="Times New Roman"/>
            <w:sz w:val="26"/>
            <w:szCs w:val="26"/>
          </w:rPr>
          <m:t xml:space="preserve">Country</m:t>
        </m:r>
      </m:oMath>
      <w:r w:rsidDel="00000000" w:rsidR="00000000" w:rsidRPr="00000000">
        <w:rPr>
          <w:rFonts w:ascii="Times New Roman" w:cs="Times New Roman" w:eastAsia="Times New Roman" w:hAnsi="Times New Roman"/>
          <w:sz w:val="26"/>
          <w:szCs w:val="26"/>
          <w:rtl w:val="0"/>
        </w:rPr>
        <w:t xml:space="preserve"> explain the fixed effects specifically to the firm in its country.</w:t>
      </w:r>
      <w:r w:rsidDel="00000000" w:rsidR="00000000" w:rsidRPr="00000000">
        <w:rPr>
          <w:rtl w:val="0"/>
        </w:rPr>
      </w:r>
    </w:p>
    <w:p w:rsidR="00000000" w:rsidDel="00000000" w:rsidP="00000000" w:rsidRDefault="00000000" w:rsidRPr="00000000" w14:paraId="0000006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covariates capture the financial capacity (e.g., size, leverage, liquidity) and operational structure (e.g., turnover, capital intensity) hypothesized to influence the green bond issuance decision. The model also controls for fixed industry and country effects to account for regulatory heterogeneity and sectoral constraints. All continuous features are standardized to ensure numerical stability. To resolve issues of perfect and quasi-separation in sparse binary predictors—such as the presence of a green framework—the estimation employs L1 penalized logistic regression.</w:t>
      </w:r>
    </w:p>
    <w:p w:rsidR="00000000" w:rsidDel="00000000" w:rsidP="00000000" w:rsidRDefault="00000000" w:rsidRPr="00000000" w14:paraId="0000006B">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3.4.1.3. Matching Algorithm and Caliper Selection</w:t>
      </w:r>
    </w:p>
    <w:p w:rsidR="00000000" w:rsidDel="00000000" w:rsidP="00000000" w:rsidRDefault="00000000" w:rsidRPr="00000000" w14:paraId="0000006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matching procedure uses nearest-neighbor matching with replacement, matching one treated firm to up to four control firms (1:4 matching). The caliper is conventionally set at 0.25 standard deviations of the logit of the propensity score.</w:t>
      </w:r>
    </w:p>
    <w:p w:rsidR="00000000" w:rsidDel="00000000" w:rsidP="00000000" w:rsidRDefault="00000000" w:rsidRPr="00000000" w14:paraId="0000006D">
      <w:pPr>
        <w:spacing w:after="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Caliper=0.25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SD(e(X))</m:t>
        </m:r>
      </m:oMath>
      <w:r w:rsidDel="00000000" w:rsidR="00000000" w:rsidRPr="00000000">
        <w:rPr>
          <w:rtl w:val="0"/>
        </w:rPr>
      </w:r>
    </w:p>
    <w:p w:rsidR="00000000" w:rsidDel="00000000" w:rsidP="00000000" w:rsidRDefault="00000000" w:rsidRPr="00000000" w14:paraId="0000006E">
      <w:pPr>
        <w:spacing w:after="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Formula 4: Optimal Caliper Width Definition</w:t>
      </w:r>
      <w:r w:rsidDel="00000000" w:rsidR="00000000" w:rsidRPr="00000000">
        <w:rPr>
          <w:rtl w:val="0"/>
        </w:rPr>
      </w:r>
    </w:p>
    <w:p w:rsidR="00000000" w:rsidDel="00000000" w:rsidP="00000000" w:rsidRDefault="00000000" w:rsidRPr="00000000" w14:paraId="0000006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accommodating the extreme sparsity of the treatment group, a relaxed caliper of twice the standard Austin criterion is applied to maximize match retention while ensuring covariate balance. </w:t>
      </w:r>
    </w:p>
    <w:p w:rsidR="00000000" w:rsidDel="00000000" w:rsidP="00000000" w:rsidRDefault="00000000" w:rsidRPr="00000000" w14:paraId="00000070">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3.4.1.4. Common Support and Balance Assessment</w:t>
      </w:r>
    </w:p>
    <w:p w:rsidR="00000000" w:rsidDel="00000000" w:rsidP="00000000" w:rsidRDefault="00000000" w:rsidRPr="00000000" w14:paraId="0000007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Common support is rigorously enforced by trimming observations with extreme propensity scores (below 0.10 or above 0.90) (Crump et al., 2009). This enforces overlap and reduces extrapolation bias. Post-matching balance is verified using standardized mean differences (SMD), with all covariates required to fall below the acceptable threshold of 0.10 (Stuart &amp; Rubin, 2008).</w:t>
      </w:r>
    </w:p>
    <w:p w:rsidR="00000000" w:rsidDel="00000000" w:rsidP="00000000" w:rsidRDefault="00000000" w:rsidRPr="00000000" w14:paraId="00000072">
      <w:pP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spacing w:after="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SMD = </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X</m:t>
                    </m:r>
                  </m:e>
                </m:acc>
              </m:e>
              <m:sub>
                <m:r>
                  <w:rPr>
                    <w:rFonts w:ascii="Times New Roman" w:cs="Times New Roman" w:eastAsia="Times New Roman" w:hAnsi="Times New Roman"/>
                    <w:sz w:val="26"/>
                    <w:szCs w:val="26"/>
                  </w:rPr>
                  <m:t xml:space="preserve">treated</m:t>
                </m:r>
              </m:sub>
            </m:sSub>
            <m:r>
              <w:rPr>
                <w:rFonts w:ascii="Times New Roman" w:cs="Times New Roman" w:eastAsia="Times New Roman" w:hAnsi="Times New Roman"/>
                <w:sz w:val="26"/>
                <w:szCs w:val="26"/>
              </w:rPr>
              <m:t xml:space="preserve"> - </m:t>
            </m:r>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X</m:t>
                    </m:r>
                  </m:e>
                </m:acc>
              </m:e>
              <m:sub>
                <m:r>
                  <w:rPr>
                    <w:rFonts w:ascii="Times New Roman" w:cs="Times New Roman" w:eastAsia="Times New Roman" w:hAnsi="Times New Roman"/>
                    <w:sz w:val="26"/>
                    <w:szCs w:val="26"/>
                  </w:rPr>
                  <m:t xml:space="preserve">control</m:t>
                </m:r>
              </m:sub>
            </m:sSub>
          </m:num>
          <m:den>
            <m:rad>
              <m:radPr>
                <m:degHide m:val="1"/>
                <m:ctrlPr>
                  <w:rPr>
                    <w:rFonts w:ascii="Times New Roman" w:cs="Times New Roman" w:eastAsia="Times New Roman" w:hAnsi="Times New Roman"/>
                    <w:sz w:val="26"/>
                    <w:szCs w:val="26"/>
                  </w:rPr>
                </m:ctrlPr>
              </m:radPr>
              <m:e>
                <m:f>
                  <m:fPr>
                    <m:ctrlPr>
                      <w:rPr>
                        <w:rFonts w:ascii="Times New Roman" w:cs="Times New Roman" w:eastAsia="Times New Roman" w:hAnsi="Times New Roman"/>
                        <w:sz w:val="26"/>
                        <w:szCs w:val="26"/>
                      </w:rPr>
                    </m:ctrlPr>
                  </m:fPr>
                  <m:num>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treated</m:t>
                        </m:r>
                      </m:sub>
                      <m:sup>
                        <m:r>
                          <w:rPr>
                            <w:rFonts w:ascii="Times New Roman" w:cs="Times New Roman" w:eastAsia="Times New Roman" w:hAnsi="Times New Roman"/>
                            <w:sz w:val="26"/>
                            <w:szCs w:val="26"/>
                          </w:rPr>
                          <m:t xml:space="preserve">2</m:t>
                        </m:r>
                      </m:sup>
                    </m:sSubSup>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control</m:t>
                        </m:r>
                      </m:sub>
                      <m:sup>
                        <m:r>
                          <w:rPr>
                            <w:rFonts w:ascii="Times New Roman" w:cs="Times New Roman" w:eastAsia="Times New Roman" w:hAnsi="Times New Roman"/>
                            <w:sz w:val="26"/>
                            <w:szCs w:val="26"/>
                          </w:rPr>
                          <m:t xml:space="preserve">2</m:t>
                        </m:r>
                      </m:sup>
                    </m:sSubSup>
                  </m:num>
                  <m:den>
                    <m:r>
                      <w:rPr>
                        <w:rFonts w:ascii="Times New Roman" w:cs="Times New Roman" w:eastAsia="Times New Roman" w:hAnsi="Times New Roman"/>
                        <w:sz w:val="26"/>
                        <w:szCs w:val="26"/>
                      </w:rPr>
                      <m:t xml:space="preserve">2</m:t>
                    </m:r>
                  </m:den>
                </m:f>
              </m:e>
            </m:rad>
          </m:den>
        </m:f>
      </m:oMath>
      <w:r w:rsidDel="00000000" w:rsidR="00000000" w:rsidRPr="00000000">
        <w:rPr>
          <w:rtl w:val="0"/>
        </w:rPr>
      </w:r>
    </w:p>
    <w:p w:rsidR="00000000" w:rsidDel="00000000" w:rsidP="00000000" w:rsidRDefault="00000000" w:rsidRPr="00000000" w14:paraId="00000074">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Formula 5: Standardized Mean Difference (SMD)</w:t>
      </w:r>
    </w:p>
    <w:p w:rsidR="00000000" w:rsidDel="00000000" w:rsidP="00000000" w:rsidRDefault="00000000" w:rsidRPr="00000000" w14:paraId="0000007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3.4.2. Difference-in-Differences Model (Second Stage)</w:t>
      </w:r>
      <w:r w:rsidDel="00000000" w:rsidR="00000000" w:rsidRPr="00000000">
        <w:rPr>
          <w:rtl w:val="0"/>
        </w:rPr>
      </w:r>
    </w:p>
    <w:p w:rsidR="00000000" w:rsidDel="00000000" w:rsidP="00000000" w:rsidRDefault="00000000" w:rsidRPr="00000000" w14:paraId="0000007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3.4.2.1. Theoretical Framework</w:t>
      </w:r>
      <w:r w:rsidDel="00000000" w:rsidR="00000000" w:rsidRPr="00000000">
        <w:rPr>
          <w:rtl w:val="0"/>
        </w:rPr>
      </w:r>
    </w:p>
    <w:p w:rsidR="00000000" w:rsidDel="00000000" w:rsidP="00000000" w:rsidRDefault="00000000" w:rsidRPr="00000000" w14:paraId="0000007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Difference-in-Differences (DiD) estimator relies on the Parallel Trends Assumption, which posits that in the absence of treatment, the treated and control groups would have followed parallel trajectories in the outcome variables.</w:t>
      </w:r>
    </w:p>
    <w:p w:rsidR="00000000" w:rsidDel="00000000" w:rsidP="00000000" w:rsidRDefault="00000000" w:rsidRPr="00000000" w14:paraId="00000078">
      <w:pPr>
        <w:spacing w:after="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E</m:t>
        </m:r>
        <m:d>
          <m:dPr>
            <m:begChr m:val="["/>
            <m:endChr m:val="]"/>
            <m:ctrlPr>
              <w:rPr>
                <w:rFonts w:ascii="Times New Roman" w:cs="Times New Roman" w:eastAsia="Times New Roman" w:hAnsi="Times New Roman"/>
                <w:sz w:val="26"/>
                <w:szCs w:val="26"/>
              </w:rPr>
            </m:ctrlPr>
          </m:dPr>
          <m:e>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up>
                <m:r>
                  <w:rPr>
                    <w:rFonts w:ascii="Times New Roman" w:cs="Times New Roman" w:eastAsia="Times New Roman" w:hAnsi="Times New Roman"/>
                    <w:sz w:val="26"/>
                    <w:szCs w:val="26"/>
                  </w:rPr>
                  <m:t xml:space="preserve">(0)</m:t>
                </m:r>
              </m:sup>
            </m:sSubSup>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i,t-1</m:t>
                </m:r>
              </m:sub>
              <m:sup>
                <m:r>
                  <w:rPr>
                    <w:rFonts w:ascii="Times New Roman" w:cs="Times New Roman" w:eastAsia="Times New Roman" w:hAnsi="Times New Roman"/>
                    <w:sz w:val="26"/>
                    <w:szCs w:val="26"/>
                  </w:rPr>
                  <m:t xml:space="preserve">(0)</m:t>
                </m:r>
              </m:sup>
            </m:sSubSup>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=1</m:t>
            </m:r>
          </m:e>
        </m:d>
        <m:r>
          <w:rPr>
            <w:rFonts w:ascii="Times New Roman" w:cs="Times New Roman" w:eastAsia="Times New Roman" w:hAnsi="Times New Roman"/>
            <w:sz w:val="26"/>
            <w:szCs w:val="26"/>
          </w:rPr>
          <m:t xml:space="preserve">=E</m:t>
        </m:r>
        <m:d>
          <m:dPr>
            <m:begChr m:val="["/>
            <m:endChr m:val="]"/>
            <m:ctrlPr>
              <w:rPr>
                <w:rFonts w:ascii="Times New Roman" w:cs="Times New Roman" w:eastAsia="Times New Roman" w:hAnsi="Times New Roman"/>
                <w:sz w:val="26"/>
                <w:szCs w:val="26"/>
              </w:rPr>
            </m:ctrlPr>
          </m:dPr>
          <m:e>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up>
                <m:r>
                  <w:rPr>
                    <w:rFonts w:ascii="Times New Roman" w:cs="Times New Roman" w:eastAsia="Times New Roman" w:hAnsi="Times New Roman"/>
                    <w:sz w:val="26"/>
                    <w:szCs w:val="26"/>
                  </w:rPr>
                  <m:t xml:space="preserve">(0)</m:t>
                </m:r>
              </m:sup>
            </m:sSubSup>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i,t-1</m:t>
                </m:r>
              </m:sub>
              <m:sup>
                <m:r>
                  <w:rPr>
                    <w:rFonts w:ascii="Times New Roman" w:cs="Times New Roman" w:eastAsia="Times New Roman" w:hAnsi="Times New Roman"/>
                    <w:sz w:val="26"/>
                    <w:szCs w:val="26"/>
                  </w:rPr>
                  <m:t xml:space="preserve">(0)</m:t>
                </m:r>
              </m:sup>
            </m:sSubSup>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=0</m:t>
            </m:r>
          </m:e>
        </m:d>
      </m:oMath>
      <w:r w:rsidDel="00000000" w:rsidR="00000000" w:rsidRPr="00000000">
        <w:rPr>
          <w:rtl w:val="0"/>
        </w:rPr>
      </w:r>
    </w:p>
    <w:p w:rsidR="00000000" w:rsidDel="00000000" w:rsidP="00000000" w:rsidRDefault="00000000" w:rsidRPr="00000000" w14:paraId="00000079">
      <w:pPr>
        <w:spacing w:after="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Formula 6: Parallel Trends Assumption for Identification</w:t>
      </w:r>
      <w:r w:rsidDel="00000000" w:rsidR="00000000" w:rsidRPr="00000000">
        <w:rPr>
          <w:rtl w:val="0"/>
        </w:rPr>
      </w:r>
    </w:p>
    <w:p w:rsidR="00000000" w:rsidDel="00000000" w:rsidP="00000000" w:rsidRDefault="00000000" w:rsidRPr="00000000" w14:paraId="0000007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DiD estimator identifies the Average Treatment Effect on the Treated (ATT) as the within-firm variation subsequent to green bond issuance, net of aggregate temporal shocks. The ATT definition is:</w:t>
      </w:r>
    </w:p>
    <w:p w:rsidR="00000000" w:rsidDel="00000000" w:rsidP="00000000" w:rsidRDefault="00000000" w:rsidRPr="00000000" w14:paraId="0000007B">
      <w:pPr>
        <w:spacing w:after="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ATT=E</m:t>
        </m:r>
        <m:d>
          <m:dPr>
            <m:begChr m:val="["/>
            <m:endChr m:val="]"/>
            <m:ctrlPr>
              <w:rPr>
                <w:rFonts w:ascii="Times New Roman" w:cs="Times New Roman" w:eastAsia="Times New Roman" w:hAnsi="Times New Roman"/>
                <w:sz w:val="26"/>
                <w:szCs w:val="26"/>
              </w:rPr>
            </m:ctrlPr>
          </m:dPr>
          <m:e>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up>
                <m:r>
                  <w:rPr>
                    <w:rFonts w:ascii="Times New Roman" w:cs="Times New Roman" w:eastAsia="Times New Roman" w:hAnsi="Times New Roman"/>
                    <w:sz w:val="26"/>
                    <w:szCs w:val="26"/>
                  </w:rPr>
                  <m:t xml:space="preserve">(1)</m:t>
                </m:r>
              </m:sup>
            </m:sSubSup>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i,t-1</m:t>
                </m:r>
              </m:sub>
              <m:sup>
                <m:r>
                  <w:rPr>
                    <w:rFonts w:ascii="Times New Roman" w:cs="Times New Roman" w:eastAsia="Times New Roman" w:hAnsi="Times New Roman"/>
                    <w:sz w:val="26"/>
                    <w:szCs w:val="26"/>
                  </w:rPr>
                  <m:t xml:space="preserve">(0)</m:t>
                </m:r>
              </m:sup>
            </m:sSubSup>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=1</m:t>
            </m:r>
          </m:e>
        </m:d>
      </m:oMath>
      <w:r w:rsidDel="00000000" w:rsidR="00000000" w:rsidRPr="00000000">
        <w:rPr>
          <w:rtl w:val="0"/>
        </w:rPr>
      </w:r>
    </w:p>
    <w:p w:rsidR="00000000" w:rsidDel="00000000" w:rsidP="00000000" w:rsidRDefault="00000000" w:rsidRPr="00000000" w14:paraId="0000007C">
      <w:pPr>
        <w:spacing w:after="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Formula 7: Average Treatment Effect on the Treated (ATT) Definition</w:t>
      </w:r>
      <w:r w:rsidDel="00000000" w:rsidR="00000000" w:rsidRPr="00000000">
        <w:rPr>
          <w:rtl w:val="0"/>
        </w:rPr>
      </w:r>
    </w:p>
    <w:p w:rsidR="00000000" w:rsidDel="00000000" w:rsidP="00000000" w:rsidRDefault="00000000" w:rsidRPr="00000000" w14:paraId="0000007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3.4.2.2. Two-Way Fixed Effects (TWFE) Specification</w:t>
      </w:r>
      <w:r w:rsidDel="00000000" w:rsidR="00000000" w:rsidRPr="00000000">
        <w:rPr>
          <w:rtl w:val="0"/>
        </w:rPr>
      </w:r>
    </w:p>
    <w:p w:rsidR="00000000" w:rsidDel="00000000" w:rsidP="00000000" w:rsidRDefault="00000000" w:rsidRPr="00000000" w14:paraId="0000007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baseline DiD specification utilizes a Two-Way Fixed Effects (TWFE) panel regression estimated on the full dataset. This specification includes both entity and year fixed effects, alongside the vector of lagged time-varying controls, with standard errors clustered at the entity level to account for within-firm serial correlation.</w:t>
      </w:r>
    </w:p>
    <w:p w:rsidR="00000000" w:rsidDel="00000000" w:rsidP="00000000" w:rsidRDefault="00000000" w:rsidRPr="00000000" w14:paraId="0000007F">
      <w:pPr>
        <w:spacing w:after="24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α</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λ</m:t>
            </m:r>
          </m:e>
          <m:sub>
            <m:r>
              <w:rPr>
                <w:rFonts w:ascii="Times New Roman" w:cs="Times New Roman" w:eastAsia="Times New Roman" w:hAnsi="Times New Roman"/>
                <w:sz w:val="26"/>
                <w:szCs w:val="26"/>
              </w:rPr>
              <m:t xml:space="preserve">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 .green_bond_activ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γ</m:t>
        </m:r>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ϵ</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80">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Formula 8: Two-Way Fixed Effects (TWFE) Specification Model</w:t>
      </w:r>
    </w:p>
    <w:p w:rsidR="00000000" w:rsidDel="00000000" w:rsidP="00000000" w:rsidRDefault="00000000" w:rsidRPr="00000000" w14:paraId="0000008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m:t>α</m:t>
            </m:r>
          </m:e>
          <m:sub>
            <m:r>
              <w:rPr>
                <w:rFonts w:ascii="Times New Roman" w:cs="Times New Roman" w:eastAsia="Times New Roman" w:hAnsi="Times New Roman"/>
                <w:sz w:val="26"/>
                <w:szCs w:val="26"/>
              </w:rPr>
              <m:t xml:space="preserve">i</m:t>
            </m:r>
          </m:sub>
        </m:sSub>
      </m:oMath>
      <w:r w:rsidDel="00000000" w:rsidR="00000000" w:rsidRPr="00000000">
        <w:rPr>
          <w:rFonts w:ascii="Times New Roman" w:cs="Times New Roman" w:eastAsia="Times New Roman" w:hAnsi="Times New Roman"/>
          <w:sz w:val="26"/>
          <w:szCs w:val="26"/>
          <w:rtl w:val="0"/>
        </w:rPr>
        <w:t xml:space="preserve"> are the firm fixed effects; </w:t>
      </w:r>
      <m:oMath>
        <m:sSub>
          <m:sSubPr>
            <m:ctrlPr>
              <w:rPr>
                <w:rFonts w:ascii="Times New Roman" w:cs="Times New Roman" w:eastAsia="Times New Roman" w:hAnsi="Times New Roman"/>
                <w:sz w:val="26"/>
                <w:szCs w:val="26"/>
              </w:rPr>
            </m:ctrlPr>
          </m:sSubPr>
          <m:e>
            <m:r>
              <m:t>λ</m:t>
            </m:r>
          </m:e>
          <m:sub>
            <m:r>
              <w:rPr>
                <w:rFonts w:ascii="Times New Roman" w:cs="Times New Roman" w:eastAsia="Times New Roman" w:hAnsi="Times New Roman"/>
                <w:sz w:val="26"/>
                <w:szCs w:val="26"/>
              </w:rPr>
              <m:t xml:space="preserve">t</m:t>
            </m:r>
          </m:sub>
        </m:sSub>
      </m:oMath>
      <w:r w:rsidDel="00000000" w:rsidR="00000000" w:rsidRPr="00000000">
        <w:rPr>
          <w:rFonts w:ascii="Times New Roman" w:cs="Times New Roman" w:eastAsia="Times New Roman" w:hAnsi="Times New Roman"/>
          <w:sz w:val="26"/>
          <w:szCs w:val="26"/>
          <w:rtl w:val="0"/>
        </w:rPr>
        <w:t xml:space="preserve"> are the year fixed effects; </w:t>
      </w:r>
      <m:oMath>
        <m:r>
          <m:t>β</m:t>
        </m:r>
      </m:oMath>
      <w:r w:rsidDel="00000000" w:rsidR="00000000" w:rsidRPr="00000000">
        <w:rPr>
          <w:rFonts w:ascii="Times New Roman" w:cs="Times New Roman" w:eastAsia="Times New Roman" w:hAnsi="Times New Roman"/>
          <w:sz w:val="26"/>
          <w:szCs w:val="26"/>
          <w:rtl w:val="0"/>
        </w:rPr>
        <w:t xml:space="preserve"> is the treatment effect (ATT);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it</m:t>
            </m:r>
          </m:sub>
        </m:sSub>
      </m:oMath>
      <w:r w:rsidDel="00000000" w:rsidR="00000000" w:rsidRPr="00000000">
        <w:rPr>
          <w:rFonts w:ascii="Times New Roman" w:cs="Times New Roman" w:eastAsia="Times New Roman" w:hAnsi="Times New Roman"/>
          <w:sz w:val="26"/>
          <w:szCs w:val="26"/>
          <w:rtl w:val="0"/>
        </w:rPr>
        <w:t xml:space="preserve"> are the time-varied control.</w:t>
      </w:r>
    </w:p>
    <w:p w:rsidR="00000000" w:rsidDel="00000000" w:rsidP="00000000" w:rsidRDefault="00000000" w:rsidRPr="00000000" w14:paraId="0000008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3.4.2.3. Alternative Specifications</w:t>
      </w:r>
      <w:r w:rsidDel="00000000" w:rsidR="00000000" w:rsidRPr="00000000">
        <w:rPr>
          <w:rtl w:val="0"/>
        </w:rPr>
      </w:r>
    </w:p>
    <w:p w:rsidR="00000000" w:rsidDel="00000000" w:rsidP="00000000" w:rsidRDefault="00000000" w:rsidRPr="00000000" w14:paraId="0000008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Besides the TWFE configuration, four other distinct DiD configurations are estimated for robustness:</w:t>
      </w:r>
    </w:p>
    <w:p w:rsidR="00000000" w:rsidDel="00000000" w:rsidP="00000000" w:rsidRDefault="00000000" w:rsidRPr="00000000" w14:paraId="00000084">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Entity Fixed Effects only: </w:t>
      </w:r>
    </w:p>
    <w:p w:rsidR="00000000" w:rsidDel="00000000" w:rsidP="00000000" w:rsidRDefault="00000000" w:rsidRPr="00000000" w14:paraId="00000085">
      <w:pPr>
        <w:spacing w:after="240" w:lineRule="auto"/>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α</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 .green_bond_activ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γ</m:t>
        </m:r>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ϵ</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86">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Time Fixed Effects only: </w:t>
      </w:r>
    </w:p>
    <w:p w:rsidR="00000000" w:rsidDel="00000000" w:rsidP="00000000" w:rsidRDefault="00000000" w:rsidRPr="00000000" w14:paraId="00000087">
      <w:pPr>
        <w:spacing w:after="240" w:lineRule="auto"/>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λ</m:t>
            </m:r>
          </m:e>
          <m:sub>
            <m:r>
              <w:rPr>
                <w:rFonts w:ascii="Times New Roman" w:cs="Times New Roman" w:eastAsia="Times New Roman" w:hAnsi="Times New Roman"/>
                <w:sz w:val="26"/>
                <w:szCs w:val="26"/>
              </w:rPr>
              <m:t xml:space="preserve">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 .green_bond_activ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γ</m:t>
        </m:r>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ϵ</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88">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Entity Fixed Effects incorporating a firm-specific linear trend: </w:t>
      </w:r>
    </w:p>
    <w:p w:rsidR="00000000" w:rsidDel="00000000" w:rsidP="00000000" w:rsidRDefault="00000000" w:rsidRPr="00000000" w14:paraId="00000089">
      <w:pPr>
        <w:spacing w:after="240" w:lineRule="auto"/>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α</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.t+</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 .green_bond_activ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γ</m:t>
        </m:r>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ϵ</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8A">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Pooled OLS (neither fixed effect): </w:t>
      </w:r>
    </w:p>
    <w:p w:rsidR="00000000" w:rsidDel="00000000" w:rsidP="00000000" w:rsidRDefault="00000000" w:rsidRPr="00000000" w14:paraId="0000008B">
      <w:pPr>
        <w:spacing w:after="240" w:lineRule="auto"/>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α</m:t>
        </m:r>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λ</m:t>
            </m:r>
          </m:e>
          <m:sub>
            <m:r>
              <w:rPr>
                <w:rFonts w:ascii="Times New Roman" w:cs="Times New Roman" w:eastAsia="Times New Roman" w:hAnsi="Times New Roman"/>
                <w:sz w:val="26"/>
                <w:szCs w:val="26"/>
              </w:rPr>
              <m:t xml:space="preserve">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 .green_bond_activ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γ</m:t>
        </m:r>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ϵ</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8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3.4.2.4. Cohort-Specific DiD</w:t>
      </w:r>
      <w:r w:rsidDel="00000000" w:rsidR="00000000" w:rsidRPr="00000000">
        <w:rPr>
          <w:rtl w:val="0"/>
        </w:rPr>
      </w:r>
    </w:p>
    <w:p w:rsidR="00000000" w:rsidDel="00000000" w:rsidP="00000000" w:rsidRDefault="00000000" w:rsidRPr="00000000" w14:paraId="0000008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Recognizing that standard TWFE estimators can be biased under conditions of staggered treatment adoption and heterogeneous treatment effects, the study additionally implements a cohort-specific event study methodology following Callaway and Sant'Anna (2021). This approach decomposes the aggregate ATT by estimating specific effects for each treatment cohort (, defined by the calendar year of first issuance) using strictly never-treated firms as the counterfactual control group, thereby preventing earlier-treated firms from serving as invalid controls for later-treated cohorts. The aggregated ATT across cohorts is defined as:</w:t>
      </w:r>
    </w:p>
    <w:p w:rsidR="00000000" w:rsidDel="00000000" w:rsidP="00000000" w:rsidRDefault="00000000" w:rsidRPr="00000000" w14:paraId="0000008E">
      <w:pPr>
        <w:spacing w:after="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g</m:t>
            </m:r>
          </m:sub>
        </m:sSub>
        <m:r>
          <w:rPr>
            <w:rFonts w:ascii="Times New Roman" w:cs="Times New Roman" w:eastAsia="Times New Roman" w:hAnsi="Times New Roman"/>
            <w:sz w:val="26"/>
            <w:szCs w:val="26"/>
          </w:rPr>
          <m:t xml:space="preserve">=E</m:t>
        </m:r>
        <m:d>
          <m:dPr>
            <m:begChr m:val="["/>
            <m:endChr m:val="]"/>
            <m:ctrlPr>
              <w:rPr>
                <w:rFonts w:ascii="Times New Roman" w:cs="Times New Roman" w:eastAsia="Times New Roman" w:hAnsi="Times New Roman"/>
                <w:sz w:val="26"/>
                <w:szCs w:val="26"/>
              </w:rPr>
            </m:ctrlPr>
          </m:dPr>
          <m:e>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up/>
            </m:sSubSup>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i,g-1</m:t>
                </m:r>
              </m:sub>
              <m:sup/>
            </m:sSubSup>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G</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=g,t</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e>
        </m:d>
        <m:r>
          <w:rPr>
            <w:rFonts w:ascii="Times New Roman" w:cs="Times New Roman" w:eastAsia="Times New Roman" w:hAnsi="Times New Roman"/>
            <w:sz w:val="26"/>
            <w:szCs w:val="26"/>
          </w:rPr>
          <m:t xml:space="preserve">-E</m:t>
        </m:r>
        <m:d>
          <m:dPr>
            <m:begChr m:val="["/>
            <m:endChr m:val="]"/>
            <m:ctrlPr>
              <w:rPr>
                <w:rFonts w:ascii="Times New Roman" w:cs="Times New Roman" w:eastAsia="Times New Roman" w:hAnsi="Times New Roman"/>
                <w:sz w:val="26"/>
                <w:szCs w:val="26"/>
              </w:rPr>
            </m:ctrlPr>
          </m:dPr>
          <m:e>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up/>
            </m:sSubSup>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i,g-1</m:t>
                </m:r>
              </m:sub>
              <m:sup/>
            </m:sSubSup>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G</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,t</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e>
        </m:d>
      </m:oMath>
      <w:r w:rsidDel="00000000" w:rsidR="00000000" w:rsidRPr="00000000">
        <w:rPr>
          <w:rtl w:val="0"/>
        </w:rPr>
      </w:r>
    </w:p>
    <w:p w:rsidR="00000000" w:rsidDel="00000000" w:rsidP="00000000" w:rsidRDefault="00000000" w:rsidRPr="00000000" w14:paraId="0000008F">
      <w:pPr>
        <w:spacing w:after="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ATT=</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g</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[2020, 2025)</m:t>
            </m:r>
          </m:sub>
          <m:sup/>
        </m:nary>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g</m:t>
                </m:r>
              </m:sub>
            </m:sSub>
          </m:num>
          <m:den>
            <m:r>
              <w:rPr>
                <w:rFonts w:ascii="Times New Roman" w:cs="Times New Roman" w:eastAsia="Times New Roman" w:hAnsi="Times New Roman"/>
                <w:sz w:val="26"/>
                <w:szCs w:val="26"/>
              </w:rPr>
              <m:t>Σ</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g</m:t>
                </m:r>
              </m:sub>
            </m:sSub>
          </m:den>
        </m:f>
        <m:r>
          <w:rPr>
            <w:rFonts w:ascii="Times New Roman" w:cs="Times New Roman" w:eastAsia="Times New Roman" w:hAnsi="Times New Roman"/>
            <w:sz w:val="26"/>
            <w:szCs w:val="26"/>
          </w:rPr>
          <m:t xml:space="preserve">.AT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g</m:t>
            </m:r>
          </m:sub>
        </m:sSub>
      </m:oMath>
      <w:r w:rsidDel="00000000" w:rsidR="00000000" w:rsidRPr="00000000">
        <w:rPr>
          <w:rtl w:val="0"/>
        </w:rPr>
      </w:r>
    </w:p>
    <w:p w:rsidR="00000000" w:rsidDel="00000000" w:rsidP="00000000" w:rsidRDefault="00000000" w:rsidRPr="00000000" w14:paraId="00000090">
      <w:pPr>
        <w:spacing w:after="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Formula 9: Aggregated Average Treatment Effect on the Treated across Cohorts</w:t>
      </w:r>
      <w:r w:rsidDel="00000000" w:rsidR="00000000" w:rsidRPr="00000000">
        <w:rPr>
          <w:rtl w:val="0"/>
        </w:rPr>
      </w:r>
    </w:p>
    <w:p w:rsidR="00000000" w:rsidDel="00000000" w:rsidP="00000000" w:rsidRDefault="00000000" w:rsidRPr="00000000" w14:paraId="00000091">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3.4.3. Dynamic Panel Estimation Model (System GMM)</w:t>
      </w:r>
    </w:p>
    <w:p w:rsidR="00000000" w:rsidDel="00000000" w:rsidP="00000000" w:rsidRDefault="00000000" w:rsidRPr="00000000" w14:paraId="00000092">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3.4.3.1. The Dynamic Panel Problem</w:t>
      </w:r>
    </w:p>
    <w:p w:rsidR="00000000" w:rsidDel="00000000" w:rsidP="00000000" w:rsidRDefault="00000000" w:rsidRPr="00000000" w14:paraId="0000009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formally address dynamic endogeneity, unobserved heterogeneity, and potential simultaneity inherent in corporate performance data, the study employs System GMM as its primary robustness estimator (Arellano &amp; Bover, 1995; Blundell &amp; Bond, 1998). Corporate outcomes, such as profitability or ESG scores, typically exhibit strong temporal persistence. Including lagged dependent variables in standard panel models causes a dynamic panel problem and can lead to biased results (Nickell bias).</w:t>
      </w:r>
    </w:p>
    <w:p w:rsidR="00000000" w:rsidDel="00000000" w:rsidP="00000000" w:rsidRDefault="00000000" w:rsidRPr="00000000" w14:paraId="00000094">
      <w:pPr>
        <w:spacing w:after="24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ρ</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i,t-1</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.green_bond_activ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γ</m:t>
        </m:r>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α</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ϵ</m:t>
            </m:r>
          </m:e>
          <m:sub>
            <m:r>
              <w:rPr>
                <w:rFonts w:ascii="Times New Roman" w:cs="Times New Roman" w:eastAsia="Times New Roman" w:hAnsi="Times New Roman"/>
                <w:sz w:val="26"/>
                <w:szCs w:val="26"/>
              </w:rPr>
              <m:t xml:space="preserve">it</m:t>
            </m:r>
          </m:sub>
        </m:sSub>
      </m:oMath>
      <w:r w:rsidDel="00000000" w:rsidR="00000000" w:rsidRPr="00000000">
        <w:rPr>
          <w:rtl w:val="0"/>
        </w:rPr>
      </w:r>
    </w:p>
    <w:p w:rsidR="00000000" w:rsidDel="00000000" w:rsidP="00000000" w:rsidRDefault="00000000" w:rsidRPr="00000000" w14:paraId="00000095">
      <w:pPr>
        <w:spacing w:after="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Formula 10: Dynamic Panel Model Specification with Lagged Dependent Variable</w:t>
      </w:r>
      <w:r w:rsidDel="00000000" w:rsidR="00000000" w:rsidRPr="00000000">
        <w:rPr>
          <w:rtl w:val="0"/>
        </w:rPr>
      </w:r>
    </w:p>
    <w:p w:rsidR="00000000" w:rsidDel="00000000" w:rsidP="00000000" w:rsidRDefault="00000000" w:rsidRPr="00000000" w14:paraId="00000096">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3.4.3.2. System GMM Estimation</w:t>
      </w:r>
    </w:p>
    <w:p w:rsidR="00000000" w:rsidDel="00000000" w:rsidP="00000000" w:rsidRDefault="00000000" w:rsidRPr="00000000" w14:paraId="0000009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GMM estimator resolves this by constructing a system of two equations: a differenced equation instrumented with lagged levels, and a levels equation instrumented with lagged differences. </w:t>
      </w:r>
    </w:p>
    <w:p w:rsidR="00000000" w:rsidDel="00000000" w:rsidP="00000000" w:rsidRDefault="00000000" w:rsidRPr="00000000" w14:paraId="00000098">
      <w:pPr>
        <w:spacing w:after="24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m:t>Δ</m:t>
            </m:r>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ρ</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i,t-1</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green_bond_activ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γ</m:t>
        </m:r>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ϵ</m:t>
            </m:r>
          </m:e>
          <m:sub>
            <m:r>
              <w:rPr>
                <w:rFonts w:ascii="Times New Roman" w:cs="Times New Roman" w:eastAsia="Times New Roman" w:hAnsi="Times New Roman"/>
                <w:sz w:val="26"/>
                <w:szCs w:val="26"/>
              </w:rPr>
              <m:t xml:space="preserve">it</m:t>
            </m:r>
          </m:sub>
        </m:sSub>
      </m:oMath>
      <w:r w:rsidDel="00000000" w:rsidR="00000000" w:rsidRPr="00000000">
        <w:rPr>
          <w:rtl w:val="0"/>
        </w:rPr>
      </w:r>
    </w:p>
    <w:p w:rsidR="00000000" w:rsidDel="00000000" w:rsidP="00000000" w:rsidRDefault="00000000" w:rsidRPr="00000000" w14:paraId="00000099">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Formula 11: First-Differenced Equation Specification</w:t>
      </w:r>
    </w:p>
    <w:p w:rsidR="00000000" w:rsidDel="00000000" w:rsidP="00000000" w:rsidRDefault="00000000" w:rsidRPr="00000000" w14:paraId="0000009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 </w:t>
      </w:r>
      <w:r w:rsidDel="00000000" w:rsidR="00000000" w:rsidRPr="00000000">
        <w:rPr>
          <w:rFonts w:ascii="Times New Roman" w:cs="Times New Roman" w:eastAsia="Times New Roman" w:hAnsi="Times New Roman"/>
          <w:sz w:val="26"/>
          <w:szCs w:val="26"/>
          <w:rtl w:val="0"/>
        </w:rPr>
        <w:t xml:space="preserve">Use lagged levels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i,t-2</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i,t-3</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m:t>
        </m:r>
      </m:oMath>
      <w:r w:rsidDel="00000000" w:rsidR="00000000" w:rsidRPr="00000000">
        <w:rPr>
          <w:rFonts w:ascii="Times New Roman" w:cs="Times New Roman" w:eastAsia="Times New Roman" w:hAnsi="Times New Roman"/>
          <w:sz w:val="26"/>
          <w:szCs w:val="26"/>
          <w:rtl w:val="0"/>
        </w:rPr>
        <w:t xml:space="preserve">as instruments </w:t>
      </w:r>
    </w:p>
    <w:p w:rsidR="00000000" w:rsidDel="00000000" w:rsidP="00000000" w:rsidRDefault="00000000" w:rsidRPr="00000000" w14:paraId="0000009B">
      <w:pPr>
        <w:spacing w:after="24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ρ</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i,t-1</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.green_bond_activ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γ</m:t>
        </m:r>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it</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α</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ϵ</m:t>
            </m:r>
          </m:e>
          <m:sub>
            <m:r>
              <w:rPr>
                <w:rFonts w:ascii="Times New Roman" w:cs="Times New Roman" w:eastAsia="Times New Roman" w:hAnsi="Times New Roman"/>
                <w:sz w:val="26"/>
                <w:szCs w:val="26"/>
              </w:rPr>
              <m:t xml:space="preserve">it</m:t>
            </m:r>
          </m:sub>
        </m:sSub>
      </m:oMath>
      <w:r w:rsidDel="00000000" w:rsidR="00000000" w:rsidRPr="00000000">
        <w:rPr>
          <w:rtl w:val="0"/>
        </w:rPr>
      </w:r>
    </w:p>
    <w:p w:rsidR="00000000" w:rsidDel="00000000" w:rsidP="00000000" w:rsidRDefault="00000000" w:rsidRPr="00000000" w14:paraId="0000009C">
      <w:pPr>
        <w:spacing w:after="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Formula 12: Level Equation Specification</w:t>
      </w:r>
    </w:p>
    <w:p w:rsidR="00000000" w:rsidDel="00000000" w:rsidP="00000000" w:rsidRDefault="00000000" w:rsidRPr="00000000" w14:paraId="0000009D">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Note. </w:t>
      </w:r>
      <w:r w:rsidDel="00000000" w:rsidR="00000000" w:rsidRPr="00000000">
        <w:rPr>
          <w:rFonts w:ascii="Times New Roman" w:cs="Times New Roman" w:eastAsia="Times New Roman" w:hAnsi="Times New Roman"/>
          <w:sz w:val="26"/>
          <w:szCs w:val="26"/>
          <w:rtl w:val="0"/>
        </w:rPr>
        <w:t xml:space="preserve">Use lagged differences </w:t>
      </w:r>
      <m:oMath>
        <m:sSub>
          <m:sSubPr>
            <m:ctrlPr>
              <w:rPr>
                <w:rFonts w:ascii="Times New Roman" w:cs="Times New Roman" w:eastAsia="Times New Roman" w:hAnsi="Times New Roman"/>
                <w:sz w:val="26"/>
                <w:szCs w:val="26"/>
              </w:rPr>
            </m:ctrlPr>
          </m:sSubPr>
          <m:e>
            <m:r>
              <m:t>Δ</m:t>
            </m:r>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i,t-2</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i,t-3</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m:t>
        </m:r>
      </m:oMath>
      <w:r w:rsidDel="00000000" w:rsidR="00000000" w:rsidRPr="00000000">
        <w:rPr>
          <w:rFonts w:ascii="Times New Roman" w:cs="Times New Roman" w:eastAsia="Times New Roman" w:hAnsi="Times New Roman"/>
          <w:sz w:val="26"/>
          <w:szCs w:val="26"/>
          <w:rtl w:val="0"/>
        </w:rPr>
        <w:t xml:space="preserve">as instruments</w:t>
      </w:r>
      <w:r w:rsidDel="00000000" w:rsidR="00000000" w:rsidRPr="00000000">
        <w:rPr>
          <w:rtl w:val="0"/>
        </w:rPr>
      </w:r>
    </w:p>
    <w:p w:rsidR="00000000" w:rsidDel="00000000" w:rsidP="00000000" w:rsidRDefault="00000000" w:rsidRPr="00000000" w14:paraId="0000009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approach yields consistent estimates by exploiting the internal instruments of the model (Roodman, 2009). </w:t>
      </w:r>
    </w:p>
    <w:p w:rsidR="00000000" w:rsidDel="00000000" w:rsidP="00000000" w:rsidRDefault="00000000" w:rsidRPr="00000000" w14:paraId="0000009F">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3.4.3.3. Instrument Selection and Validity Diagnostics</w:t>
      </w:r>
    </w:p>
    <w:p w:rsidR="00000000" w:rsidDel="00000000" w:rsidP="00000000" w:rsidRDefault="00000000" w:rsidRPr="00000000" w14:paraId="000000A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avoid instrument proliferation, instruments are collapsed to one lag per variable, and automatic lag selection is employed based on data coverage. Model validity is confirmed by the Hansen J-test for over-identifying restrictions (where p &gt; 0.05 indicates instruments are not rejected) and the Arellano-Bond AR(2) test for the absence of second-order serial correlation.</w:t>
      </w:r>
    </w:p>
    <w:p w:rsidR="00000000" w:rsidDel="00000000" w:rsidP="00000000" w:rsidRDefault="00000000" w:rsidRPr="00000000" w14:paraId="000000A1">
      <w:pPr>
        <w:pStyle w:val="Heading2"/>
        <w:spacing w:after="240" w:lineRule="auto"/>
        <w:jc w:val="both"/>
        <w:rPr>
          <w:rFonts w:ascii="Times New Roman" w:cs="Times New Roman" w:eastAsia="Times New Roman" w:hAnsi="Times New Roman"/>
          <w:sz w:val="26"/>
          <w:szCs w:val="26"/>
        </w:rPr>
      </w:pPr>
      <w:bookmarkStart w:colFirst="0" w:colLast="0" w:name="_3fn7hlc8x4br" w:id="2"/>
      <w:bookmarkEnd w:id="2"/>
      <w:r w:rsidDel="00000000" w:rsidR="00000000" w:rsidRPr="00000000">
        <w:rPr>
          <w:rFonts w:ascii="Times New Roman" w:cs="Times New Roman" w:eastAsia="Times New Roman" w:hAnsi="Times New Roman"/>
          <w:sz w:val="26"/>
          <w:szCs w:val="26"/>
          <w:rtl w:val="0"/>
        </w:rPr>
        <w:t xml:space="preserve">3.5. Model Evaluation and Estimation</w:t>
      </w:r>
    </w:p>
    <w:p w:rsidR="00000000" w:rsidDel="00000000" w:rsidP="00000000" w:rsidRDefault="00000000" w:rsidRPr="00000000" w14:paraId="000000A2">
      <w:pPr>
        <w:pStyle w:val="Heading3"/>
        <w:rPr/>
      </w:pPr>
      <w:bookmarkStart w:colFirst="0" w:colLast="0" w:name="_o2cq84untjkv" w:id="3"/>
      <w:bookmarkEnd w:id="3"/>
      <w:r w:rsidDel="00000000" w:rsidR="00000000" w:rsidRPr="00000000">
        <w:rPr>
          <w:rtl w:val="0"/>
        </w:rPr>
        <w:t xml:space="preserve">3.5.1. Diagnostic Testing</w:t>
      </w:r>
    </w:p>
    <w:p w:rsidR="00000000" w:rsidDel="00000000" w:rsidP="00000000" w:rsidRDefault="00000000" w:rsidRPr="00000000" w14:paraId="000000A3">
      <w:pPr>
        <w:spacing w:after="240" w:lineRule="auto"/>
        <w:jc w:val="both"/>
        <w:rPr/>
      </w:pPr>
      <w:r w:rsidDel="00000000" w:rsidR="00000000" w:rsidRPr="00000000">
        <w:rPr>
          <w:rFonts w:ascii="Times New Roman" w:cs="Times New Roman" w:eastAsia="Times New Roman" w:hAnsi="Times New Roman"/>
          <w:sz w:val="26"/>
          <w:szCs w:val="26"/>
          <w:rtl w:val="0"/>
        </w:rPr>
        <w:t xml:space="preserve">Validation of the core assumptions underlying this quasi-experimental design requires a sequence of rigorous diagnostic procedures. The foundational parallel trends assumption is verified using an event-study specification that incorporates lead and lag indicators of green bond issuance. For the identification strategy to be valid, pre-treatment coefficients must remain statistically insignificant, confirming that the treated and control groups followed comparable outcome trajectories prior to the intervention.</w:t>
      </w:r>
      <w:r w:rsidDel="00000000" w:rsidR="00000000" w:rsidRPr="00000000">
        <w:rPr>
          <w:rtl w:val="0"/>
        </w:rPr>
      </w:r>
    </w:p>
    <w:p w:rsidR="00000000" w:rsidDel="00000000" w:rsidP="00000000" w:rsidRDefault="00000000" w:rsidRPr="00000000" w14:paraId="000000A4">
      <w:pPr>
        <w:spacing w:after="240" w:lineRule="auto"/>
        <w:jc w:val="both"/>
        <w:rPr/>
      </w:pPr>
      <w:r w:rsidDel="00000000" w:rsidR="00000000" w:rsidRPr="00000000">
        <w:rPr>
          <w:rFonts w:ascii="Times New Roman" w:cs="Times New Roman" w:eastAsia="Times New Roman" w:hAnsi="Times New Roman"/>
          <w:sz w:val="26"/>
          <w:szCs w:val="26"/>
          <w:rtl w:val="0"/>
        </w:rPr>
        <w:t xml:space="preserve">Conditioning on the propensity score distribution ensures the enforceability of common support between the groups. By examining overlap and applying a trimming rule that excludes extreme propensity scores outside the [0.10, 0.90] interval, the analysis reduces extrapolation bias and ensures that treated firms are compared only to a truly comparable set of control observations. Following this matching procedure, covariate balance is quantitatively assessed using the Standardized Mean Difference (SMD), with a maximum threshold of 0.10 applied to all matching variables to confirm successful balancing.</w:t>
      </w:r>
      <w:r w:rsidDel="00000000" w:rsidR="00000000" w:rsidRPr="00000000">
        <w:rPr>
          <w:rtl w:val="0"/>
        </w:rPr>
      </w:r>
    </w:p>
    <w:p w:rsidR="00000000" w:rsidDel="00000000" w:rsidP="00000000" w:rsidRDefault="00000000" w:rsidRPr="00000000" w14:paraId="000000A5">
      <w:pPr>
        <w:spacing w:after="240" w:lineRule="auto"/>
        <w:jc w:val="both"/>
        <w:rPr/>
      </w:pPr>
      <w:r w:rsidDel="00000000" w:rsidR="00000000" w:rsidRPr="00000000">
        <w:rPr>
          <w:rFonts w:ascii="Times New Roman" w:cs="Times New Roman" w:eastAsia="Times New Roman" w:hAnsi="Times New Roman"/>
          <w:sz w:val="26"/>
          <w:szCs w:val="26"/>
          <w:rtl w:val="0"/>
        </w:rPr>
        <w:t xml:space="preserve">Dynamic panel diagnostics provide a final layer of validation for the System GMM estimations. The Arellano-Bond AR(2) test is applied to the differenced residuals to confirm the absence of second-order serial correlation, which is critical for instrument validity. Simultaneously, the Sargan-Hansen J-test evaluates the exogeneity of the overidentifying restrictions, where an insignificant p-value serves as evidence that the internal instruments employed in the dynamic model are appropriately specified.</w:t>
      </w:r>
      <w:r w:rsidDel="00000000" w:rsidR="00000000" w:rsidRPr="00000000">
        <w:rPr>
          <w:rtl w:val="0"/>
        </w:rPr>
      </w:r>
    </w:p>
    <w:p w:rsidR="00000000" w:rsidDel="00000000" w:rsidP="00000000" w:rsidRDefault="00000000" w:rsidRPr="00000000" w14:paraId="000000A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the Dynamic Panel Diagnostics for the System GMM model involve two critical tests: the Arellano-Bond AR(2) test on the differenced residuals, which must be insignificant to confirm the absence of second-order serial correlation; and the Sargan-Hansen J-test, which evaluates the validity of the overidentifying restrictions (instrument exogeneity), accepting the null hypothesis if the p-value exceeds 0.05.</w:t>
      </w:r>
    </w:p>
    <w:p w:rsidR="00000000" w:rsidDel="00000000" w:rsidP="00000000" w:rsidRDefault="00000000" w:rsidRPr="00000000" w14:paraId="000000A7">
      <w:pPr>
        <w:pStyle w:val="Heading3"/>
        <w:jc w:val="both"/>
        <w:rPr/>
      </w:pPr>
      <w:r w:rsidDel="00000000" w:rsidR="00000000" w:rsidRPr="00000000">
        <w:rPr>
          <w:rtl w:val="0"/>
        </w:rPr>
        <w:t xml:space="preserve">3.5.2. Robustness Checks and Greenwashing Detection</w:t>
      </w:r>
    </w:p>
    <w:p w:rsidR="00000000" w:rsidDel="00000000" w:rsidP="00000000" w:rsidRDefault="00000000" w:rsidRPr="00000000" w14:paraId="000000A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comprehensive set of Robustness Checks is performed to ensure that the empirical results are not artifacts of a specific model configuration, thus lending greater credibility to the findings. Crucially, the analysis dedicates a core component to </w:t>
      </w:r>
      <w:r w:rsidDel="00000000" w:rsidR="00000000" w:rsidRPr="00000000">
        <w:rPr>
          <w:rFonts w:ascii="Times New Roman" w:cs="Times New Roman" w:eastAsia="Times New Roman" w:hAnsi="Times New Roman"/>
          <w:b w:val="1"/>
          <w:bCs w:val="1"/>
          <w:sz w:val="26"/>
          <w:szCs w:val="26"/>
          <w:rtl w:val="0"/>
        </w:rPr>
        <w:t xml:space="preserve">Greenwashing Detection</w:t>
      </w:r>
      <w:r w:rsidDel="00000000" w:rsidR="00000000" w:rsidRPr="00000000">
        <w:rPr>
          <w:rFonts w:ascii="Times New Roman" w:cs="Times New Roman" w:eastAsia="Times New Roman" w:hAnsi="Times New Roman"/>
          <w:sz w:val="26"/>
          <w:szCs w:val="26"/>
          <w:rtl w:val="0"/>
        </w:rPr>
        <w:t xml:space="preserve"> to rigorously test the authenticity of green bond commitments, which is the most critical validity concern in the ASEAN market.</w:t>
      </w:r>
    </w:p>
    <w:p w:rsidR="00000000" w:rsidDel="00000000" w:rsidP="00000000" w:rsidRDefault="00000000" w:rsidRPr="00000000" w14:paraId="000000A9">
      <w:pPr>
        <w:pStyle w:val="Heading4"/>
        <w:rPr/>
      </w:pPr>
      <w:r w:rsidDel="00000000" w:rsidR="00000000" w:rsidRPr="00000000">
        <w:rPr>
          <w:b w:val="1"/>
          <w:bCs w:val="1"/>
          <w:rtl w:val="0"/>
        </w:rPr>
        <w:t xml:space="preserve">3.5.2.1. Green Bond Authenticity Score Methodology</w:t>
      </w:r>
      <w:r w:rsidDel="00000000" w:rsidR="00000000" w:rsidRPr="00000000">
        <w:rPr>
          <w:rtl w:val="0"/>
        </w:rPr>
      </w:r>
    </w:p>
    <w:p w:rsidR="00000000" w:rsidDel="00000000" w:rsidP="00000000" w:rsidRDefault="00000000" w:rsidRPr="00000000" w14:paraId="000000AA">
      <w:pPr>
        <w:jc w:val="both"/>
        <w:rPr/>
      </w:pPr>
      <w:r w:rsidDel="00000000" w:rsidR="00000000" w:rsidRPr="00000000">
        <w:rPr>
          <w:rFonts w:ascii="Times New Roman" w:cs="Times New Roman" w:eastAsia="Times New Roman" w:hAnsi="Times New Roman"/>
          <w:sz w:val="26"/>
          <w:szCs w:val="26"/>
          <w:rtl w:val="0"/>
        </w:rPr>
        <w:t xml:space="preserve">To address greenwashing risks and distinguish substantive green bonds from symbolic certification, we construct a composite authenticity score for all 333 ASEAN green bonds in the sample. The score is structured to reflect theoretical priorities from the green bond literature, assigning the highest weight to verifiable environmental impact.</w:t>
      </w:r>
      <w:r w:rsidDel="00000000" w:rsidR="00000000" w:rsidRPr="00000000">
        <w:rPr>
          <w:rtl w:val="0"/>
        </w:rPr>
      </w:r>
    </w:p>
    <w:p w:rsidR="00000000" w:rsidDel="00000000" w:rsidP="00000000" w:rsidRDefault="00000000" w:rsidRPr="00000000" w14:paraId="000000A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Formula:</w:t>
      </w:r>
    </w:p>
    <w:p w:rsidR="00000000" w:rsidDel="00000000" w:rsidP="00000000" w:rsidRDefault="00000000" w:rsidRPr="00000000" w14:paraId="000000AC">
      <w:pPr>
        <w:spacing w:after="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Authenticity Store = 0.40</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ESGcomp + 0.35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Certcomp+0.25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Issuercomp</m:t>
        </m:r>
      </m:oMath>
      <w:r w:rsidDel="00000000" w:rsidR="00000000" w:rsidRPr="00000000">
        <w:rPr>
          <w:rtl w:val="0"/>
        </w:rPr>
      </w:r>
    </w:p>
    <w:p w:rsidR="00000000" w:rsidDel="00000000" w:rsidP="00000000" w:rsidRDefault="00000000" w:rsidRPr="00000000" w14:paraId="000000AD">
      <w:pPr>
        <w:jc w:val="both"/>
        <w:rPr/>
      </w:pPr>
      <w:r w:rsidDel="00000000" w:rsidR="00000000" w:rsidRPr="00000000">
        <w:rPr>
          <w:rFonts w:ascii="Times New Roman" w:cs="Times New Roman" w:eastAsia="Times New Roman" w:hAnsi="Times New Roman"/>
          <w:sz w:val="26"/>
          <w:szCs w:val="26"/>
          <w:rtl w:val="0"/>
        </w:rPr>
        <w:t xml:space="preserve">Where the components and their weights reflect the following priorities:</w:t>
      </w:r>
      <w:r w:rsidDel="00000000" w:rsidR="00000000" w:rsidRPr="00000000">
        <w:rPr>
          <w:rtl w:val="0"/>
        </w:rPr>
      </w:r>
    </w:p>
    <w:p w:rsidR="00000000" w:rsidDel="00000000" w:rsidP="00000000" w:rsidRDefault="00000000" w:rsidRPr="00000000" w14:paraId="000000AE">
      <w:pPr>
        <w:numPr>
          <w:ilvl w:val="0"/>
          <w:numId w:val="1"/>
        </w:numPr>
        <w:ind w:left="720" w:hanging="360"/>
        <w:jc w:val="both"/>
      </w:pPr>
      <w:r w:rsidDel="00000000" w:rsidR="00000000" w:rsidRPr="00000000">
        <w:rPr>
          <w:rFonts w:ascii="Times New Roman" w:cs="Times New Roman" w:eastAsia="Times New Roman" w:hAnsi="Times New Roman"/>
          <w:b w:val="1"/>
          <w:bCs w:val="1"/>
          <w:sz w:val="26"/>
          <w:szCs w:val="26"/>
          <w:rtl w:val="0"/>
        </w:rPr>
        <w:t xml:space="preserve">ESG Improvement Component (40 points):</w:t>
      </w:r>
      <w:r w:rsidDel="00000000" w:rsidR="00000000" w:rsidRPr="00000000">
        <w:rPr>
          <w:rFonts w:ascii="Gungsuh" w:cs="Gungsuh" w:eastAsia="Gungsuh" w:hAnsi="Gungsuh"/>
          <w:sz w:val="26"/>
          <w:szCs w:val="26"/>
          <w:rtl w:val="0"/>
        </w:rPr>
        <w:t xml:space="preserve"> Assigned the highest weight (40%) because verifiable environmental impact is the strongest indicator of substantive credibility (Flammer, 2021; Tang &amp; Zhang, 2020). This component measures verifiable ESG score improvement post-issuance relative to a pre-issuance baseline, scaled to [0, 40]. Firms with ESG score increases ≥ 5 points receive full weight; smaller improvements are scaled proportionally.</w:t>
      </w:r>
      <w:r w:rsidDel="00000000" w:rsidR="00000000" w:rsidRPr="00000000">
        <w:rPr>
          <w:rtl w:val="0"/>
        </w:rPr>
      </w:r>
    </w:p>
    <w:p w:rsidR="00000000" w:rsidDel="00000000" w:rsidP="00000000" w:rsidRDefault="00000000" w:rsidRPr="00000000" w14:paraId="000000AF">
      <w:pPr>
        <w:numPr>
          <w:ilvl w:val="0"/>
          <w:numId w:val="1"/>
        </w:numPr>
        <w:ind w:left="720" w:hanging="360"/>
        <w:jc w:val="both"/>
      </w:pPr>
      <w:r w:rsidDel="00000000" w:rsidR="00000000" w:rsidRPr="00000000">
        <w:rPr>
          <w:rFonts w:ascii="Times New Roman" w:cs="Times New Roman" w:eastAsia="Times New Roman" w:hAnsi="Times New Roman"/>
          <w:b w:val="1"/>
          <w:bCs w:val="1"/>
          <w:sz w:val="26"/>
          <w:szCs w:val="26"/>
          <w:rtl w:val="0"/>
        </w:rPr>
        <w:t xml:space="preserve">Certification Component (35 points):</w:t>
      </w:r>
      <w:r w:rsidDel="00000000" w:rsidR="00000000" w:rsidRPr="00000000">
        <w:rPr>
          <w:rFonts w:ascii="Times New Roman" w:cs="Times New Roman" w:eastAsia="Times New Roman" w:hAnsi="Times New Roman"/>
          <w:sz w:val="26"/>
          <w:szCs w:val="26"/>
          <w:rtl w:val="0"/>
        </w:rPr>
        <w:t xml:space="preserve"> Assigned 35% weight because third-party certification provides independent validation and serves as a credible ex-ante signal to reduce information asymmetry (Fatica &amp; Panzica, 2021; Hoang et al., 2020). This component grants 20 points for CBI (Climate Bonds Initiative) certification and 15 points for ICMA Green Bond Principles adherence, with a maximum of 35 points.</w:t>
      </w:r>
      <w:r w:rsidDel="00000000" w:rsidR="00000000" w:rsidRPr="00000000">
        <w:rPr>
          <w:rtl w:val="0"/>
        </w:rPr>
      </w:r>
    </w:p>
    <w:p w:rsidR="00000000" w:rsidDel="00000000" w:rsidP="00000000" w:rsidRDefault="00000000" w:rsidRPr="00000000" w14:paraId="000000B0">
      <w:pPr>
        <w:numPr>
          <w:ilvl w:val="0"/>
          <w:numId w:val="1"/>
        </w:numPr>
        <w:ind w:left="720" w:hanging="360"/>
        <w:jc w:val="both"/>
      </w:pPr>
      <w:r w:rsidDel="00000000" w:rsidR="00000000" w:rsidRPr="00000000">
        <w:rPr>
          <w:rFonts w:ascii="Times New Roman" w:cs="Times New Roman" w:eastAsia="Times New Roman" w:hAnsi="Times New Roman"/>
          <w:b w:val="1"/>
          <w:bCs w:val="1"/>
          <w:sz w:val="26"/>
          <w:szCs w:val="26"/>
          <w:rtl w:val="0"/>
        </w:rPr>
        <w:t xml:space="preserve">Issuer Credibility Component (25 points):</w:t>
      </w:r>
      <w:r w:rsidDel="00000000" w:rsidR="00000000" w:rsidRPr="00000000">
        <w:rPr>
          <w:rFonts w:ascii="Times New Roman" w:cs="Times New Roman" w:eastAsia="Times New Roman" w:hAnsi="Times New Roman"/>
          <w:sz w:val="26"/>
          <w:szCs w:val="26"/>
          <w:rtl w:val="0"/>
        </w:rPr>
        <w:t xml:space="preserve"> Assigned the lowest weight (25%) as it signals institutional capacity (Baulkaran, 2019) but track records can coexist with limited actual environmental impact (Hachenberg &amp; Schiereck, 2018). This component includes 15 points for prior green bond issuance history and 10 points for formal green bond framework documentation, with a maximum of 25 points.</w:t>
      </w:r>
      <w:r w:rsidDel="00000000" w:rsidR="00000000" w:rsidRPr="00000000">
        <w:rPr>
          <w:rtl w:val="0"/>
        </w:rPr>
      </w:r>
    </w:p>
    <w:p w:rsidR="00000000" w:rsidDel="00000000" w:rsidP="00000000" w:rsidRDefault="00000000" w:rsidRPr="00000000" w14:paraId="000000B1">
      <w:pPr>
        <w:jc w:val="both"/>
        <w:rPr/>
      </w:pPr>
      <w:r w:rsidDel="00000000" w:rsidR="00000000" w:rsidRPr="00000000">
        <w:rPr>
          <w:rFonts w:ascii="Gungsuh" w:cs="Gungsuh" w:eastAsia="Gungsuh" w:hAnsi="Gungsuh"/>
          <w:sz w:val="26"/>
          <w:szCs w:val="26"/>
          <w:rtl w:val="0"/>
        </w:rPr>
        <w:t xml:space="preserve">Based on total score (0-100) the bond is classified as one of the following: High authenticity (score ≥ 80); Medium authenticity (score 60-79); Low authenticity (score 40-59); Unverified (score &lt; 40).</w:t>
      </w:r>
      <w:r w:rsidDel="00000000" w:rsidR="00000000" w:rsidRPr="00000000">
        <w:rPr>
          <w:rtl w:val="0"/>
        </w:rPr>
      </w:r>
    </w:p>
    <w:p w:rsidR="00000000" w:rsidDel="00000000" w:rsidP="00000000" w:rsidRDefault="00000000" w:rsidRPr="00000000" w14:paraId="000000B2">
      <w:pPr>
        <w:jc w:val="both"/>
        <w:rPr/>
      </w:pPr>
      <w:r w:rsidDel="00000000" w:rsidR="00000000" w:rsidRPr="00000000">
        <w:rPr>
          <w:rFonts w:ascii="Times New Roman" w:cs="Times New Roman" w:eastAsia="Times New Roman" w:hAnsi="Times New Roman"/>
          <w:sz w:val="26"/>
          <w:szCs w:val="26"/>
          <w:rtl w:val="0"/>
        </w:rPr>
        <w:t xml:space="preserve">This weighting scheme intentionally penalizes bonds with high certification but no demonstrated ESG improvement, targeting the 'certification without impact' greenwashing pattern (Khan &amp; Vismara, 2025).</w:t>
      </w:r>
      <w:r w:rsidDel="00000000" w:rsidR="00000000" w:rsidRPr="00000000">
        <w:rPr>
          <w:rtl w:val="0"/>
        </w:rPr>
      </w:r>
    </w:p>
    <w:p w:rsidR="00000000" w:rsidDel="00000000" w:rsidP="00000000" w:rsidRDefault="00000000" w:rsidRPr="00000000" w14:paraId="000000B3">
      <w:pPr>
        <w:pStyle w:val="Heading4"/>
        <w:rPr/>
      </w:pPr>
      <w:r w:rsidDel="00000000" w:rsidR="00000000" w:rsidRPr="00000000">
        <w:rPr>
          <w:b w:val="1"/>
          <w:bCs w:val="1"/>
          <w:rtl w:val="0"/>
        </w:rPr>
        <w:t xml:space="preserve">3.5.2.2. Alternative Robustness Specifications</w:t>
      </w:r>
      <w:r w:rsidDel="00000000" w:rsidR="00000000" w:rsidRPr="00000000">
        <w:rPr>
          <w:rtl w:val="0"/>
        </w:rPr>
      </w:r>
    </w:p>
    <w:p w:rsidR="00000000" w:rsidDel="00000000" w:rsidP="00000000" w:rsidRDefault="00000000" w:rsidRPr="00000000" w14:paraId="000000B4">
      <w:pPr>
        <w:spacing w:after="240" w:lineRule="auto"/>
        <w:jc w:val="both"/>
        <w:rPr/>
      </w:pPr>
      <w:r w:rsidDel="00000000" w:rsidR="00000000" w:rsidRPr="00000000">
        <w:rPr>
          <w:rFonts w:ascii="Times New Roman" w:cs="Times New Roman" w:eastAsia="Times New Roman" w:hAnsi="Times New Roman"/>
          <w:sz w:val="26"/>
          <w:szCs w:val="26"/>
          <w:rtl w:val="0"/>
        </w:rPr>
        <w:t xml:space="preserve">In addition to the rigorous greenwashing screen, the robustness analysis incorporates several key methodological checks to ensure the validity and stability of the causal estimates. A primary concern is validating the estimation approach. Therefore, specification robustness is rigorously assessed by verifying the primary treatment effect across five alternative Difference-in-Differences (DiD) configurations, moving beyond the baseline Two-Way Fixed Effects model.</w:t>
      </w:r>
      <w:r w:rsidDel="00000000" w:rsidR="00000000" w:rsidRPr="00000000">
        <w:rPr>
          <w:rtl w:val="0"/>
        </w:rPr>
      </w:r>
    </w:p>
    <w:p w:rsidR="00000000" w:rsidDel="00000000" w:rsidP="00000000" w:rsidRDefault="00000000" w:rsidRPr="00000000" w14:paraId="000000B5">
      <w:pPr>
        <w:spacing w:after="240" w:lineRule="auto"/>
        <w:jc w:val="both"/>
        <w:rPr/>
      </w:pPr>
      <w:r w:rsidDel="00000000" w:rsidR="00000000" w:rsidRPr="00000000">
        <w:rPr>
          <w:rFonts w:ascii="Times New Roman" w:cs="Times New Roman" w:eastAsia="Times New Roman" w:hAnsi="Times New Roman"/>
          <w:sz w:val="26"/>
          <w:szCs w:val="26"/>
          <w:rtl w:val="0"/>
        </w:rPr>
        <w:t xml:space="preserve">Furthermore, to account for potential variations in impact due to firm-specific structural characteristics, a detailed heterogeneity analysis is conducted. This involves partitioning the sample based on firm size, using a median split of total assets, to systematically examine whether the treatment effect varies between large and small firms. This step addresses the conjecture that institutional capacity and market scrutiny may lead to differential outcomes across the corporate size spectrum.</w:t>
      </w:r>
      <w:r w:rsidDel="00000000" w:rsidR="00000000" w:rsidRPr="00000000">
        <w:rPr>
          <w:rtl w:val="0"/>
        </w:rPr>
      </w:r>
    </w:p>
    <w:p w:rsidR="00000000" w:rsidDel="00000000" w:rsidP="00000000" w:rsidRDefault="00000000" w:rsidRPr="00000000" w14:paraId="000000B6">
      <w:pPr>
        <w:spacing w:after="240" w:lineRule="auto"/>
        <w:jc w:val="both"/>
        <w:rPr/>
      </w:pPr>
      <w:r w:rsidDel="00000000" w:rsidR="00000000" w:rsidRPr="00000000">
        <w:rPr>
          <w:rFonts w:ascii="Times New Roman" w:cs="Times New Roman" w:eastAsia="Times New Roman" w:hAnsi="Times New Roman"/>
          <w:sz w:val="26"/>
          <w:szCs w:val="26"/>
          <w:rtl w:val="0"/>
        </w:rPr>
        <w:t xml:space="preserve">Finally, confirming the temporal stability of the effect is critical given the staggered nature of green bond issuance across the ASEAN markets. A specific cohort analysis is performed to estimate the Average Treatment Effect on the Treated (ATT) separately for different treatment cohorts, defined by their respective years of issuance. This analysis ensures that the aggregated treatment effect is not driven by specific cohort dynamics and confirms the consistency of the impact over time.</w:t>
      </w:r>
      <w:r w:rsidDel="00000000" w:rsidR="00000000" w:rsidRPr="00000000">
        <w:rPr>
          <w:rtl w:val="0"/>
        </w:rPr>
      </w:r>
    </w:p>
    <w:p w:rsidR="00000000" w:rsidDel="00000000" w:rsidP="00000000" w:rsidRDefault="00000000" w:rsidRPr="00000000" w14:paraId="000000B7">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3.5.3. Statistical Inference</w:t>
      </w:r>
    </w:p>
    <w:p w:rsidR="00000000" w:rsidDel="00000000" w:rsidP="00000000" w:rsidRDefault="00000000" w:rsidRPr="00000000" w14:paraId="000000B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statistical inference is based on two-sided hypothesis testing against the null hypothesis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 </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9">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Given the exploratory nature of the heterogeneity and robustness analyses, an estimated effect is interpreted as substantive evidence only when it demonstrates both statistical significance and consistent directional effects across the various identification strategies and robustness checks.</w:t>
      </w: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6"/>
          <w:szCs w:val="26"/>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Bdr>
        <w:bottom w:color="auto" w:space="5" w:sz="0" w:val="none"/>
      </w:pBdr>
      <w:spacing w:after="240" w:before="360" w:line="30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240" w:lineRule="auto"/>
      <w:jc w:val="both"/>
    </w:pPr>
    <w:rPr>
      <w:rFonts w:ascii="Times New Roman" w:cs="Times New Roman" w:eastAsia="Times New Roman" w:hAnsi="Times New Roman"/>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00" w:lineRule="auto"/>
    </w:pPr>
    <w:rPr>
      <w:rFonts w:ascii="Times New Roman" w:cs="Times New Roman" w:eastAsia="Times New Roman" w:hAnsi="Times New Roman"/>
      <w:sz w:val="26"/>
      <w:szCs w:val="26"/>
    </w:rPr>
  </w:style>
  <w:style w:type="paragraph" w:styleId="Subtitle">
    <w:name w:val="Subtitle"/>
    <w:basedOn w:val="Normal"/>
    <w:next w:val="Normal"/>
    <w:pPr>
      <w:keepNext w:val="1"/>
      <w:keepLines w:val="1"/>
      <w:spacing w:after="100" w:lineRule="auto"/>
    </w:pPr>
    <w:rPr>
      <w:rFonts w:ascii="Times New Roman" w:cs="Times New Roman" w:eastAsia="Times New Roman" w:hAnsi="Times New Roman"/>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