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Times New Roman" w:cs="Times New Roman" w:eastAsia="Times New Roman" w:hAnsi="Times New Roman"/>
          <w:b w:val="1"/>
          <w:bCs w:val="1"/>
          <w:sz w:val="26"/>
          <w:szCs w:val="26"/>
          <w:rtl w:val="0"/>
        </w:rPr>
        <w:t xml:space="preserve">CHAPTER IV: RESULTS AND DISCUSSION</w:t>
      </w:r>
      <w:r w:rsidDel="00000000" w:rsidR="00000000" w:rsidRPr="00000000">
        <w:rPr>
          <w:rtl w:val="0"/>
        </w:rPr>
      </w:r>
    </w:p>
    <w:p w:rsidR="00000000" w:rsidDel="00000000" w:rsidP="00000000" w:rsidRDefault="00000000" w:rsidRPr="00000000" w14:paraId="00000002">
      <w:pPr>
        <w:pStyle w:val="Heading2"/>
        <w:jc w:val="both"/>
        <w:rPr/>
      </w:pPr>
      <w:r w:rsidDel="00000000" w:rsidR="00000000" w:rsidRPr="00000000">
        <w:rPr>
          <w:rFonts w:ascii="Times New Roman" w:cs="Times New Roman" w:eastAsia="Times New Roman" w:hAnsi="Times New Roman"/>
          <w:sz w:val="26"/>
          <w:szCs w:val="26"/>
          <w:rtl w:val="0"/>
        </w:rPr>
        <w:t xml:space="preserve">4.1. Descriptive Statistical Analysis</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empirical analysis commences with a comprehensive descriptive evaluation of the full panel dataset, which comprises 23,284 firm-year observations from 3,964 ASEAN-listed companies spanning the 2020–2025 period. This statistical foundation is critical for establishing the baseline characteristics of the sample before the application of quasi-experimental identification strategies.</w:t>
      </w:r>
    </w:p>
    <w:p w:rsidR="00000000" w:rsidDel="00000000" w:rsidP="00000000" w:rsidRDefault="00000000" w:rsidRPr="00000000" w14:paraId="0000000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4.1.1. Full Sample Summary Statistics</w:t>
      </w:r>
    </w:p>
    <w:p w:rsidR="00000000" w:rsidDel="00000000" w:rsidP="00000000" w:rsidRDefault="00000000" w:rsidRPr="00000000" w14:paraId="00000005">
      <w:pPr>
        <w:spacing w:after="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 Descriptive Statistics – Full Sample</w:t>
      </w:r>
    </w:p>
    <w:tbl>
      <w:tblPr>
        <w:tblStyle w:val="Table1"/>
        <w:tblW w:w="10395.0" w:type="dxa"/>
        <w:jc w:val="left"/>
        <w:tblInd w:w="-79.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4.9999999999998"/>
        <w:gridCol w:w="1070.0000000000002"/>
        <w:gridCol w:w="1170"/>
        <w:gridCol w:w="1170"/>
        <w:gridCol w:w="1170"/>
        <w:gridCol w:w="1155"/>
        <w:gridCol w:w="1140"/>
        <w:gridCol w:w="1140"/>
        <w:gridCol w:w="1125"/>
        <w:tblGridChange w:id="0">
          <w:tblGrid>
            <w:gridCol w:w="1254.9999999999998"/>
            <w:gridCol w:w="1070.0000000000002"/>
            <w:gridCol w:w="1170"/>
            <w:gridCol w:w="1170"/>
            <w:gridCol w:w="1170"/>
            <w:gridCol w:w="1155"/>
            <w:gridCol w:w="1140"/>
            <w:gridCol w:w="1140"/>
            <w:gridCol w:w="112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spacing w:after="16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21,727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20,634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9.587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4,143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47.630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17.860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33.790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47.270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60.950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85.450</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18,888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10.439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8.784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10.355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11.939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20.767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19,298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11.834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7.254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10.478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12.996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17.589</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L1(Size)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19,298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0.861</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L1(Lev)</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0.675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3.776</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L1(AT)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16,848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0.682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1.053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0.283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w:t>
            </w:r>
          </w:p>
        </w:tc>
      </w:tr>
      <w:tr>
        <w:trPr>
          <w:cantSplit w:val="0"/>
          <w:trHeight w:val="420" w:hRule="atLeast"/>
          <w:tblHeader w:val="0"/>
        </w:trPr>
        <w:tc>
          <w:tcPr>
            <w:tcBorders>
              <w:top w:color="000000" w:space="0" w:sz="6"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L1(CI)</w:t>
            </w:r>
          </w:p>
        </w:tc>
        <w:tc>
          <w:tcPr>
            <w:tcBorders>
              <w:top w:color="000000" w:space="0" w:sz="6"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19,496</w:t>
            </w:r>
          </w:p>
        </w:tc>
        <w:tc>
          <w:tcPr>
            <w:tcBorders>
              <w:top w:color="000000" w:space="0" w:sz="6"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0.501</w:t>
            </w:r>
          </w:p>
        </w:tc>
        <w:tc>
          <w:tcPr>
            <w:tcBorders>
              <w:top w:color="000000" w:space="0" w:sz="6"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0.245</w:t>
            </w:r>
          </w:p>
        </w:tc>
        <w:tc>
          <w:tcPr>
            <w:tcBorders>
              <w:top w:color="000000" w:space="0" w:sz="6"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w:t>
            </w:r>
          </w:p>
        </w:tc>
        <w:tc>
          <w:tcPr>
            <w:tcBorders>
              <w:top w:color="000000" w:space="0" w:sz="6"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0.310</w:t>
            </w:r>
          </w:p>
        </w:tc>
        <w:tc>
          <w:tcPr>
            <w:tcBorders>
              <w:top w:color="000000" w:space="0" w:sz="6"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0.499</w:t>
            </w:r>
          </w:p>
        </w:tc>
        <w:tc>
          <w:tcPr>
            <w:tcBorders>
              <w:top w:color="000000" w:space="0" w:sz="6"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0.702</w:t>
            </w:r>
          </w:p>
        </w:tc>
        <w:tc>
          <w:tcPr>
            <w:tcBorders>
              <w:top w:color="000000" w:space="0" w:sz="6"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0.998</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L1(CR)</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21,727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0.038</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20,634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9.587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4,143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47.630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17.860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33.790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47.270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60.950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85.450</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GF</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18,888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10.439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8.784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10.355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11.939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20.767</w:t>
            </w:r>
          </w:p>
        </w:tc>
      </w:tr>
    </w:tbl>
    <w:p w:rsidR="00000000" w:rsidDel="00000000" w:rsidP="00000000" w:rsidRDefault="00000000" w:rsidRPr="00000000" w14:paraId="0000008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 </w:t>
      </w:r>
      <w:r w:rsidDel="00000000" w:rsidR="00000000" w:rsidRPr="00000000">
        <w:rPr>
          <w:rFonts w:ascii="Times New Roman" w:cs="Times New Roman" w:eastAsia="Times New Roman" w:hAnsi="Times New Roman"/>
          <w:sz w:val="26"/>
          <w:szCs w:val="26"/>
          <w:rtl w:val="0"/>
        </w:rPr>
        <w:t xml:space="preserve">N represents the number of firm-year observations. L1 denotes a one-year lag. ROA is Return on Assets; ICD is Implied Cost of Debt; ESG Score is the Environmental, Social, and Governance Score; ln(EI) is Emissions Intensity in natural logarithm; Size is Firm Size; Lev is Leverage; AT is Asset Turnover; CI is Capital Intensity; CR is Cash Ratio; Tan is Asset Tangibility; TR is Issuer Track Record; and GF is Green Bond Framewor. Normalization has been applied.</w:t>
      </w:r>
    </w:p>
    <w:p w:rsidR="00000000" w:rsidDel="00000000" w:rsidP="00000000" w:rsidRDefault="00000000" w:rsidRPr="00000000" w14:paraId="0000008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4.1 delineates the summary statistics for the primary variables of interest. Notably, the Return on Assets (ROA) exhibits a median of 3.8% alongside substantial dispersion (ranging from -49.0% to 36.7%), underscoring significant profitability heterogeneity across the ASEAN region. Tobin’s Q, with a median of 0.993, suggests that the typical firm is valued near its book value, although the pronounced right-skewness—reaching a maximum of 9.587—reflects the presence of high-growth outliers. Environmental, Social, and Governance (ESG) scores are quite sparse in the sample (only 4,143 observations), predominantly concentrated among large-capitalization firms with greater international visibility. In contrast, log emissions intensity is recorded in more observations, facilitating a more robust assessment of substantive environmental stewardship.</w:t>
      </w:r>
    </w:p>
    <w:p w:rsidR="00000000" w:rsidDel="00000000" w:rsidP="00000000" w:rsidRDefault="00000000" w:rsidRPr="00000000" w14:paraId="0000008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4.1.2. Treatment vs. Control Group Comparison</w:t>
      </w:r>
    </w:p>
    <w:p w:rsidR="00000000" w:rsidDel="00000000" w:rsidP="00000000" w:rsidRDefault="00000000" w:rsidRPr="00000000" w14:paraId="00000089">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Table 4.2 Descriptive Statistics — Group Comparison</w:t>
      </w:r>
      <w:r w:rsidDel="00000000" w:rsidR="00000000" w:rsidRPr="00000000">
        <w:rPr>
          <w:rtl w:val="0"/>
        </w:rPr>
      </w:r>
    </w:p>
    <w:tbl>
      <w:tblPr>
        <w:tblStyle w:val="Table2"/>
        <w:tblW w:w="80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6.25"/>
        <w:gridCol w:w="2006.25"/>
        <w:gridCol w:w="2006.25"/>
        <w:gridCol w:w="2006.25"/>
        <w:tblGridChange w:id="0">
          <w:tblGrid>
            <w:gridCol w:w="2006.25"/>
            <w:gridCol w:w="2006.25"/>
            <w:gridCol w:w="2006.25"/>
            <w:gridCol w:w="2006.2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Variable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Treated Group</w:t>
            </w:r>
          </w:p>
          <w:p w:rsidR="00000000" w:rsidDel="00000000" w:rsidP="00000000" w:rsidRDefault="00000000" w:rsidRPr="00000000" w14:paraId="0000008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Mean (SD)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Untreated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Difference</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0.046 (0.037)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0.035 (0.106)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0.011**</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1.242 (1.060)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1.403 (1.350)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-0.161</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0.696 (0.133)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0.474 (0.177)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0.222***</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13.818 (2.795)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10.428 (2.626)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3.390***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0.042 (0.006)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0.128 (0.138)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-0.086***</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L1(Size)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14.944 (1.781)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11.821 (2.010)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L1(Lev)</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0.412 (0.190)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0.225 (0.200)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L1(AT)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0.257 (0.359)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0.672 (0.676)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-0.415***</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L1(CI)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5.351 (4.385)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3.753 (4.144)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1.598**</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L1(CR)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0.782 (0.754)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0.682 (1.054)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0.409 (0.210)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0.509 (0.225)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2.420 (2.655)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 (0.000)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2.420***</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GF</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 (0.000)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 (0.000)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w:t>
            </w:r>
          </w:p>
        </w:tc>
      </w:tr>
    </w:tbl>
    <w:p w:rsidR="00000000" w:rsidDel="00000000" w:rsidP="00000000" w:rsidRDefault="00000000" w:rsidRPr="00000000" w14:paraId="000000C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 **, and * denote statistical significance at the 1%, 5%, and 10% levels, respectively.</w:t>
      </w:r>
    </w:p>
    <w:p w:rsidR="00000000" w:rsidDel="00000000" w:rsidP="00000000" w:rsidRDefault="00000000" w:rsidRPr="00000000" w14:paraId="000000C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critical component of the descriptive analysis is the comparison between the treatment group (green bond issuers) and the control group (non-issuers) prior to matching (Table 4.2). The univariate comparisons reveal that green bond issuers are significantly larger (log assets of 14.94 vs. 11.82, p &lt; 0.001), more highly levered (41.2% vs. 22.5%, p &lt; 0.001), and possess substantially higher ESG scores (0.696 vs. 0.474, p &lt; 0.001). These systematic ex-ante differences reinforce the necessity of employing Propensity Score Matching (PSM) to adjust for selection bias; a simple comparison of means would likely conflate the effects of issuance with pre-existing firm characteristics. Interestingly, the lower (though non-significant) Tobin’s Q among issuers suggests that green bond adoption is concentrated among mature, established entities rather than high-growth firms seeking to signal future potential.</w:t>
      </w:r>
    </w:p>
    <w:p w:rsidR="00000000" w:rsidDel="00000000" w:rsidP="00000000" w:rsidRDefault="00000000" w:rsidRPr="00000000" w14:paraId="000000C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4.1.3. Treatment Timeline and Cohort Distribution</w:t>
      </w:r>
    </w:p>
    <w:p w:rsidR="00000000" w:rsidDel="00000000" w:rsidP="00000000" w:rsidRDefault="00000000" w:rsidRPr="00000000" w14:paraId="000000C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Table 4.3 Temporal Distribution of Green Bond Issurances</w:t>
      </w:r>
      <w:r w:rsidDel="00000000" w:rsidR="00000000" w:rsidRPr="00000000">
        <w:rPr>
          <w:rtl w:val="0"/>
        </w:rPr>
      </w:r>
    </w:p>
    <w:tbl>
      <w:tblPr>
        <w:tblStyle w:val="Table3"/>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000"/>
        <w:gridCol w:w="1000"/>
        <w:gridCol w:w="1000"/>
        <w:gridCol w:w="1000"/>
        <w:gridCol w:w="1000"/>
        <w:gridCol w:w="1000"/>
        <w:gridCol w:w="1200"/>
        <w:tblGridChange w:id="0">
          <w:tblGrid>
            <w:gridCol w:w="2000"/>
            <w:gridCol w:w="1000"/>
            <w:gridCol w:w="1000"/>
            <w:gridCol w:w="1000"/>
            <w:gridCol w:w="1000"/>
            <w:gridCol w:w="1000"/>
            <w:gridCol w:w="1000"/>
            <w:gridCol w:w="1200"/>
          </w:tblGrid>
        </w:tblGridChange>
      </w:tblGrid>
      <w:tr>
        <w:trPr>
          <w:cantSplit w:val="0"/>
          <w:tblHeader w:val="1"/>
        </w:trPr>
        <w:tc>
          <w:tcPr/>
          <w:p w:rsidR="00000000" w:rsidDel="00000000" w:rsidP="00000000" w:rsidRDefault="00000000" w:rsidRPr="00000000" w14:paraId="000000C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Year</w:t>
            </w:r>
            <w:r w:rsidDel="00000000" w:rsidR="00000000" w:rsidRPr="00000000">
              <w:rPr>
                <w:rtl w:val="0"/>
              </w:rPr>
            </w:r>
          </w:p>
        </w:tc>
        <w:tc>
          <w:tcPr/>
          <w:p w:rsidR="00000000" w:rsidDel="00000000" w:rsidP="00000000" w:rsidRDefault="00000000" w:rsidRPr="00000000" w14:paraId="000000C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2020</w:t>
            </w:r>
            <w:r w:rsidDel="00000000" w:rsidR="00000000" w:rsidRPr="00000000">
              <w:rPr>
                <w:rtl w:val="0"/>
              </w:rPr>
            </w:r>
          </w:p>
        </w:tc>
        <w:tc>
          <w:tcPr/>
          <w:p w:rsidR="00000000" w:rsidDel="00000000" w:rsidP="00000000" w:rsidRDefault="00000000" w:rsidRPr="00000000" w14:paraId="000000C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2021</w:t>
            </w:r>
            <w:r w:rsidDel="00000000" w:rsidR="00000000" w:rsidRPr="00000000">
              <w:rPr>
                <w:rtl w:val="0"/>
              </w:rPr>
            </w:r>
          </w:p>
        </w:tc>
        <w:tc>
          <w:tcPr/>
          <w:p w:rsidR="00000000" w:rsidDel="00000000" w:rsidP="00000000" w:rsidRDefault="00000000" w:rsidRPr="00000000" w14:paraId="000000C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2022</w:t>
            </w:r>
            <w:r w:rsidDel="00000000" w:rsidR="00000000" w:rsidRPr="00000000">
              <w:rPr>
                <w:rtl w:val="0"/>
              </w:rPr>
            </w:r>
          </w:p>
        </w:tc>
        <w:tc>
          <w:tcPr/>
          <w:p w:rsidR="00000000" w:rsidDel="00000000" w:rsidP="00000000" w:rsidRDefault="00000000" w:rsidRPr="00000000" w14:paraId="000000C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2023</w:t>
            </w:r>
            <w:r w:rsidDel="00000000" w:rsidR="00000000" w:rsidRPr="00000000">
              <w:rPr>
                <w:rtl w:val="0"/>
              </w:rPr>
            </w:r>
          </w:p>
        </w:tc>
        <w:tc>
          <w:tcPr/>
          <w:p w:rsidR="00000000" w:rsidDel="00000000" w:rsidP="00000000" w:rsidRDefault="00000000" w:rsidRPr="00000000" w14:paraId="000000C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2024</w:t>
            </w:r>
            <w:r w:rsidDel="00000000" w:rsidR="00000000" w:rsidRPr="00000000">
              <w:rPr>
                <w:rtl w:val="0"/>
              </w:rPr>
            </w:r>
          </w:p>
        </w:tc>
        <w:tc>
          <w:tcPr/>
          <w:p w:rsidR="00000000" w:rsidDel="00000000" w:rsidP="00000000" w:rsidRDefault="00000000" w:rsidRPr="00000000" w14:paraId="000000C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2025</w:t>
            </w:r>
          </w:p>
        </w:tc>
        <w:tc>
          <w:tcPr/>
          <w:p w:rsidR="00000000" w:rsidDel="00000000" w:rsidP="00000000" w:rsidRDefault="00000000" w:rsidRPr="00000000" w14:paraId="000000C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0D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Issuances</w:t>
            </w:r>
          </w:p>
        </w:tc>
        <w:tc>
          <w:tcPr/>
          <w:p w:rsidR="00000000" w:rsidDel="00000000" w:rsidP="00000000" w:rsidRDefault="00000000" w:rsidRPr="00000000" w14:paraId="000000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D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D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D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D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0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r>
    </w:tbl>
    <w:p w:rsidR="00000000" w:rsidDel="00000000" w:rsidP="00000000" w:rsidRDefault="00000000" w:rsidRPr="00000000" w14:paraId="000000D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 </w:t>
      </w:r>
      <w:r w:rsidDel="00000000" w:rsidR="00000000" w:rsidRPr="00000000">
        <w:rPr>
          <w:rFonts w:ascii="Times New Roman" w:cs="Times New Roman" w:eastAsia="Times New Roman" w:hAnsi="Times New Roman"/>
          <w:sz w:val="26"/>
          <w:szCs w:val="26"/>
          <w:rtl w:val="0"/>
        </w:rPr>
        <w:t xml:space="preserve">There were not any new green bonds issued in the dataset in 2025.</w:t>
      </w:r>
    </w:p>
    <w:p w:rsidR="00000000" w:rsidDel="00000000" w:rsidP="00000000" w:rsidRDefault="00000000" w:rsidRPr="00000000" w14:paraId="000000D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temporal distribution of green bond issuances (Table 4.3) indicates a relatively even adoption rate between 2020 and 2024, with three to five issuances recorded annually. This staggered adoption necessitates the use of advanced econometric frameworks, such as the Callaway and Sant’Anna (2021) estimator, to account for potential treatment effect heterogeneity across different cohorts. Notably, the 2020 cohort lacks pre-treatment observations within the sample period, a constraint that informs the interpretation of parallel trends for the earliest adopters.</w:t>
      </w:r>
    </w:p>
    <w:p w:rsidR="00000000" w:rsidDel="00000000" w:rsidP="00000000" w:rsidRDefault="00000000" w:rsidRPr="00000000" w14:paraId="000000D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4.1.4. Data Coverage and Sparsity Considerations</w:t>
      </w:r>
    </w:p>
    <w:p w:rsidR="00000000" w:rsidDel="00000000" w:rsidP="00000000" w:rsidRDefault="00000000" w:rsidRPr="00000000" w14:paraId="000000DB">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Table 4.4 Data Coverage and Sparsity Across Outcome Variables</w:t>
      </w:r>
      <w:r w:rsidDel="00000000" w:rsidR="00000000" w:rsidRPr="00000000">
        <w:rPr>
          <w:rtl w:val="0"/>
        </w:rPr>
      </w:r>
    </w:p>
    <w:tbl>
      <w:tblPr>
        <w:tblStyle w:val="Table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p w:rsidR="00000000" w:rsidDel="00000000" w:rsidP="00000000" w:rsidRDefault="00000000" w:rsidRPr="00000000" w14:paraId="000000D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 Variable</w:t>
            </w:r>
            <w:r w:rsidDel="00000000" w:rsidR="00000000" w:rsidRPr="00000000">
              <w:rPr>
                <w:rtl w:val="0"/>
              </w:rPr>
            </w:r>
          </w:p>
        </w:tc>
        <w:tc>
          <w:tcPr/>
          <w:p w:rsidR="00000000" w:rsidDel="00000000" w:rsidP="00000000" w:rsidRDefault="00000000" w:rsidRPr="00000000" w14:paraId="000000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Full Sample Coverage</w:t>
            </w:r>
            <w:r w:rsidDel="00000000" w:rsidR="00000000" w:rsidRPr="00000000">
              <w:rPr>
                <w:rtl w:val="0"/>
              </w:rPr>
            </w:r>
          </w:p>
        </w:tc>
        <w:tc>
          <w:tcPr/>
          <w:p w:rsidR="00000000" w:rsidDel="00000000" w:rsidP="00000000" w:rsidRDefault="00000000" w:rsidRPr="00000000" w14:paraId="000000D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Treated Sample Coverage</w:t>
            </w:r>
            <w:r w:rsidDel="00000000" w:rsidR="00000000" w:rsidRPr="00000000">
              <w:rPr>
                <w:rtl w:val="0"/>
              </w:rPr>
            </w:r>
          </w:p>
        </w:tc>
      </w:tr>
      <w:tr>
        <w:trPr>
          <w:cantSplit w:val="0"/>
          <w:tblHeader w:val="0"/>
        </w:trPr>
        <w:tc>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on Assets</w:t>
            </w:r>
          </w:p>
        </w:tc>
        <w:tc>
          <w:tcPr/>
          <w:p w:rsidR="00000000" w:rsidDel="00000000" w:rsidP="00000000" w:rsidRDefault="00000000" w:rsidRPr="00000000" w14:paraId="000000E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21,727 (93.3%)</w:t>
            </w:r>
          </w:p>
        </w:tc>
        <w:tc>
          <w:tcPr/>
          <w:p w:rsidR="00000000" w:rsidDel="00000000" w:rsidP="00000000" w:rsidRDefault="00000000" w:rsidRPr="00000000" w14:paraId="000000E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79 (97.5%)</w:t>
            </w:r>
          </w:p>
        </w:tc>
      </w:tr>
      <w:tr>
        <w:trPr>
          <w:cantSplit w:val="0"/>
          <w:tblHeader w:val="0"/>
        </w:trPr>
        <w:tc>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p w:rsidR="00000000" w:rsidDel="00000000" w:rsidP="00000000" w:rsidRDefault="00000000" w:rsidRPr="00000000" w14:paraId="000000E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20,634 (88.6%)</w:t>
            </w:r>
          </w:p>
        </w:tc>
        <w:tc>
          <w:tcPr/>
          <w:p w:rsidR="00000000" w:rsidDel="00000000" w:rsidP="00000000" w:rsidRDefault="00000000" w:rsidRPr="00000000" w14:paraId="000000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78 (96.3%)</w:t>
            </w:r>
          </w:p>
        </w:tc>
      </w:tr>
      <w:tr>
        <w:trPr>
          <w:cantSplit w:val="0"/>
          <w:tblHeader w:val="0"/>
        </w:trPr>
        <w:tc>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p w:rsidR="00000000" w:rsidDel="00000000" w:rsidP="00000000" w:rsidRDefault="00000000" w:rsidRPr="00000000" w14:paraId="000000E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4,143 (17.8%)</w:t>
            </w:r>
          </w:p>
        </w:tc>
        <w:tc>
          <w:tcPr/>
          <w:p w:rsidR="00000000" w:rsidDel="00000000" w:rsidP="00000000" w:rsidRDefault="00000000" w:rsidRPr="00000000" w14:paraId="000000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(61.7%)</w:t>
            </w:r>
          </w:p>
        </w:tc>
      </w:tr>
      <w:tr>
        <w:trPr>
          <w:cantSplit w:val="0"/>
          <w:tblHeader w:val="0"/>
        </w:trPr>
        <w:tc>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ln(Emissions Intensity)</w:t>
            </w:r>
          </w:p>
        </w:tc>
        <w:tc>
          <w:tcPr/>
          <w:p w:rsidR="00000000" w:rsidDel="00000000" w:rsidP="00000000" w:rsidRDefault="00000000" w:rsidRPr="00000000" w14:paraId="000000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18,888 (81.1%)</w:t>
            </w:r>
          </w:p>
        </w:tc>
        <w:tc>
          <w:tcPr/>
          <w:p w:rsidR="00000000" w:rsidDel="00000000" w:rsidP="00000000" w:rsidRDefault="00000000" w:rsidRPr="00000000" w14:paraId="000000E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 (74.1%)</w:t>
            </w:r>
          </w:p>
        </w:tc>
      </w:tr>
      <w:tr>
        <w:trPr>
          <w:cantSplit w:val="0"/>
          <w:tblHeader w:val="0"/>
        </w:trPr>
        <w:tc>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Implied Cost of Debt</w:t>
            </w:r>
          </w:p>
        </w:tc>
        <w:tc>
          <w:tcPr/>
          <w:p w:rsidR="00000000" w:rsidDel="00000000" w:rsidP="00000000" w:rsidRDefault="00000000" w:rsidRPr="00000000" w14:paraId="000000E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169 (0.7%)</w:t>
            </w:r>
          </w:p>
        </w:tc>
        <w:tc>
          <w:tcPr/>
          <w:p w:rsidR="00000000" w:rsidDel="00000000" w:rsidP="00000000" w:rsidRDefault="00000000" w:rsidRPr="00000000" w14:paraId="000000E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(7.4%)</w:t>
            </w:r>
          </w:p>
        </w:tc>
      </w:tr>
    </w:tbl>
    <w:p w:rsidR="00000000" w:rsidDel="00000000" w:rsidP="00000000" w:rsidRDefault="00000000" w:rsidRPr="00000000" w14:paraId="000000E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robustness of the causal estimates is inherently linked to data availability across the outcome variables. While ROA and Tobin’s Q maintain excellent coverage (&gt;88%), the ESG score and emissions intensity variables exhibit greater sparsity. Most critically, the Implied Cost of Debt suffers from severe data limitations (0.7% coverage), which precludes robust causal estimation for this specific outcome. Consequently, subsequent analysis focuses on the dimensions of profitability, market valuation, and environmental performance where statistical power is sufficient for reliable inference.</w:t>
      </w:r>
    </w:p>
    <w:p w:rsidR="00000000" w:rsidDel="00000000" w:rsidP="00000000" w:rsidRDefault="00000000" w:rsidRPr="00000000" w14:paraId="000000EF">
      <w:pPr>
        <w:pStyle w:val="Heading2"/>
        <w:jc w:val="both"/>
        <w:rPr>
          <w:rFonts w:ascii="Times New Roman" w:cs="Times New Roman" w:eastAsia="Times New Roman" w:hAnsi="Times New Roman"/>
          <w:sz w:val="26"/>
          <w:szCs w:val="26"/>
        </w:rPr>
      </w:pPr>
      <w:bookmarkStart w:colFirst="0" w:colLast="0" w:name="_r9c5s18dhg4w" w:id="0"/>
      <w:bookmarkEnd w:id="0"/>
      <w:r w:rsidDel="00000000" w:rsidR="00000000" w:rsidRPr="00000000">
        <w:rPr>
          <w:rFonts w:ascii="Times New Roman" w:cs="Times New Roman" w:eastAsia="Times New Roman" w:hAnsi="Times New Roman"/>
          <w:sz w:val="26"/>
          <w:szCs w:val="26"/>
          <w:rtl w:val="0"/>
        </w:rPr>
        <w:t xml:space="preserve">4.2. Propensity Score Matching Diagnostics</w:t>
      </w:r>
    </w:p>
    <w:p w:rsidR="00000000" w:rsidDel="00000000" w:rsidP="00000000" w:rsidRDefault="00000000" w:rsidRPr="00000000" w14:paraId="000000F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address the self-selection bias inherent in corporate green bond issuance, we employ Propensity Score Matching (PSM) to construct a comparable control group of non-issuing firms. This section details the diagnostic evaluation of the matching procedure to ensure the validity of the subsequent Difference-in-Differences (DiD) estimation.</w:t>
      </w:r>
    </w:p>
    <w:p w:rsidR="00000000" w:rsidDel="00000000" w:rsidP="00000000" w:rsidRDefault="00000000" w:rsidRPr="00000000" w14:paraId="000000F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4.2.1. Propensity Score Distribution and Common Support</w:t>
      </w:r>
    </w:p>
    <w:p w:rsidR="00000000" w:rsidDel="00000000" w:rsidP="00000000" w:rsidRDefault="00000000" w:rsidRPr="00000000" w14:paraId="000000F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Propensity scores were estimated for 19,298 observations representing firms with complete data on the relevant lagged controls. The optimal matching caliper was determined using Austin’s (2011) rule, which suggests a threshold of 0.25 times the standard deviation of the logit of the propensity score. Given the sparse treatment setting (20 issuers), a relaxed caliper of 0.10 was ultimately employed to maximize match rates while preserving covariate balance.</w:t>
      </w:r>
    </w:p>
    <w:p w:rsidR="00000000" w:rsidDel="00000000" w:rsidP="00000000" w:rsidRDefault="00000000" w:rsidRPr="00000000" w14:paraId="000000F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common support analysis confirms an excellent overlap region [0.10, 0.90] after Crump trimming. Importantly, 100% of the treated units fall within the propensity score range of the available controls, ensuring that the counterfactual estimation does not rely on functional form extrapolation but rather on empirical overlap in firm characteristics.</w:t>
      </w:r>
    </w:p>
    <w:p w:rsidR="00000000" w:rsidDel="00000000" w:rsidP="00000000" w:rsidRDefault="00000000" w:rsidRPr="00000000" w14:paraId="000000F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4.2.2. Matching Quality and Balance Assessment</w:t>
      </w:r>
    </w:p>
    <w:p w:rsidR="00000000" w:rsidDel="00000000" w:rsidP="00000000" w:rsidRDefault="00000000" w:rsidRPr="00000000" w14:paraId="000000F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study implemented a 1:4 nearest-neighbor matching algorithm with replacement. This approach resulted in a matched sample where 20 treated firms are paired with approximately 80 unique control entities. </w:t>
      </w:r>
    </w:p>
    <w:p w:rsidR="00000000" w:rsidDel="00000000" w:rsidP="00000000" w:rsidRDefault="00000000" w:rsidRPr="00000000" w14:paraId="000000F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Table 4.4 Covariate Balance After Matching </w:t>
      </w:r>
      <w:r w:rsidDel="00000000" w:rsidR="00000000" w:rsidRPr="00000000">
        <w:rPr>
          <w:rtl w:val="0"/>
        </w:rPr>
      </w:r>
    </w:p>
    <w:tbl>
      <w:tblPr>
        <w:tblStyle w:val="Table5"/>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040"/>
        <w:gridCol w:w="2040"/>
        <w:gridCol w:w="1845"/>
        <w:gridCol w:w="1635"/>
        <w:tblGridChange w:id="0">
          <w:tblGrid>
            <w:gridCol w:w="1590"/>
            <w:gridCol w:w="2040"/>
            <w:gridCol w:w="2040"/>
            <w:gridCol w:w="1845"/>
            <w:gridCol w:w="1635"/>
          </w:tblGrid>
        </w:tblGridChange>
      </w:tblGrid>
      <w:tr>
        <w:trPr>
          <w:cantSplit w:val="0"/>
          <w:trHeight w:val="91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Std_Difference (Pre-Match)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Std_Difference (Post-Match)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P_Value (Post-Match)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Balanced</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L1(Size)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L1(Lev)</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0.654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L1(AT)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0.782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L1(CI)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L1(CR)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bl>
    <w:p w:rsidR="00000000" w:rsidDel="00000000" w:rsidP="00000000" w:rsidRDefault="00000000" w:rsidRPr="00000000" w14:paraId="000001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covariate balance assessment (Table 4.4) demonstrates that the PSM procedure successfully mitigated the substantial pre-match imbalances. All matching features—including firm size, leverage, and capital intensity—achieved a Standardized Mean Difference (SMD) of less than 0.10 post-matching, satisfying the balance criteria established by Stuart and Rubin (2008). Notably, the extreme imbalance in firm size (SMD = 1.54) was reduced to a negligible 0.042. The absence of statistically significant differences (all p &gt; 0.05) across all covariates post-matching confirms that the PSM procedure has successfully created a balanced sample on observable dimensions, providing a credible foundation for DiD analysis.</w:t>
      </w:r>
    </w:p>
    <w:p w:rsidR="00000000" w:rsidDel="00000000" w:rsidP="00000000" w:rsidRDefault="00000000" w:rsidRPr="00000000" w14:paraId="00000117">
      <w:pPr>
        <w:pStyle w:val="Heading2"/>
        <w:jc w:val="both"/>
        <w:rPr>
          <w:rFonts w:ascii="Times New Roman" w:cs="Times New Roman" w:eastAsia="Times New Roman" w:hAnsi="Times New Roman"/>
          <w:sz w:val="26"/>
          <w:szCs w:val="26"/>
        </w:rPr>
      </w:pPr>
      <w:bookmarkStart w:colFirst="0" w:colLast="0" w:name="_n3d3i7q5af2w" w:id="1"/>
      <w:bookmarkEnd w:id="1"/>
      <w:r w:rsidDel="00000000" w:rsidR="00000000" w:rsidRPr="00000000">
        <w:rPr>
          <w:rFonts w:ascii="Times New Roman" w:cs="Times New Roman" w:eastAsia="Times New Roman" w:hAnsi="Times New Roman"/>
          <w:sz w:val="26"/>
          <w:szCs w:val="26"/>
          <w:rtl w:val="0"/>
        </w:rPr>
        <w:t xml:space="preserve">4.3. Parallel Trends Test</w:t>
      </w:r>
    </w:p>
    <w:p w:rsidR="00000000" w:rsidDel="00000000" w:rsidP="00000000" w:rsidRDefault="00000000" w:rsidRPr="00000000" w14:paraId="000001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validity of the Difference-in-Differences (DiD) identification strategy is predicated on the parallel trends assumption—the requirement that, in the absence of treatment, the outcome trajectories for both the treated and control groups would have followed a similar path. We subject this assumption to rigorous testing using both a pooled event-study specification and a cohort-specific analysis.</w:t>
      </w:r>
    </w:p>
    <w:p w:rsidR="00000000" w:rsidDel="00000000" w:rsidP="00000000" w:rsidRDefault="00000000" w:rsidRPr="00000000" w14:paraId="0000011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4.3.1. Pooled Parallel Trends Test</w:t>
      </w:r>
    </w:p>
    <w:p w:rsidR="00000000" w:rsidDel="00000000" w:rsidP="00000000" w:rsidRDefault="00000000" w:rsidRPr="00000000" w14:paraId="0000011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4.5 </w:t>
      </w:r>
      <w:r w:rsidDel="00000000" w:rsidR="00000000" w:rsidRPr="00000000">
        <w:rPr>
          <w:rFonts w:ascii="Times New Roman" w:cs="Times New Roman" w:eastAsia="Times New Roman" w:hAnsi="Times New Roman"/>
          <w:b w:val="1"/>
          <w:bCs w:val="1"/>
          <w:i w:val="1"/>
          <w:iCs w:val="1"/>
          <w:sz w:val="26"/>
          <w:szCs w:val="26"/>
          <w:rtl w:val="0"/>
        </w:rPr>
        <w:t xml:space="preserve">Pooled Parallel Trends Test — Return on Assets (ROA)</w:t>
      </w:r>
      <w:r w:rsidDel="00000000" w:rsidR="00000000" w:rsidRPr="00000000">
        <w:rPr>
          <w:rtl w:val="0"/>
        </w:rPr>
      </w:r>
    </w:p>
    <w:tbl>
      <w:tblPr>
        <w:tblStyle w:val="Table6"/>
        <w:tblW w:w="85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455"/>
        <w:gridCol w:w="1230"/>
        <w:gridCol w:w="1080"/>
        <w:gridCol w:w="2985"/>
        <w:tblGridChange w:id="0">
          <w:tblGrid>
            <w:gridCol w:w="1845"/>
            <w:gridCol w:w="1455"/>
            <w:gridCol w:w="1230"/>
            <w:gridCol w:w="1080"/>
            <w:gridCol w:w="298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Relative Period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Coefficient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 Error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Interpretation</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 (t-1)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0.832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Pre-treatment (no violation)</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Lag (t=0, t+1)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0.761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Post-treatment effect</w:t>
            </w:r>
          </w:p>
        </w:tc>
      </w:tr>
    </w:tbl>
    <w:p w:rsidR="00000000" w:rsidDel="00000000" w:rsidP="00000000" w:rsidRDefault="00000000" w:rsidRPr="00000000" w14:paraId="000001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pooled specification incorporates leads and lags of the treatment indicator to identify any pre-treatment divergence. However, given the relatively short panel span (2020–2025) and the early onset of treatment for the 2020 and 2021 cohorts, the pre-treatment window is inherently constrained. The pooled test results for the ROA outcome reveal a small (0.003) and statistically insignificant lead coefficient (p = 0.832), which is consistent with the parallel trends assumption in the overall sample. Conversely, the post-treatment lag coefficient (β = -0.006, p = 0.756) is also non-significant, aligning with the primary null findings of the main DiD analysis.</w:t>
      </w:r>
    </w:p>
    <w:p w:rsidR="00000000" w:rsidDel="00000000" w:rsidP="00000000" w:rsidRDefault="00000000" w:rsidRPr="00000000" w14:paraId="0000012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4.3.2. Cohort-Specific Parallel Trends Analysis</w:t>
      </w:r>
    </w:p>
    <w:p w:rsidR="00000000" w:rsidDel="00000000" w:rsidP="00000000" w:rsidRDefault="00000000" w:rsidRPr="00000000" w14:paraId="0000012C">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4.6 </w:t>
      </w:r>
      <w:r w:rsidDel="00000000" w:rsidR="00000000" w:rsidRPr="00000000">
        <w:rPr>
          <w:rFonts w:ascii="Times New Roman" w:cs="Times New Roman" w:eastAsia="Times New Roman" w:hAnsi="Times New Roman"/>
          <w:b w:val="1"/>
          <w:bCs w:val="1"/>
          <w:i w:val="1"/>
          <w:iCs w:val="1"/>
          <w:sz w:val="26"/>
          <w:szCs w:val="26"/>
          <w:rtl w:val="0"/>
        </w:rPr>
        <w:t xml:space="preserve">Cohort-Specific Pre-Trend Tests — Return on Assets (ROA)</w:t>
      </w:r>
    </w:p>
    <w:tbl>
      <w:tblPr>
        <w:tblStyle w:val="Table7"/>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309.9999999999998"/>
        <w:gridCol w:w="1705.0000000000002"/>
        <w:gridCol w:w="2145"/>
        <w:gridCol w:w="2475"/>
        <w:tblGridChange w:id="0">
          <w:tblGrid>
            <w:gridCol w:w="1125"/>
            <w:gridCol w:w="1309.9999999999998"/>
            <w:gridCol w:w="1705.0000000000002"/>
            <w:gridCol w:w="2145"/>
            <w:gridCol w:w="247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Cohort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 Treated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Coef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p-value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Valid?</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pre-treatment data</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pre-treatment data</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bl>
    <w:p w:rsidR="00000000" w:rsidDel="00000000" w:rsidP="00000000" w:rsidRDefault="00000000" w:rsidRPr="00000000" w14:paraId="000001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account for the staggered timing of green bond issuance, we apply the Callaway and Sant’Anna (2021) framework to evaluate parallel trends separately for each cohort (Table 4.5). Among the cohorts with sufficient pre-treatment data (2022, 2023, and 2024), none exhibit statistically significant pre-trends (all p &gt; 0.10), lending empirical support to the DiD identification strategy. While the 2020 and 2021 cohorts cannot be definitively tested due to the lack of pre-treatment observations, the consistency of the results among later adopters enhances the credibility of the aggregated treatment effect estimates. For the subset of cohorts representing 60% of the treated sample, the parallel trends assumption appears robust.</w:t>
      </w:r>
    </w:p>
    <w:p w:rsidR="00000000" w:rsidDel="00000000" w:rsidP="00000000" w:rsidRDefault="00000000" w:rsidRPr="00000000" w14:paraId="0000014C">
      <w:pPr>
        <w:pStyle w:val="Heading2"/>
        <w:rPr>
          <w:rFonts w:ascii="Times New Roman" w:cs="Times New Roman" w:eastAsia="Times New Roman" w:hAnsi="Times New Roman"/>
          <w:sz w:val="26"/>
          <w:szCs w:val="26"/>
        </w:rPr>
      </w:pPr>
      <w:bookmarkStart w:colFirst="0" w:colLast="0" w:name="_r66lzbwwo6ec" w:id="2"/>
      <w:bookmarkEnd w:id="2"/>
      <w:r w:rsidDel="00000000" w:rsidR="00000000" w:rsidRPr="00000000">
        <w:rPr>
          <w:rFonts w:ascii="Times New Roman" w:cs="Times New Roman" w:eastAsia="Times New Roman" w:hAnsi="Times New Roman"/>
          <w:sz w:val="26"/>
          <w:szCs w:val="26"/>
          <w:rtl w:val="0"/>
        </w:rPr>
        <w:t xml:space="preserve">4.4. Model Selection and Diagnostic Summary</w:t>
      </w:r>
    </w:p>
    <w:p w:rsidR="00000000" w:rsidDel="00000000" w:rsidP="00000000" w:rsidRDefault="00000000" w:rsidRPr="00000000" w14:paraId="000001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section provides the econometric justification for the selected model specifications, ensuring that the empirical results are robust to potential violations of standard OLS assumptions and the dynamic nature of corporate performance data.</w:t>
      </w:r>
    </w:p>
    <w:p w:rsidR="00000000" w:rsidDel="00000000" w:rsidP="00000000" w:rsidRDefault="00000000" w:rsidRPr="00000000" w14:paraId="000001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4.4.1. Specification Tests</w:t>
      </w:r>
    </w:p>
    <w:p w:rsidR="00000000" w:rsidDel="00000000" w:rsidP="00000000" w:rsidRDefault="00000000" w:rsidRPr="00000000" w14:paraId="000001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perform a series of formal tests to determine the most appropriate model for the panel data. The F-tests for the joint significance of entity fixed effects (F = 18.3, p &lt; 0.001) and time fixed effects (F = 12.7, p &lt; 0.001) confirm that a Two-Way Fixed Effects (TWFE) specification is statistically superior to pooled OLS. The inclusion of entity fixed effects is particularly critical to control for time-invariant firm characteristics—such as management quality or sector-specific cultures—that may be correlated with both the decision to issue green bonds and the firm’s subsequent performance.</w:t>
      </w:r>
    </w:p>
    <w:p w:rsidR="00000000" w:rsidDel="00000000" w:rsidP="00000000" w:rsidRDefault="00000000" w:rsidRPr="00000000" w14:paraId="0000015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4.4.2. Heteroscedasticity and Autocorrelation</w:t>
      </w:r>
    </w:p>
    <w:p w:rsidR="00000000" w:rsidDel="00000000" w:rsidP="00000000" w:rsidRDefault="00000000" w:rsidRPr="00000000" w14:paraId="000001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Diagnostic tests reveal significant departures from homoscedasticity and independence. The Breusch-Pagan test strongly rejects the null of constant variance (χ² = 543.2, p &lt; 0.001), and the Wooldridge test indicates the presence of first-order serial correlation within firms (F = 27.4, p &lt; 0.001). To address these issues, all DiD and GMM models employ robust standard errors clustered at the firm level, ensuring that the reported p-values account for within-firm correlation and heteroscedasticity (Bertrand et al., 2004).</w:t>
      </w:r>
    </w:p>
    <w:p w:rsidR="00000000" w:rsidDel="00000000" w:rsidP="00000000" w:rsidRDefault="00000000" w:rsidRPr="00000000" w14:paraId="0000015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4.4.3. Cross-Sectional Dependence and GMM Validity</w:t>
      </w:r>
    </w:p>
    <w:p w:rsidR="00000000" w:rsidDel="00000000" w:rsidP="00000000" w:rsidRDefault="00000000" w:rsidRPr="00000000" w14:paraId="00000153">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4.7 </w:t>
      </w:r>
      <w:r w:rsidDel="00000000" w:rsidR="00000000" w:rsidRPr="00000000">
        <w:rPr>
          <w:rFonts w:ascii="Times New Roman" w:cs="Times New Roman" w:eastAsia="Times New Roman" w:hAnsi="Times New Roman"/>
          <w:b w:val="1"/>
          <w:bCs w:val="1"/>
          <w:i w:val="1"/>
          <w:iCs w:val="1"/>
          <w:sz w:val="26"/>
          <w:szCs w:val="26"/>
          <w:rtl w:val="0"/>
        </w:rPr>
        <w:t xml:space="preserve">System GMM Validity Diagnostics</w:t>
      </w:r>
    </w:p>
    <w:tbl>
      <w:tblPr>
        <w:tblStyle w:val="Table8"/>
        <w:tblW w:w="82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1.25"/>
        <w:gridCol w:w="2051.25"/>
        <w:gridCol w:w="2051.25"/>
        <w:gridCol w:w="2051.25"/>
        <w:tblGridChange w:id="0">
          <w:tblGrid>
            <w:gridCol w:w="2051.25"/>
            <w:gridCol w:w="2051.25"/>
            <w:gridCol w:w="2051.25"/>
            <w:gridCol w:w="2051.25"/>
          </w:tblGrid>
        </w:tblGridChange>
      </w:tblGrid>
      <w:tr>
        <w:trPr>
          <w:cantSplit w:val="0"/>
          <w:trHeight w:val="660" w:hRule="atLeast"/>
          <w:tblHeader w:val="1"/>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AR(1) Test (p-value)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AR(2) Test (p-value)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Hansen Test (p-value)</w:t>
            </w:r>
            <w:r w:rsidDel="00000000" w:rsidR="00000000" w:rsidRPr="00000000">
              <w:rPr>
                <w:rtl w:val="0"/>
              </w:rPr>
            </w:r>
          </w:p>
        </w:tc>
      </w:tr>
      <w:tr>
        <w:trPr>
          <w:cantSplit w:val="0"/>
          <w:trHeight w:val="420" w:hRule="atLeast"/>
          <w:tblHeader w:val="1"/>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0.651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0.365</w:t>
            </w:r>
          </w:p>
        </w:tc>
      </w:tr>
      <w:tr>
        <w:trPr>
          <w:cantSplit w:val="0"/>
          <w:trHeight w:val="420" w:hRule="atLeast"/>
          <w:tblHeader w:val="1"/>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0.582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0.412</w:t>
            </w:r>
          </w:p>
        </w:tc>
      </w:tr>
      <w:tr>
        <w:trPr>
          <w:cantSplit w:val="0"/>
          <w:trHeight w:val="420" w:hRule="atLeast"/>
          <w:tblHeader w:val="1"/>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0.389</w:t>
            </w:r>
          </w:p>
        </w:tc>
      </w:tr>
      <w:tr>
        <w:trPr>
          <w:cantSplit w:val="0"/>
          <w:trHeight w:val="405" w:hRule="atLeast"/>
          <w:tblHeader w:val="1"/>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0.421</w:t>
            </w:r>
          </w:p>
        </w:tc>
      </w:tr>
    </w:tbl>
    <w:p w:rsidR="00000000" w:rsidDel="00000000" w:rsidP="00000000" w:rsidRDefault="00000000" w:rsidRPr="00000000" w14:paraId="000001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All outcomes satisfy GMM validity criteria: AR(2) tests are insignificant (p &gt; 0.05), confirming the absence of second-order serial correlation. Hansen tests do not reject the null hypothesis of valid instruments (p &gt; 0.10 for all). ICD is </w:t>
      </w:r>
      <w:r w:rsidDel="00000000" w:rsidR="00000000" w:rsidRPr="00000000">
        <w:rPr>
          <w:rFonts w:ascii="Times New Roman" w:cs="Times New Roman" w:eastAsia="Times New Roman" w:hAnsi="Times New Roman"/>
          <w:b w:val="1"/>
          <w:bCs w:val="1"/>
          <w:sz w:val="26"/>
          <w:szCs w:val="26"/>
          <w:rtl w:val="0"/>
        </w:rPr>
        <w:t xml:space="preserve">not shown</w:t>
      </w:r>
      <w:r w:rsidDel="00000000" w:rsidR="00000000" w:rsidRPr="00000000">
        <w:rPr>
          <w:rFonts w:ascii="Times New Roman" w:cs="Times New Roman" w:eastAsia="Times New Roman" w:hAnsi="Times New Roman"/>
          <w:sz w:val="26"/>
          <w:szCs w:val="26"/>
          <w:rtl w:val="0"/>
        </w:rPr>
        <w:t xml:space="preserve"> because GMM estimation failed due to data sparsity.</w:t>
      </w:r>
    </w:p>
    <w:p w:rsidR="00000000" w:rsidDel="00000000" w:rsidP="00000000" w:rsidRDefault="00000000" w:rsidRPr="00000000" w14:paraId="000001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 the regional focus on ASEAN, we test for cross-sectional dependence using the Pesaran CD test. The results (CD = 4.2, p &lt; 0.001) indicate that firms in the sample may be subject to common shocks, such as regional macroeconomic cycles or the COVID-19 pandemic. While the inclusion of time fixed effects mitigates these common shocks, we further validate our dynamic estimates using System GMM. Table 4.6 presents the GMM diagnostics, showing that the Arellano-Bond AR(2) tests fail to reject the null of no second-order serial correlation (all p &gt; 0.05) and the Hansen tests confirm the validity of the overidentifying restrictions. These diagnostics verify that the System GMM estimates are suitable for causal interpretation, especially in the presence of dynamic endogeneity.</w:t>
      </w:r>
    </w:p>
    <w:p w:rsidR="00000000" w:rsidDel="00000000" w:rsidP="00000000" w:rsidRDefault="00000000" w:rsidRPr="00000000" w14:paraId="0000016A">
      <w:pPr>
        <w:pStyle w:val="Heading2"/>
        <w:jc w:val="both"/>
        <w:rPr>
          <w:rFonts w:ascii="Times New Roman" w:cs="Times New Roman" w:eastAsia="Times New Roman" w:hAnsi="Times New Roman"/>
          <w:sz w:val="26"/>
          <w:szCs w:val="26"/>
        </w:rPr>
      </w:pPr>
      <w:bookmarkStart w:colFirst="0" w:colLast="0" w:name="_leiqsjh9fb2f" w:id="3"/>
      <w:bookmarkEnd w:id="3"/>
      <w:r w:rsidDel="00000000" w:rsidR="00000000" w:rsidRPr="00000000">
        <w:rPr>
          <w:rFonts w:ascii="Times New Roman" w:cs="Times New Roman" w:eastAsia="Times New Roman" w:hAnsi="Times New Roman"/>
          <w:sz w:val="26"/>
          <w:szCs w:val="26"/>
          <w:rtl w:val="0"/>
        </w:rPr>
        <w:t xml:space="preserve">4.5. Empirical Results</w:t>
      </w:r>
    </w:p>
    <w:p w:rsidR="00000000" w:rsidDel="00000000" w:rsidP="00000000" w:rsidRDefault="00000000" w:rsidRPr="00000000" w14:paraId="000001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section presents the primary empirical findings on the causal impact of green bond issuance across financial and environmental performance dimensions, utilizing both static and dynamic panel estimations.</w:t>
      </w:r>
    </w:p>
    <w:p w:rsidR="00000000" w:rsidDel="00000000" w:rsidP="00000000" w:rsidRDefault="00000000" w:rsidRPr="00000000" w14:paraId="0000016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4.5.1. Baseline and Dynamic Estimates</w:t>
      </w:r>
    </w:p>
    <w:p w:rsidR="00000000" w:rsidDel="00000000" w:rsidP="00000000" w:rsidRDefault="00000000" w:rsidRPr="00000000" w14:paraId="0000016D">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4.7 </w:t>
      </w:r>
      <w:r w:rsidDel="00000000" w:rsidR="00000000" w:rsidRPr="00000000">
        <w:rPr>
          <w:rFonts w:ascii="Times New Roman" w:cs="Times New Roman" w:eastAsia="Times New Roman" w:hAnsi="Times New Roman"/>
          <w:b w:val="1"/>
          <w:bCs w:val="1"/>
          <w:i w:val="1"/>
          <w:iCs w:val="1"/>
          <w:sz w:val="26"/>
          <w:szCs w:val="26"/>
          <w:rtl w:val="0"/>
        </w:rPr>
        <w:t xml:space="preserve">DiD Estimates by Outcome and Specification</w:t>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845"/>
        <w:gridCol w:w="1845"/>
        <w:gridCol w:w="1995"/>
        <w:gridCol w:w="1845"/>
        <w:tblGridChange w:id="0">
          <w:tblGrid>
            <w:gridCol w:w="1590"/>
            <w:gridCol w:w="1845"/>
            <w:gridCol w:w="1845"/>
            <w:gridCol w:w="1995"/>
            <w:gridCol w:w="184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Entity FE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Time FE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TWFE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 FE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−0.020 (.302)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0.015 (.224)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b w:val="1"/>
                <w:bCs w:val="1"/>
                <w:sz w:val="26"/>
                <w:szCs w:val="26"/>
                <w:rtl w:val="0"/>
              </w:rPr>
              <w:t xml:space="preserve">−0.007 (.761)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0.014 (.269)</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0.223 (.580)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0.103 (.717)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0.445 (.315)</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0.079 (.780)</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0.080 (.165)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0.162 (&lt; .001)***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0.042 (.554)</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0.164 (&lt; .001)***</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−0.197 (.310)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1.519 (.001)***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b w:val="1"/>
                <w:bCs w:val="1"/>
                <w:sz w:val="26"/>
                <w:szCs w:val="26"/>
                <w:rtl w:val="0"/>
              </w:rPr>
              <w:t xml:space="preserve">−0.209 (.248)</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 (.001)***</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8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Cell entries are coefficient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-value). TWFE is the preferred specification (Section 3.4.2.2). Standard errors clustered at the entity level. Results based on survivorship_mode='exclude' to address survivorship bias.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.10,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.05,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.01,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.001.</w:t>
      </w:r>
    </w:p>
    <w:p w:rsidR="00000000" w:rsidDel="00000000" w:rsidP="00000000" w:rsidRDefault="00000000" w:rsidRPr="00000000" w14:paraId="000001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study analyzes the treatment effect using a combination of static Two-Way Fixed Effects (TWFE) and dynamic System GMM specifications (Tables 4.4 and 4.5). Across all primary outcomes—Return on Assets (ROA), Tobin’s Q, and ESG scores—the estimated treatment effects are statistically non-significant under the preferred specifications. For ROA, the TWFE coefficient is near-zero (β = -0.006, p = 0.756), a result corroborated by the System GMM estimate (β = -0.0019, p = 0.822). Similarly, Tobin’s Q exhibits a positive but statistically insignificant response (β = 0.494, p = 0.207), suggesting that any apparent market premium is likely a selection artifact rather than a causal revaluation triggered by the issuance event.</w:t>
      </w:r>
    </w:p>
    <w:p w:rsidR="00000000" w:rsidDel="00000000" w:rsidP="00000000" w:rsidRDefault="00000000" w:rsidRPr="00000000" w14:paraId="0000018E">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4.8 </w:t>
      </w:r>
      <w:r w:rsidDel="00000000" w:rsidR="00000000" w:rsidRPr="00000000">
        <w:rPr>
          <w:rFonts w:ascii="Times New Roman" w:cs="Times New Roman" w:eastAsia="Times New Roman" w:hAnsi="Times New Roman"/>
          <w:b w:val="1"/>
          <w:bCs w:val="1"/>
          <w:i w:val="1"/>
          <w:iCs w:val="1"/>
          <w:sz w:val="26"/>
          <w:szCs w:val="26"/>
          <w:rtl w:val="0"/>
        </w:rPr>
        <w:t xml:space="preserve">System GMM Estimates — Treatment Effect of Green Bond Issuance</w:t>
      </w:r>
    </w:p>
    <w:tbl>
      <w:tblPr>
        <w:tblStyle w:val="Table1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950"/>
        <w:gridCol w:w="1275"/>
        <w:gridCol w:w="1050"/>
        <w:gridCol w:w="1575"/>
        <w:gridCol w:w="915"/>
        <w:tblGridChange w:id="0">
          <w:tblGrid>
            <w:gridCol w:w="2370"/>
            <w:gridCol w:w="1950"/>
            <w:gridCol w:w="1275"/>
            <w:gridCol w:w="1050"/>
            <w:gridCol w:w="1575"/>
            <w:gridCol w:w="915"/>
          </w:tblGrid>
        </w:tblGridChange>
      </w:tblGrid>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Coefficient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 Error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Significance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N-obs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−0.0013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0.0035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9">
            <w:pPr>
              <w:spacing w:after="16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0.2490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F">
            <w:pPr>
              <w:spacing w:after="16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0.0194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spacing w:after="16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−0.1921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0.0974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(Insufficient data)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spacing w:after="16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System GMM estimates using the dynamic specification detailed in Section 3.4.3. ln(Emissions Intensity) shows a marginally significant negative effect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.048), suggesting some emissions reduction post-issuance, though the effect size is modest. Other outcomes show directional consistency with TWFE DiD but lack statistical significance. Implied Cost of Debt could not be estimated due to severe data sparsity (0.7% coverage). N-obs varies by outcome due to missing data; clustered standard errors used.</w:t>
      </w:r>
    </w:p>
    <w:p w:rsidR="00000000" w:rsidDel="00000000" w:rsidP="00000000" w:rsidRDefault="00000000" w:rsidRPr="00000000" w14:paraId="000001B4">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4.9 </w:t>
      </w:r>
      <w:r w:rsidDel="00000000" w:rsidR="00000000" w:rsidRPr="00000000">
        <w:rPr>
          <w:rFonts w:ascii="Times New Roman" w:cs="Times New Roman" w:eastAsia="Times New Roman" w:hAnsi="Times New Roman"/>
          <w:b w:val="1"/>
          <w:bCs w:val="1"/>
          <w:i w:val="1"/>
          <w:iCs w:val="1"/>
          <w:sz w:val="26"/>
          <w:szCs w:val="26"/>
          <w:rtl w:val="0"/>
        </w:rPr>
        <w:t xml:space="preserve">Cross-Method Comparison: DiD (TWFE) vs. System GMM</w:t>
      </w:r>
    </w:p>
    <w:tbl>
      <w:tblPr>
        <w:tblStyle w:val="Table1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950"/>
        <w:gridCol w:w="1950"/>
        <w:gridCol w:w="2865"/>
        <w:tblGridChange w:id="0">
          <w:tblGrid>
            <w:gridCol w:w="2370"/>
            <w:gridCol w:w="1950"/>
            <w:gridCol w:w="1950"/>
            <w:gridCol w:w="286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DiD — TWFE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 GMM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Directional Consistency</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−0.007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−0.001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Both negative (near-zero)</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0.445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Both positive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Both positive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−0.209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−0.192*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Both negative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(Insufficient data)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(Insufficient data)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C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Direction is consistent across all four estimable outcomes, providing robustness to the null-to-small effect findings. GMM coefficients are generally smaller in magnitude, as expected when correcting for dynamic endogeneity. * Indicates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.05 in GMM specification. Implied Cost of Debt estimation failed in both DiD and GMM due to insufficient treated observations with data (n=6).</w:t>
      </w:r>
    </w:p>
    <w:p w:rsidR="00000000" w:rsidDel="00000000" w:rsidP="00000000" w:rsidRDefault="00000000" w:rsidRPr="00000000" w14:paraId="000001C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4.5.2. Environmental Performance: A Multi-Dimensional View</w:t>
      </w:r>
    </w:p>
    <w:p w:rsidR="00000000" w:rsidDel="00000000" w:rsidP="00000000" w:rsidRDefault="00000000" w:rsidRPr="00000000" w14:paraId="000001C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0">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Cohort-Specific ATT Estimates — ESG Score</w:t>
      </w:r>
    </w:p>
    <w:tbl>
      <w:tblPr>
        <w:tblStyle w:val="Table1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275"/>
        <w:gridCol w:w="915"/>
        <w:gridCol w:w="1080"/>
        <w:gridCol w:w="1470"/>
        <w:gridCol w:w="2430"/>
        <w:tblGridChange w:id="0">
          <w:tblGrid>
            <w:gridCol w:w="1965"/>
            <w:gridCol w:w="1275"/>
            <w:gridCol w:w="915"/>
            <w:gridCol w:w="1080"/>
            <w:gridCol w:w="1470"/>
            <w:gridCol w:w="2430"/>
          </w:tblGrid>
        </w:tblGridChange>
      </w:tblGrid>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Cohort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w:t>
            </w:r>
            <w:r w:rsidDel="00000000" w:rsidR="00000000" w:rsidRPr="00000000">
              <w:rPr>
                <w:rFonts w:ascii="Times New Roman" w:cs="Times New Roman" w:eastAsia="Times New Roman" w:hAnsi="Times New Roman"/>
                <w:b w:val="1"/>
                <w:bCs w:val="1"/>
                <w:sz w:val="26"/>
                <w:szCs w:val="26"/>
                <w:rtl w:val="0"/>
              </w:rPr>
              <w:t xml:space="preserve"> Treated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β</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w:t>
            </w: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Valid?</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pre-treatment data</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pre-treatment data</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Aggregated ATT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0.059</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.292</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violations</w:t>
            </w:r>
          </w:p>
        </w:tc>
      </w:tr>
    </w:tbl>
    <w:p w:rsidR="00000000" w:rsidDel="00000000" w:rsidP="00000000" w:rsidRDefault="00000000" w:rsidRPr="00000000" w14:paraId="000001F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Cohort-specific estimator following Callaway and Sant'Anna (2021). Never-treated firms serve as the control group.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.10,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.05. Pre-trend violation for the 2024 cohort likely reflects anticipatory ESG improvements before formal green bond issuance.</w:t>
      </w:r>
    </w:p>
    <w:p w:rsidR="00000000" w:rsidDel="00000000" w:rsidP="00000000" w:rsidRDefault="00000000" w:rsidRPr="00000000" w14:paraId="000001F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impact on environmental performance is assessed through both composite ESG scores and log emissions intensity. While the aggregated cohort-specific ATT for ESG scores (β = 0.059, p = 0.292) is non-significant, the 2023 cohort shows a significant improvement (β = 0.037, p = 0.010). However, the 2024 cohort violates the parallel trends assumption (p &lt; 0.001), suggesting that observed gains may reflect anticipatory strategic disclosure. For emissions intensity, both DiD and GMM yield negative but non-significant point estimates (β = -0.057 and -0.058, respectively). These results imply a directional operational transition that remains statistically indistinguishable from zero given the current sample size and observation window.</w:t>
      </w:r>
    </w:p>
    <w:p w:rsidR="00000000" w:rsidDel="00000000" w:rsidP="00000000" w:rsidRDefault="00000000" w:rsidRPr="00000000" w14:paraId="000001F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4.5.3. Financial Performance and Size Heterogeneity</w:t>
      </w:r>
    </w:p>
    <w:p w:rsidR="00000000" w:rsidDel="00000000" w:rsidP="00000000" w:rsidRDefault="00000000" w:rsidRPr="00000000" w14:paraId="000001FE">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4.11 </w:t>
      </w:r>
      <w:r w:rsidDel="00000000" w:rsidR="00000000" w:rsidRPr="00000000">
        <w:rPr>
          <w:rFonts w:ascii="Times New Roman" w:cs="Times New Roman" w:eastAsia="Times New Roman" w:hAnsi="Times New Roman"/>
          <w:b w:val="1"/>
          <w:bCs w:val="1"/>
          <w:i w:val="1"/>
          <w:iCs w:val="1"/>
          <w:sz w:val="26"/>
          <w:szCs w:val="26"/>
          <w:rtl w:val="0"/>
        </w:rPr>
        <w:t xml:space="preserve">Cohort-Specific ATT Estimates — Return on Assets (ROA)</w:t>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230"/>
        <w:gridCol w:w="1170"/>
        <w:gridCol w:w="1350"/>
        <w:gridCol w:w="1744.9999999999989"/>
        <w:gridCol w:w="1945.0000000000011"/>
        <w:tblGridChange w:id="0">
          <w:tblGrid>
            <w:gridCol w:w="1680"/>
            <w:gridCol w:w="1230"/>
            <w:gridCol w:w="1170"/>
            <w:gridCol w:w="1350"/>
            <w:gridCol w:w="1744.9999999999989"/>
            <w:gridCol w:w="1945.0000000000011"/>
          </w:tblGrid>
        </w:tblGridChange>
      </w:tblGrid>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Cohort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w:t>
            </w:r>
            <w:r w:rsidDel="00000000" w:rsidR="00000000" w:rsidRPr="00000000">
              <w:rPr>
                <w:rFonts w:ascii="Times New Roman" w:cs="Times New Roman" w:eastAsia="Times New Roman" w:hAnsi="Times New Roman"/>
                <w:b w:val="1"/>
                <w:bCs w:val="1"/>
                <w:sz w:val="26"/>
                <w:szCs w:val="26"/>
                <w:rtl w:val="0"/>
              </w:rPr>
              <w:t xml:space="preserve"> Treated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β</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w:t>
            </w: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Valid?</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pre-treatment data</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D">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pre-treatment data</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0.667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Aggregated ATT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b w:val="1"/>
                <w:bCs w:val="1"/>
                <w:sz w:val="26"/>
                <w:szCs w:val="26"/>
                <w:rtl w:val="0"/>
              </w:rPr>
              <w:t xml:space="preserve">−0.014</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.315</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 violations</w:t>
            </w:r>
          </w:p>
        </w:tc>
      </w:tr>
    </w:tbl>
    <w:p w:rsidR="00000000" w:rsidDel="00000000" w:rsidP="00000000" w:rsidRDefault="00000000" w:rsidRPr="00000000" w14:paraId="0000022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Callaway and Sant'Anna (2021) estimator. Aggregated ATT is null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.315) with no cohort pre-trend violations for cohorts with sufficient pre-treatment data.</w:t>
      </w:r>
    </w:p>
    <w:p w:rsidR="00000000" w:rsidDel="00000000" w:rsidP="00000000" w:rsidRDefault="00000000" w:rsidRPr="00000000" w14:paraId="000002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null ROA results are robust across all tested cohorts (aggregated ATT of -0.014, p = 0.315). However, heterogeneity analysis (Table 4.9) reveals divergent patterns by firm size. Large firms exhibit significantly stronger ESG improvements (β = 0.274 vs. 0.031) but simultaneously incur a significant 2.5 percentage point decline in ROA. This suggests that for large ASEAN entities, the reputational benefits of green bond issuance are accompanied by measurable short-run profitability costs related to compliance and operational transformation. Small firms, conversely, show a marginally significant negative market reaction (β = -0.041), potentially reflecting investor skepticism regarding their capacity to execute credible green strategies.</w:t>
      </w:r>
    </w:p>
    <w:p w:rsidR="00000000" w:rsidDel="00000000" w:rsidP="00000000" w:rsidRDefault="00000000" w:rsidRPr="00000000" w14:paraId="0000022B">
      <w:pPr>
        <w:pStyle w:val="Heading4"/>
        <w:keepNext w:val="0"/>
        <w:keepLines w:val="0"/>
        <w:spacing w:before="360" w:line="300" w:lineRule="auto"/>
        <w:rPr>
          <w:b w:val="1"/>
          <w:bCs w:val="1"/>
        </w:rPr>
      </w:pPr>
      <w:bookmarkStart w:colFirst="0" w:colLast="0" w:name="_igi2fc82bsg5" w:id="4"/>
      <w:bookmarkEnd w:id="4"/>
      <w:r w:rsidDel="00000000" w:rsidR="00000000" w:rsidRPr="00000000">
        <w:rPr>
          <w:b w:val="1"/>
          <w:bCs w:val="1"/>
          <w:rtl w:val="0"/>
        </w:rPr>
        <w:t xml:space="preserve">4.5.4. Heterogeneous Effects by Firm Size</w:t>
      </w:r>
    </w:p>
    <w:p w:rsidR="00000000" w:rsidDel="00000000" w:rsidP="00000000" w:rsidRDefault="00000000" w:rsidRPr="00000000" w14:paraId="0000022C">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4.9 </w:t>
      </w:r>
      <w:r w:rsidDel="00000000" w:rsidR="00000000" w:rsidRPr="00000000">
        <w:rPr>
          <w:rFonts w:ascii="Times New Roman" w:cs="Times New Roman" w:eastAsia="Times New Roman" w:hAnsi="Times New Roman"/>
          <w:b w:val="1"/>
          <w:bCs w:val="1"/>
          <w:i w:val="1"/>
          <w:iCs w:val="1"/>
          <w:sz w:val="26"/>
          <w:szCs w:val="26"/>
          <w:rtl w:val="0"/>
        </w:rPr>
        <w:t xml:space="preserve">Treatment Effect Heterogeneity by Firm Size</w:t>
      </w:r>
    </w:p>
    <w:tbl>
      <w:tblPr>
        <w:tblStyle w:val="Table14"/>
        <w:tblW w:w="6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2535"/>
        <w:tblGridChange w:id="0">
          <w:tblGrid>
            <w:gridCol w:w="1500"/>
            <w:gridCol w:w="2265"/>
            <w:gridCol w:w="253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Small Firms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Large Firms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1">
            <w:pPr>
              <w:spacing w:after="160" w:lineRule="auto"/>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β = −0.005, </w:t>
            </w:r>
          </w:p>
          <w:p w:rsidR="00000000" w:rsidDel="00000000" w:rsidP="00000000" w:rsidRDefault="00000000" w:rsidRPr="00000000" w14:paraId="0000023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0.638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3">
            <w:pPr>
              <w:spacing w:after="160" w:lineRule="auto"/>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β = −0.025, </w:t>
            </w:r>
          </w:p>
          <w:p w:rsidR="00000000" w:rsidDel="00000000" w:rsidP="00000000" w:rsidRDefault="00000000" w:rsidRPr="00000000" w14:paraId="0000023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0.001***</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6">
            <w:pPr>
              <w:spacing w:after="160" w:lineRule="auto"/>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β = −0.041, </w:t>
            </w:r>
          </w:p>
          <w:p w:rsidR="00000000" w:rsidDel="00000000" w:rsidP="00000000" w:rsidRDefault="00000000" w:rsidRPr="00000000" w14:paraId="0000023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0.005**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β = 0.385, </w:t>
            </w:r>
          </w:p>
          <w:p w:rsidR="00000000" w:rsidDel="00000000" w:rsidP="00000000" w:rsidRDefault="00000000" w:rsidRPr="00000000" w14:paraId="0000023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0.611</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β = 0.031, </w:t>
            </w:r>
          </w:p>
          <w:p w:rsidR="00000000" w:rsidDel="00000000" w:rsidP="00000000" w:rsidRDefault="00000000" w:rsidRPr="00000000" w14:paraId="0000023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0.013*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β = 0.274, </w:t>
            </w:r>
          </w:p>
          <w:p w:rsidR="00000000" w:rsidDel="00000000" w:rsidP="00000000" w:rsidRDefault="00000000" w:rsidRPr="00000000" w14:paraId="0000023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0.001***</w:t>
            </w:r>
          </w:p>
        </w:tc>
      </w:tr>
    </w:tbl>
    <w:p w:rsidR="00000000" w:rsidDel="00000000" w:rsidP="00000000" w:rsidRDefault="00000000" w:rsidRPr="00000000" w14:paraId="0000023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Firm size dichotomized at median log total assets.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.05,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.01,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.001.</w:t>
      </w:r>
    </w:p>
    <w:p w:rsidR="00000000" w:rsidDel="00000000" w:rsidP="00000000" w:rsidRDefault="00000000" w:rsidRPr="00000000" w14:paraId="00000240">
      <w:pPr>
        <w:spacing w:after="24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Large firms exhibit significantly stronger ESG score improvements (β = 0.274 vs. β = 0.031; 9× larger) but also incur a significant ROA decline (−2.5 percentage points). This pattern is consistent with stakeholder theory, whereby larger firms face greater reputational and regulatory pressure to improve ESG disclosures but bear proportionally higher compliance and reporting costs.</w:t>
      </w:r>
    </w:p>
    <w:p w:rsidR="00000000" w:rsidDel="00000000" w:rsidP="00000000" w:rsidRDefault="00000000" w:rsidRPr="00000000" w14:paraId="00000241">
      <w:pPr>
        <w:pStyle w:val="Heading3"/>
        <w:keepNext w:val="0"/>
        <w:keepLines w:val="0"/>
        <w:pBdr>
          <w:bottom w:color="auto" w:space="0" w:sz="0" w:val="none"/>
        </w:pBdr>
        <w:jc w:val="both"/>
        <w:rPr/>
      </w:pPr>
      <w:bookmarkStart w:colFirst="0" w:colLast="0" w:name="_x1vt2fjjhely" w:id="5"/>
      <w:bookmarkEnd w:id="5"/>
      <w:r w:rsidDel="00000000" w:rsidR="00000000" w:rsidRPr="00000000">
        <w:rPr>
          <w:rtl w:val="0"/>
        </w:rPr>
        <w:t xml:space="preserve">4.6. Discussion of Findings</w:t>
      </w:r>
    </w:p>
    <w:p w:rsidR="00000000" w:rsidDel="00000000" w:rsidP="00000000" w:rsidRDefault="00000000" w:rsidRPr="00000000" w14:paraId="00000242">
      <w:pPr>
        <w:pStyle w:val="Heading4"/>
        <w:keepNext w:val="0"/>
        <w:keepLines w:val="0"/>
        <w:spacing w:before="360" w:line="300" w:lineRule="auto"/>
        <w:rPr>
          <w:b w:val="1"/>
          <w:bCs w:val="1"/>
        </w:rPr>
      </w:pPr>
      <w:bookmarkStart w:colFirst="0" w:colLast="0" w:name="_6q8g9hll087o" w:id="6"/>
      <w:bookmarkEnd w:id="6"/>
      <w:r w:rsidDel="00000000" w:rsidR="00000000" w:rsidRPr="00000000">
        <w:rPr>
          <w:b w:val="1"/>
          <w:bCs w:val="1"/>
          <w:rtl w:val="0"/>
        </w:rPr>
        <w:t xml:space="preserve">4.6.1. Overview</w:t>
      </w:r>
    </w:p>
    <w:p w:rsidR="00000000" w:rsidDel="00000000" w:rsidP="00000000" w:rsidRDefault="00000000" w:rsidRPr="00000000" w14:paraId="00000243">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4.10 </w:t>
      </w:r>
      <w:r w:rsidDel="00000000" w:rsidR="00000000" w:rsidRPr="00000000">
        <w:rPr>
          <w:rFonts w:ascii="Times New Roman" w:cs="Times New Roman" w:eastAsia="Times New Roman" w:hAnsi="Times New Roman"/>
          <w:b w:val="1"/>
          <w:bCs w:val="1"/>
          <w:i w:val="1"/>
          <w:iCs w:val="1"/>
          <w:sz w:val="26"/>
          <w:szCs w:val="26"/>
          <w:rtl w:val="0"/>
        </w:rPr>
        <w:t xml:space="preserve">Summary of Research Questions and Hypotheses - Empirical Outcomes</w:t>
      </w:r>
    </w:p>
    <w:tbl>
      <w:tblPr>
        <w:tblStyle w:val="Table1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795"/>
        <w:gridCol w:w="2265"/>
        <w:tblGridChange w:id="0">
          <w:tblGrid>
            <w:gridCol w:w="3075"/>
            <w:gridCol w:w="3795"/>
            <w:gridCol w:w="2265"/>
          </w:tblGrid>
        </w:tblGridChange>
      </w:tblGrid>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Question/Hypothesis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Primary Evidence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RQ1/H2a</w:t>
            </w:r>
            <w:r w:rsidDel="00000000" w:rsidR="00000000" w:rsidRPr="00000000">
              <w:rPr>
                <w:rFonts w:ascii="Times New Roman" w:cs="Times New Roman" w:eastAsia="Times New Roman" w:hAnsi="Times New Roman"/>
                <w:sz w:val="26"/>
                <w:szCs w:val="26"/>
                <w:rtl w:val="0"/>
              </w:rPr>
              <w:t xml:space="preserve">: Does green bond issuance improve 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 supported.</w:t>
            </w:r>
            <w:r w:rsidDel="00000000" w:rsidR="00000000" w:rsidRPr="00000000">
              <w:rPr>
                <w:rFonts w:ascii="Times New Roman" w:cs="Times New Roman" w:eastAsia="Times New Roman" w:hAnsi="Times New Roman"/>
                <w:sz w:val="26"/>
                <w:szCs w:val="26"/>
                <w:rtl w:val="0"/>
              </w:rPr>
              <w:t xml:space="preserve"> Null across all specifications.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9">
            <w:pPr>
              <w:spacing w:after="160" w:lineRule="auto"/>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TWFE: β = −0.007,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.761</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RQ2/H2b</w:t>
            </w:r>
            <w:r w:rsidDel="00000000" w:rsidR="00000000" w:rsidRPr="00000000">
              <w:rPr>
                <w:rFonts w:ascii="Times New Roman" w:cs="Times New Roman" w:eastAsia="Times New Roman" w:hAnsi="Times New Roman"/>
                <w:sz w:val="26"/>
                <w:szCs w:val="26"/>
                <w:rtl w:val="0"/>
              </w:rPr>
              <w:t xml:space="preserve">: Does green bond issuance improve 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Weakly supported.</w:t>
            </w:r>
            <w:r w:rsidDel="00000000" w:rsidR="00000000" w:rsidRPr="00000000">
              <w:rPr>
                <w:rFonts w:ascii="Times New Roman" w:cs="Times New Roman" w:eastAsia="Times New Roman" w:hAnsi="Times New Roman"/>
                <w:sz w:val="26"/>
                <w:szCs w:val="26"/>
                <w:rtl w:val="0"/>
              </w:rPr>
              <w:t xml:space="preserve"> Positive point estimate across all models.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TWFE: β = 0.445,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.315</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H1</w:t>
            </w:r>
            <w:r w:rsidDel="00000000" w:rsidR="00000000" w:rsidRPr="00000000">
              <w:rPr>
                <w:rFonts w:ascii="Times New Roman" w:cs="Times New Roman" w:eastAsia="Times New Roman" w:hAnsi="Times New Roman"/>
                <w:sz w:val="26"/>
                <w:szCs w:val="26"/>
                <w:rtl w:val="0"/>
              </w:rPr>
              <w:t xml:space="preserve">: Does green bond issuance improve 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Conditionally supported.</w:t>
            </w:r>
            <w:r w:rsidDel="00000000" w:rsidR="00000000" w:rsidRPr="00000000">
              <w:rPr>
                <w:rFonts w:ascii="Times New Roman" w:cs="Times New Roman" w:eastAsia="Times New Roman" w:hAnsi="Times New Roman"/>
                <w:sz w:val="26"/>
                <w:szCs w:val="26"/>
                <w:rtl w:val="0"/>
              </w:rPr>
              <w:t xml:space="preserve"> Consistent positive direction.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GMM: β = 0.019,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.164</w:t>
            </w:r>
          </w:p>
        </w:tc>
      </w:tr>
      <w:tr>
        <w:trPr>
          <w:cantSplit w:val="0"/>
          <w:trHeight w:val="117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H1</w:t>
            </w:r>
            <w:r w:rsidDel="00000000" w:rsidR="00000000" w:rsidRPr="00000000">
              <w:rPr>
                <w:rFonts w:ascii="Times New Roman" w:cs="Times New Roman" w:eastAsia="Times New Roman" w:hAnsi="Times New Roman"/>
                <w:sz w:val="26"/>
                <w:szCs w:val="26"/>
                <w:rtl w:val="0"/>
              </w:rPr>
              <w:t xml:space="preserve">: Does green bond issuance reduce emissions intensity?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Marginally supported.</w:t>
            </w:r>
            <w:r w:rsidDel="00000000" w:rsidR="00000000" w:rsidRPr="00000000">
              <w:rPr>
                <w:rFonts w:ascii="Times New Roman" w:cs="Times New Roman" w:eastAsia="Times New Roman" w:hAnsi="Times New Roman"/>
                <w:sz w:val="26"/>
                <w:szCs w:val="26"/>
                <w:rtl w:val="0"/>
              </w:rPr>
              <w:t xml:space="preserve"> Consistently negative with GMM significance.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spacing w:after="160" w:lineRule="auto"/>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TWFE: β = −0.209,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Cardo" w:cs="Cardo" w:eastAsia="Cardo" w:hAnsi="Cardo"/>
                <w:sz w:val="26"/>
                <w:szCs w:val="26"/>
                <w:rtl w:val="0"/>
              </w:rPr>
              <w:t xml:space="preserve"> = .248; GMM: β = −0.192,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.048*</w:t>
            </w:r>
          </w:p>
        </w:tc>
      </w:tr>
      <w:tr>
        <w:trPr>
          <w:cantSplit w:val="0"/>
          <w:trHeight w:val="117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H2c</w:t>
            </w:r>
            <w:r w:rsidDel="00000000" w:rsidR="00000000" w:rsidRPr="00000000">
              <w:rPr>
                <w:rFonts w:ascii="Times New Roman" w:cs="Times New Roman" w:eastAsia="Times New Roman" w:hAnsi="Times New Roman"/>
                <w:sz w:val="26"/>
                <w:szCs w:val="26"/>
                <w:rtl w:val="0"/>
              </w:rPr>
              <w:t xml:space="preserve">: Does green bond issuance reduce borrowing costs?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Unable to test.</w:t>
            </w:r>
            <w:r w:rsidDel="00000000" w:rsidR="00000000" w:rsidRPr="00000000">
              <w:rPr>
                <w:rFonts w:ascii="Times New Roman" w:cs="Times New Roman" w:eastAsia="Times New Roman" w:hAnsi="Times New Roman"/>
                <w:sz w:val="26"/>
                <w:szCs w:val="26"/>
                <w:rtl w:val="0"/>
              </w:rPr>
              <w:t xml:space="preserve"> Severe data sparsity precluded robust estimation.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Cost of debt: 0.7% coverage (169/23,284 obs; 6/81 treated)</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RQ3</w:t>
            </w:r>
            <w:r w:rsidDel="00000000" w:rsidR="00000000" w:rsidRPr="00000000">
              <w:rPr>
                <w:rFonts w:ascii="Times New Roman" w:cs="Times New Roman" w:eastAsia="Times New Roman" w:hAnsi="Times New Roman"/>
                <w:sz w:val="26"/>
                <w:szCs w:val="26"/>
                <w:rtl w:val="0"/>
              </w:rPr>
              <w:t xml:space="preserve">: Is green bond certification meaningful?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 supported.</w:t>
            </w:r>
            <w:r w:rsidDel="00000000" w:rsidR="00000000" w:rsidRPr="00000000">
              <w:rPr>
                <w:rFonts w:ascii="Times New Roman" w:cs="Times New Roman" w:eastAsia="Times New Roman" w:hAnsi="Times New Roman"/>
                <w:sz w:val="26"/>
                <w:szCs w:val="26"/>
                <w:rtl w:val="0"/>
              </w:rPr>
              <w:t xml:space="preserve"> Certification nearly universal; substantive ESG improvement extremely rare.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98.5% certified; 3.9% ESG-verified</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effects differ by firm size?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Supported.</w:t>
            </w:r>
            <w:r w:rsidDel="00000000" w:rsidR="00000000" w:rsidRPr="00000000">
              <w:rPr>
                <w:rFonts w:ascii="Times New Roman" w:cs="Times New Roman" w:eastAsia="Times New Roman" w:hAnsi="Times New Roman"/>
                <w:sz w:val="26"/>
                <w:szCs w:val="26"/>
                <w:rtl w:val="0"/>
              </w:rPr>
              <w:t xml:space="preserve"> Larger firms exhibit stronger ESG gains but worse accounting returns.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See Table 4.12</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RQ4</w:t>
            </w:r>
            <w:r w:rsidDel="00000000" w:rsidR="00000000" w:rsidRPr="00000000">
              <w:rPr>
                <w:rFonts w:ascii="Times New Roman" w:cs="Times New Roman" w:eastAsia="Times New Roman" w:hAnsi="Times New Roman"/>
                <w:sz w:val="26"/>
                <w:szCs w:val="26"/>
                <w:rtl w:val="0"/>
              </w:rPr>
              <w:t xml:space="preserve">: Are parallel trends valid?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Partially supported.</w:t>
            </w:r>
            <w:r w:rsidDel="00000000" w:rsidR="00000000" w:rsidRPr="00000000">
              <w:rPr>
                <w:rFonts w:ascii="Times New Roman" w:cs="Times New Roman" w:eastAsia="Times New Roman" w:hAnsi="Times New Roman"/>
                <w:sz w:val="26"/>
                <w:szCs w:val="26"/>
                <w:rtl w:val="0"/>
              </w:rPr>
              <w:t xml:space="preserve"> Pooled test fails; cohort analysis shows 0/4 violations for ROA.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See Tables 4.2 and 4.8</w:t>
            </w:r>
          </w:p>
        </w:tc>
      </w:tr>
    </w:tbl>
    <w:p w:rsidR="00000000" w:rsidDel="00000000" w:rsidP="00000000" w:rsidRDefault="00000000" w:rsidRPr="00000000" w14:paraId="0000025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Results updated with full vector of theory-driven controls and robust System GMM identification. </w:t>
      </w:r>
      <w:r w:rsidDel="00000000" w:rsidR="00000000" w:rsidRPr="00000000">
        <w:rPr>
          <w:rFonts w:ascii="Times New Roman" w:cs="Times New Roman" w:eastAsia="Times New Roman" w:hAnsi="Times New Roman"/>
          <w:b w:val="1"/>
          <w:bCs w:val="1"/>
          <w:sz w:val="26"/>
          <w:szCs w:val="26"/>
          <w:rtl w:val="0"/>
        </w:rPr>
        <w:t xml:space="preserve">H2c (Cost of Debt / Greenium Hypothesis):</w:t>
      </w:r>
      <w:r w:rsidDel="00000000" w:rsidR="00000000" w:rsidRPr="00000000">
        <w:rPr>
          <w:rFonts w:ascii="Times New Roman" w:cs="Times New Roman" w:eastAsia="Times New Roman" w:hAnsi="Times New Roman"/>
          <w:sz w:val="26"/>
          <w:szCs w:val="26"/>
          <w:rtl w:val="0"/>
        </w:rPr>
        <w:t xml:space="preserve"> Despite theoretical importance of testing whether green bond issuers secure subsequent debt at lower rates (Gianfrate &amp; Peri, 2019; Larcker &amp; Watts, 2020), severe data sparsity prevented robust causal estimation. Only 169/23,284 firm-year observations (0.7%) have cost of debt data, with merely 6 of 81 treated observations having this variable. Future research with bond-level pricing data or comprehensive interest expense records may be better positioned to test the greenium effect in ASEAN markets.</w:t>
      </w:r>
    </w:p>
    <w:p w:rsidR="00000000" w:rsidDel="00000000" w:rsidP="00000000" w:rsidRDefault="00000000" w:rsidRPr="00000000" w14:paraId="00000260">
      <w:pPr>
        <w:pStyle w:val="Heading4"/>
        <w:keepNext w:val="0"/>
        <w:keepLines w:val="0"/>
        <w:spacing w:before="360" w:line="300" w:lineRule="auto"/>
        <w:rPr>
          <w:b w:val="1"/>
          <w:bCs w:val="1"/>
        </w:rPr>
      </w:pPr>
      <w:bookmarkStart w:colFirst="0" w:colLast="0" w:name="_hvvwbyh20bgu" w:id="7"/>
      <w:bookmarkEnd w:id="7"/>
      <w:r w:rsidDel="00000000" w:rsidR="00000000" w:rsidRPr="00000000">
        <w:rPr>
          <w:b w:val="1"/>
          <w:bCs w:val="1"/>
          <w:rtl w:val="0"/>
        </w:rPr>
        <w:t xml:space="preserve">4.6.2. RQ3: Green Bond Certification and the Greenwashing Hypothesis</w:t>
      </w:r>
    </w:p>
    <w:p w:rsidR="00000000" w:rsidDel="00000000" w:rsidP="00000000" w:rsidRDefault="00000000" w:rsidRPr="00000000" w14:paraId="0000026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central contribution of this study is the greenwashing and authenticity analysis of 333 ASEAN green bonds. Using the composite authenticity score methodology detailed in Section 3.5.3.1, we assess whether bonds with third-party certification demonstrate substantive environmental improvements.</w:t>
      </w:r>
    </w:p>
    <w:p w:rsidR="00000000" w:rsidDel="00000000" w:rsidP="00000000" w:rsidRDefault="00000000" w:rsidRPr="00000000" w14:paraId="00000262">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4.14 </w:t>
      </w:r>
      <w:r w:rsidDel="00000000" w:rsidR="00000000" w:rsidRPr="00000000">
        <w:rPr>
          <w:rFonts w:ascii="Times New Roman" w:cs="Times New Roman" w:eastAsia="Times New Roman" w:hAnsi="Times New Roman"/>
          <w:b w:val="1"/>
          <w:bCs w:val="1"/>
          <w:i w:val="1"/>
          <w:iCs w:val="1"/>
          <w:sz w:val="26"/>
          <w:szCs w:val="26"/>
          <w:rtl w:val="0"/>
        </w:rPr>
        <w:t xml:space="preserve">Green Bond Authenticity Score — Descriptive Statistics (N = 333)</w:t>
      </w:r>
    </w:p>
    <w:tbl>
      <w:tblPr>
        <w:tblStyle w:val="Table16"/>
        <w:tblW w:w="6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2085"/>
        <w:tblGridChange w:id="0">
          <w:tblGrid>
            <w:gridCol w:w="3945"/>
            <w:gridCol w:w="208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Metric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CBI-certified bonds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328 / 333 (98.5%)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ICMA-certified bonds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326 / 333 (97.9%)</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Bonds with verified ESG improvement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 333 (3.9%)</w:t>
            </w:r>
          </w:p>
        </w:tc>
      </w:tr>
    </w:tbl>
    <w:p w:rsidR="00000000" w:rsidDel="00000000" w:rsidP="00000000" w:rsidRDefault="00000000" w:rsidRPr="00000000" w14:paraId="0000026B">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4.15 </w:t>
      </w:r>
      <w:r w:rsidDel="00000000" w:rsidR="00000000" w:rsidRPr="00000000">
        <w:rPr>
          <w:rFonts w:ascii="Times New Roman" w:cs="Times New Roman" w:eastAsia="Times New Roman" w:hAnsi="Times New Roman"/>
          <w:b w:val="1"/>
          <w:bCs w:val="1"/>
          <w:i w:val="1"/>
          <w:iCs w:val="1"/>
          <w:sz w:val="26"/>
          <w:szCs w:val="26"/>
          <w:rtl w:val="0"/>
        </w:rPr>
        <w:t xml:space="preserve">Authenticity Score Distribution</w:t>
      </w:r>
    </w:p>
    <w:tbl>
      <w:tblPr>
        <w:tblStyle w:val="Table17"/>
        <w:tblW w:w="49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840"/>
        <w:gridCol w:w="1230"/>
        <w:tblGridChange w:id="0">
          <w:tblGrid>
            <w:gridCol w:w="2910"/>
            <w:gridCol w:w="840"/>
            <w:gridCol w:w="123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F">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High (score ≥ 80)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(score 60–79)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(score 40–59)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94.3%</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Unverified (score &lt; 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r>
    </w:tbl>
    <w:p w:rsidR="00000000" w:rsidDel="00000000" w:rsidP="00000000" w:rsidRDefault="00000000" w:rsidRPr="00000000" w14:paraId="0000027B">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4.16 </w:t>
      </w:r>
      <w:r w:rsidDel="00000000" w:rsidR="00000000" w:rsidRPr="00000000">
        <w:rPr>
          <w:rFonts w:ascii="Times New Roman" w:cs="Times New Roman" w:eastAsia="Times New Roman" w:hAnsi="Times New Roman"/>
          <w:b w:val="1"/>
          <w:bCs w:val="1"/>
          <w:i w:val="1"/>
          <w:iCs w:val="1"/>
          <w:sz w:val="26"/>
          <w:szCs w:val="26"/>
          <w:rtl w:val="0"/>
        </w:rPr>
        <w:t xml:space="preserve">Mean Score by Authenticity Component</w:t>
      </w:r>
    </w:p>
    <w:tbl>
      <w:tblPr>
        <w:tblStyle w:val="Table18"/>
        <w:tblW w:w="66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950"/>
        <w:gridCol w:w="1515"/>
        <w:tblGridChange w:id="0">
          <w:tblGrid>
            <w:gridCol w:w="3225"/>
            <w:gridCol w:w="1950"/>
            <w:gridCol w:w="15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Component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Maximum Score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Mean Score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Improvement Component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Certification Component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Issuer Credibility Component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22.8</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 Authenticity Score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100</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53.8</w:t>
            </w:r>
            <w:r w:rsidDel="00000000" w:rsidR="00000000" w:rsidRPr="00000000">
              <w:rPr>
                <w:rtl w:val="0"/>
              </w:rPr>
            </w:r>
          </w:p>
        </w:tc>
      </w:tr>
    </w:tbl>
    <w:p w:rsidR="00000000" w:rsidDel="00000000" w:rsidP="00000000" w:rsidRDefault="00000000" w:rsidRPr="00000000" w14:paraId="0000028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The near-zero mean ESG component (1.5/40) despite near-perfect certification scores (29.5/35) indicates a systematic decoupling between formal green credentials and substantive environmental outcomes.</w:t>
      </w:r>
    </w:p>
    <w:p w:rsidR="00000000" w:rsidDel="00000000" w:rsidP="00000000" w:rsidRDefault="00000000" w:rsidRPr="00000000" w14:paraId="0000028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results reveal a striking contradiction: 98.5% of ASEAN green bonds carry third-party certification, yet only 3.9% demonstrate verifiable ESG improvement post-issuance. This pattern is characteristic of the "Greenwashing Puzzle" described by Khan and Vismara (2025), where market signaling mechanisms operate largely independently of substantive environmental outcomes.</w:t>
      </w:r>
    </w:p>
    <w:p w:rsidR="00000000" w:rsidDel="00000000" w:rsidP="00000000" w:rsidRDefault="00000000" w:rsidRPr="00000000" w14:paraId="0000028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findings are interpreted within a signaling theory framework (Flammer, 2021; Hoang et al., 2020). Green bond certification functions primarily as a credibility signal to capital markets — satisfying investor screening criteria and enabling access to ESG-mandated funds — rather than as a binding commitment to operational environmental transformation. This interpretation is consistent with the observed null financial effects: if certification drives the market signal, incremental financial benefits (ROA, Tobin's Q) should be modest or indistinguishable from noise, as is indeed the case.</w:t>
      </w:r>
    </w:p>
    <w:p w:rsidR="00000000" w:rsidDel="00000000" w:rsidP="00000000" w:rsidRDefault="00000000" w:rsidRPr="00000000" w14:paraId="0000028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the evidence does not support a conclusion of purely symbolic greenwashing. While the reduction in direct emissions intensity under System GMM (Inconclusive) is not statistically significant in this more robust specification, the point estimate remains negative across all tested DiD models. This suggests a potential operational transition that is currently indistinguishable from noise given the sparse treatment and short post-issuance window, but warrants continued monitoring as more data becomes available.</w:t>
      </w:r>
    </w:p>
    <w:p w:rsidR="00000000" w:rsidDel="00000000" w:rsidP="00000000" w:rsidRDefault="00000000" w:rsidRPr="00000000" w14:paraId="0000028F">
      <w:pPr>
        <w:pStyle w:val="Heading4"/>
        <w:keepNext w:val="0"/>
        <w:keepLines w:val="0"/>
        <w:spacing w:before="360" w:line="300" w:lineRule="auto"/>
        <w:rPr>
          <w:b w:val="1"/>
          <w:bCs w:val="1"/>
        </w:rPr>
      </w:pPr>
      <w:bookmarkStart w:colFirst="0" w:colLast="0" w:name="_skemb0ehmc6n" w:id="8"/>
      <w:bookmarkEnd w:id="8"/>
      <w:r w:rsidDel="00000000" w:rsidR="00000000" w:rsidRPr="00000000">
        <w:rPr>
          <w:b w:val="1"/>
          <w:bCs w:val="1"/>
          <w:rtl w:val="0"/>
        </w:rPr>
        <w:t xml:space="preserve">4.6.3. H2: Financial Performance Effects</w:t>
      </w:r>
    </w:p>
    <w:p w:rsidR="00000000" w:rsidDel="00000000" w:rsidP="00000000" w:rsidRDefault="00000000" w:rsidRPr="00000000" w14:paraId="0000029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null result for ROA (</w:t>
      </w:r>
      <w:r w:rsidDel="00000000" w:rsidR="00000000" w:rsidRPr="00000000">
        <w:rPr>
          <w:rFonts w:ascii="Times New Roman" w:cs="Times New Roman" w:eastAsia="Times New Roman" w:hAnsi="Times New Roman"/>
          <w:b w:val="1"/>
          <w:bCs w:val="1"/>
          <w:sz w:val="26"/>
          <w:szCs w:val="26"/>
          <w:rtl w:val="0"/>
        </w:rPr>
        <w:t xml:space="preserve">H2a</w:t>
      </w:r>
      <w:r w:rsidDel="00000000" w:rsidR="00000000" w:rsidRPr="00000000">
        <w:rPr>
          <w:rFonts w:ascii="Times New Roman" w:cs="Times New Roman" w:eastAsia="Times New Roman" w:hAnsi="Times New Roman"/>
          <w:sz w:val="26"/>
          <w:szCs w:val="26"/>
          <w:rtl w:val="0"/>
        </w:rPr>
        <w:t xml:space="preserve">) is robust across all five DiD specifications, both DiD and GMM methods, and all cohorts with sufficient pre-treatment data (0/4 cohort violations). This consistency strengthens the conclusion that green bond issuance does not produce measurable short-run improvements in accounting-based profitability within the ASEAN context.</w:t>
      </w:r>
    </w:p>
    <w:p w:rsidR="00000000" w:rsidDel="00000000" w:rsidP="00000000" w:rsidRDefault="00000000" w:rsidRPr="00000000" w14:paraId="0000029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weak positive signal for Tobin's Q (</w:t>
      </w:r>
      <w:r w:rsidDel="00000000" w:rsidR="00000000" w:rsidRPr="00000000">
        <w:rPr>
          <w:rFonts w:ascii="Times New Roman" w:cs="Times New Roman" w:eastAsia="Times New Roman" w:hAnsi="Times New Roman"/>
          <w:b w:val="1"/>
          <w:bCs w:val="1"/>
          <w:sz w:val="26"/>
          <w:szCs w:val="26"/>
          <w:rtl w:val="0"/>
        </w:rPr>
        <w:t xml:space="preserve">H2b</w:t>
      </w:r>
      <w:r w:rsidDel="00000000" w:rsidR="00000000" w:rsidRPr="00000000">
        <w:rPr>
          <w:rFonts w:ascii="Times New Roman" w:cs="Times New Roman" w:eastAsia="Times New Roman" w:hAnsi="Times New Roman"/>
          <w:sz w:val="26"/>
          <w:szCs w:val="26"/>
          <w:rtl w:val="0"/>
        </w:rPr>
        <w:t xml:space="preserve">) (significant only under time fixed effects,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.080</w:t>
      </w:r>
      <w:r w:rsidDel="00000000" w:rsidR="00000000" w:rsidRPr="00000000">
        <w:rPr>
          <w:rFonts w:ascii="Times New Roman" w:cs="Times New Roman" w:eastAsia="Times New Roman" w:hAnsi="Times New Roman"/>
          <w:sz w:val="26"/>
          <w:szCs w:val="26"/>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absorbed under TWFE) is consistent with a market premium that dissipates once firm-level heterogeneity is controlled for. This finding aligns with prior evidence of a "greenium" in bond markets (Larcker &amp; Watts, 2020) but suggests that the equity market premium, if present, is driven by firm-level characteristics correlated with green bond issuance rather than the issuance event itself.</w:t>
      </w:r>
    </w:p>
    <w:p w:rsidR="00000000" w:rsidDel="00000000" w:rsidP="00000000" w:rsidRDefault="00000000" w:rsidRPr="00000000" w14:paraId="0000029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H2c</w:t>
      </w:r>
      <w:r w:rsidDel="00000000" w:rsidR="00000000" w:rsidRPr="00000000">
        <w:rPr>
          <w:rFonts w:ascii="Times New Roman" w:cs="Times New Roman" w:eastAsia="Times New Roman" w:hAnsi="Times New Roman"/>
          <w:sz w:val="26"/>
          <w:szCs w:val="26"/>
          <w:rtl w:val="0"/>
        </w:rPr>
        <w:t xml:space="preserve"> (greenium hypothesis) could not be tested due to severe data sparsity in cost of debt measures (0.7% coverage, only 6/81 treated observations). This limitation precludes any assessment of whether ASEAN green bond issuers secure subsequent debt financing at preferential rates, a mechanism central to the theoretical framework.</w:t>
      </w:r>
    </w:p>
    <w:p w:rsidR="00000000" w:rsidDel="00000000" w:rsidP="00000000" w:rsidRDefault="00000000" w:rsidRPr="00000000" w14:paraId="00000293">
      <w:pPr>
        <w:pStyle w:val="Heading4"/>
        <w:keepNext w:val="0"/>
        <w:keepLines w:val="0"/>
        <w:spacing w:before="360" w:line="300" w:lineRule="auto"/>
        <w:rPr>
          <w:b w:val="1"/>
          <w:bCs w:val="1"/>
        </w:rPr>
      </w:pPr>
      <w:bookmarkStart w:colFirst="0" w:colLast="0" w:name="_5fax3pkxo69u" w:id="9"/>
      <w:bookmarkEnd w:id="9"/>
      <w:r w:rsidDel="00000000" w:rsidR="00000000" w:rsidRPr="00000000">
        <w:rPr>
          <w:b w:val="1"/>
          <w:bCs w:val="1"/>
          <w:rtl w:val="0"/>
        </w:rPr>
        <w:t xml:space="preserve">4.6.4. H1: Environmental Performance Effects</w:t>
      </w:r>
    </w:p>
    <w:p w:rsidR="00000000" w:rsidDel="00000000" w:rsidP="00000000" w:rsidRDefault="00000000" w:rsidRPr="00000000" w14:paraId="0000029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 improvements are sensitive to specification. Positive effects under entity fixed effects disappear under TWFE and are not statistically significant in the aggregated cohort ATT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.292). This pattern confirms that aggregate ESG score trajectories reflect sector-wide ESG reporting trends rather than issuer-specific treatment effects — a finding consistent with the well-documented limitations of composite ESG ratings as measures of genuine environmental performance (Berg et al., 2022).</w:t>
      </w:r>
    </w:p>
    <w:p w:rsidR="00000000" w:rsidDel="00000000" w:rsidP="00000000" w:rsidRDefault="00000000" w:rsidRPr="00000000" w14:paraId="0000029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direct emissions intensity result from System GMM also fails to achieve statistical significance once full theory-driven controls are included. This suggests that while there is a directional decrease in emissions following issuance, the effect cannot be robustly distinguished from firm-level quality or pre-existing operational trajectories.</w:t>
      </w:r>
    </w:p>
    <w:p w:rsidR="00000000" w:rsidDel="00000000" w:rsidP="00000000" w:rsidRDefault="00000000" w:rsidRPr="00000000" w14:paraId="00000296">
      <w:pPr>
        <w:pStyle w:val="Heading4"/>
        <w:keepNext w:val="0"/>
        <w:keepLines w:val="0"/>
        <w:spacing w:before="360" w:line="300" w:lineRule="auto"/>
        <w:rPr>
          <w:b w:val="1"/>
          <w:bCs w:val="1"/>
        </w:rPr>
      </w:pPr>
      <w:bookmarkStart w:colFirst="0" w:colLast="0" w:name="_387nkfz2g7ra" w:id="10"/>
      <w:bookmarkEnd w:id="10"/>
      <w:r w:rsidDel="00000000" w:rsidR="00000000" w:rsidRPr="00000000">
        <w:rPr>
          <w:b w:val="1"/>
          <w:bCs w:val="1"/>
          <w:rtl w:val="0"/>
        </w:rPr>
        <w:t xml:space="preserve">4.6.5. RQ4: Persistence and Dynamic Robustness</w:t>
      </w:r>
    </w:p>
    <w:p w:rsidR="00000000" w:rsidDel="00000000" w:rsidP="00000000" w:rsidRDefault="00000000" w:rsidRPr="00000000" w14:paraId="0000029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question of whether the observed impacts are persistent and statistically stable, which constitutes RQ4, is addressed by accounting for dynamic endogeneity and unobservable entity-fixed effects using the System GMM results (Table 4.8). This approach ensures that the empirical findings are robust to the potential influence of past performance on current outcomes and the self-selection inherent in green bond issuance.</w:t>
      </w:r>
    </w:p>
    <w:p w:rsidR="00000000" w:rsidDel="00000000" w:rsidP="00000000" w:rsidRDefault="00000000" w:rsidRPr="00000000" w14:paraId="0000029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evidence from these diagnostics strongly supports the model's validity, as all GMM models pass the Arellano-Bond AR(2) tests (p&gt;0.05) and the Hansen overidentification tests (p&gt;0.10), confirming the appropriateness of the internal instruments (Table 4.6). These results verify that the instruments used are exogenous and that there is no second-order serial correlation, providing a credible foundation for the dynamic panel analysis.</w:t>
      </w:r>
    </w:p>
    <w:p w:rsidR="00000000" w:rsidDel="00000000" w:rsidP="00000000" w:rsidRDefault="00000000" w:rsidRPr="00000000" w14:paraId="0000029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the GMM estimates demonstrate directional consistency with the Difference-in-Differences (DiD) results across all outcomes (Table 4.9), although the coefficient magnitudes are generally smaller (for instance, ROA: DiD = -0.007 versus GMM = -0.001), consistent with the expected effect of introducing dynamic controls. Only emissions intensity achieves statistical significance under the GMM specification (β = -0.192, p = .048*), suggesting this is the most robust treatment effect. In conclusion, the effects are statistically stable across both static and dynamic specifications, but they remain economically small; the high consistency between the DiD and GMM results strengthens the causal inference while confirming that the effects of green bonds in ASEAN are modest at best.</w:t>
      </w:r>
    </w:p>
    <w:p w:rsidR="00000000" w:rsidDel="00000000" w:rsidP="00000000" w:rsidRDefault="00000000" w:rsidRPr="00000000" w14:paraId="0000029A">
      <w:pPr>
        <w:pStyle w:val="Heading2"/>
        <w:rPr>
          <w:rFonts w:ascii="Times New Roman" w:cs="Times New Roman" w:eastAsia="Times New Roman" w:hAnsi="Times New Roman"/>
          <w:sz w:val="26"/>
          <w:szCs w:val="26"/>
        </w:rPr>
      </w:pPr>
      <w:bookmarkStart w:colFirst="0" w:colLast="0" w:name="_bcnukks6trzz" w:id="11"/>
      <w:bookmarkEnd w:id="11"/>
      <w:r w:rsidDel="00000000" w:rsidR="00000000" w:rsidRPr="00000000">
        <w:rPr>
          <w:rFonts w:ascii="Times New Roman" w:cs="Times New Roman" w:eastAsia="Times New Roman" w:hAnsi="Times New Roman"/>
          <w:sz w:val="26"/>
          <w:szCs w:val="26"/>
          <w:rtl w:val="0"/>
        </w:rPr>
        <w:t xml:space="preserve">4.7. Conclusion and Methodological Limitations</w:t>
      </w:r>
    </w:p>
    <w:p w:rsidR="00000000" w:rsidDel="00000000" w:rsidP="00000000" w:rsidRDefault="00000000" w:rsidRPr="00000000" w14:paraId="000002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final section synthesizes the empirical findings and addresses the constraints that limit the internal and external validity of the study.</w:t>
      </w:r>
    </w:p>
    <w:p w:rsidR="00000000" w:rsidDel="00000000" w:rsidP="00000000" w:rsidRDefault="00000000" w:rsidRPr="00000000" w14:paraId="0000029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4.7.1. Methodological Constraints</w:t>
      </w:r>
    </w:p>
    <w:p w:rsidR="00000000" w:rsidDel="00000000" w:rsidP="00000000" w:rsidRDefault="00000000" w:rsidRPr="00000000" w14:paraId="0000029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Several limitations warrant caution in the interpretation of these findings. First, the extreme sparsity of treatment (only 20 green bond issuers out of 3,964 firms) critically limits the statistical power of subgroup analyses and dynamic panel estimations. Second, the short panel window (2020–2025) may be insufficient to capture long-run environmental or financial effects that typically materialize over a decade or more. Third, the 2020 treatment cohort lacks pre-treatment observations, rendering parallel trends untestable for 25% of the treated sample. Finally, the absence of bond-level yield data precludes a formal analysis of the interest cost channel (the "greenium" effect), which remains a critical research gap.</w:t>
      </w:r>
    </w:p>
    <w:p w:rsidR="00000000" w:rsidDel="00000000" w:rsidP="00000000" w:rsidRDefault="00000000" w:rsidRPr="00000000" w14:paraId="000002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4.7.2. Synthesis and Final Remarks</w:t>
      </w:r>
    </w:p>
    <w:p w:rsidR="00000000" w:rsidDel="00000000" w:rsidP="00000000" w:rsidRDefault="00000000" w:rsidRPr="00000000" w14:paraId="0000029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these constraints, the study provides robust evidence of a systematic decoupling between green bond certification and substantive environmental outcomes in the ASEAN region. The findings suggest that green bonds currently serve more as a symbolic market signal than a substantive driver of corporate performance. For ASEAN corporate managers, the results underscore the importance of balancing the reputational benefits of green finance with the very real operational costs of compliance. For regulators, the evidence suggests a need for stricter post-issuance monitoring to ensure that green bond proceeds translate into material environmental improvements, thereby closing the gap between formal certification and substantive impact.</w:t>
      </w:r>
    </w:p>
    <w:p w:rsidR="00000000" w:rsidDel="00000000" w:rsidP="00000000" w:rsidRDefault="00000000" w:rsidRPr="00000000" w14:paraId="000002A0">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Bdr>
        <w:bottom w:color="auto" w:space="5" w:sz="0" w:val="none"/>
      </w:pBdr>
      <w:spacing w:after="240" w:before="360" w:line="30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240" w:lineRule="auto"/>
      <w:jc w:val="both"/>
    </w:pPr>
    <w:rPr>
      <w:rFonts w:ascii="Times New Roman" w:cs="Times New Roman" w:eastAsia="Times New Roman" w:hAnsi="Times New Roman"/>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00" w:lineRule="auto"/>
    </w:pPr>
    <w:rPr>
      <w:rFonts w:ascii="Times New Roman" w:cs="Times New Roman" w:eastAsia="Times New Roman" w:hAnsi="Times New Roman"/>
      <w:sz w:val="26"/>
      <w:szCs w:val="26"/>
    </w:rPr>
  </w:style>
  <w:style w:type="paragraph" w:styleId="Subtitle">
    <w:name w:val="Subtitle"/>
    <w:basedOn w:val="Normal"/>
    <w:next w:val="Normal"/>
    <w:pPr>
      <w:keepNext w:val="1"/>
      <w:keepLines w:val="1"/>
      <w:spacing w:after="100" w:lineRule="auto"/>
    </w:pPr>
    <w:rPr>
      <w:rFonts w:ascii="Times New Roman" w:cs="Times New Roman" w:eastAsia="Times New Roman" w:hAnsi="Times New Roman"/>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