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ccdeaeb580d952c439b36f2199922ad3148aa0"/>
    <w:p>
      <w:pPr>
        <w:pStyle w:val="Heading1"/>
      </w:pPr>
      <w:r>
        <w:t xml:space="preserve">CHAPTER IV. RESEARCH RESULTS AND DISCUSSION</w:t>
      </w:r>
    </w:p>
    <w:bookmarkStart w:id="22" w:name="descriptive-statistical-analysis"/>
    <w:p>
      <w:pPr>
        <w:pStyle w:val="Heading2"/>
      </w:pPr>
      <w:r>
        <w:t xml:space="preserve">4.1. Descriptive Statistical Analysis</w:t>
      </w:r>
    </w:p>
    <w:bookmarkStart w:id="20" w:name="summary-statistics-full-sample"/>
    <w:p>
      <w:pPr>
        <w:pStyle w:val="Heading3"/>
      </w:pPr>
      <w:r>
        <w:t xml:space="preserve">4.1.1. Summary Statistics — Full Sample</w:t>
      </w:r>
    </w:p>
    <w:p>
      <w:pPr>
        <w:pStyle w:val="FirstParagraph"/>
      </w:pPr>
      <w:r>
        <w:t xml:space="preserve">Table 4.1 presents the summary statistics for the comprehensive panel dataset, comprising 23,284 firm-year observations from 3,964 unique ASEAN entities over the 2020–2025 period. The dataset exhibits substantial variation across financial, environmental, and operational dimensions.</w:t>
      </w:r>
    </w:p>
    <w:p>
      <w:pPr>
        <w:pStyle w:val="BodyText"/>
      </w:pPr>
      <w:r>
        <w:rPr>
          <w:b/>
          <w:bCs/>
        </w:rPr>
        <w:t xml:space="preserve">Table 4.1: Summary Statistics — Full Sample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left"/>
            </w:pPr>
            <w:r>
              <w:t xml:space="preserve">N</w:t>
            </w:r>
          </w:p>
        </w:tc>
        <w:tc>
          <w:tcPr/>
          <w:p>
            <w:pPr>
              <w:pStyle w:val="Compact"/>
              <w:jc w:val="left"/>
            </w:pPr>
            <w:r>
              <w:t xml:space="preserve">Mean</w:t>
            </w:r>
          </w:p>
        </w:tc>
        <w:tc>
          <w:tcPr/>
          <w:p>
            <w:pPr>
              <w:pStyle w:val="Compact"/>
              <w:jc w:val="left"/>
            </w:pPr>
            <w:r>
              <w:t xml:space="preserve">Std. Dev.</w:t>
            </w:r>
          </w:p>
        </w:tc>
        <w:tc>
          <w:tcPr/>
          <w:p>
            <w:pPr>
              <w:pStyle w:val="Compact"/>
              <w:jc w:val="left"/>
            </w:pPr>
            <w:r>
              <w:t xml:space="preserve">Min</w:t>
            </w:r>
          </w:p>
        </w:tc>
        <w:tc>
          <w:tcPr/>
          <w:p>
            <w:pPr>
              <w:pStyle w:val="Compact"/>
              <w:jc w:val="left"/>
            </w:pPr>
            <w:r>
              <w:t xml:space="preserve">Median</w:t>
            </w:r>
          </w:p>
        </w:tc>
        <w:tc>
          <w:tcPr/>
          <w:p>
            <w:pPr>
              <w:pStyle w:val="Compact"/>
              <w:jc w:val="left"/>
            </w:pPr>
            <w:r>
              <w:t xml:space="preserve">Max</w:t>
            </w:r>
          </w:p>
        </w:tc>
        <w:tc>
          <w:tcPr/>
          <w:p>
            <w:pPr>
              <w:pStyle w:val="Compact"/>
              <w:jc w:val="left"/>
            </w:pPr>
            <w:r>
              <w:t xml:space="preserve">Coverage</w:t>
            </w:r>
          </w:p>
        </w:tc>
      </w:tr>
      <w:tr>
        <w:tc>
          <w:tcPr/>
          <w:p>
            <w:pPr>
              <w:pStyle w:val="Compact"/>
              <w:jc w:val="left"/>
            </w:pPr>
            <w:r>
              <w:rPr>
                <w:b/>
                <w:bCs/>
              </w:rPr>
              <w:t xml:space="preserve">Return on Assets (ROA)</w:t>
            </w:r>
          </w:p>
        </w:tc>
        <w:tc>
          <w:tcPr/>
          <w:p>
            <w:pPr>
              <w:pStyle w:val="Compact"/>
              <w:jc w:val="left"/>
            </w:pPr>
            <w:r>
              <w:t xml:space="preserve">21,727</w:t>
            </w:r>
          </w:p>
        </w:tc>
        <w:tc>
          <w:tcPr/>
          <w:p>
            <w:pPr>
              <w:pStyle w:val="Compact"/>
              <w:jc w:val="left"/>
            </w:pPr>
            <w:r>
              <w:t xml:space="preserve">0.0353</w:t>
            </w:r>
          </w:p>
        </w:tc>
        <w:tc>
          <w:tcPr/>
          <w:p>
            <w:pPr>
              <w:pStyle w:val="Compact"/>
              <w:jc w:val="left"/>
            </w:pPr>
            <w:r>
              <w:t xml:space="preserve">0.1062</w:t>
            </w:r>
          </w:p>
        </w:tc>
        <w:tc>
          <w:tcPr/>
          <w:p>
            <w:pPr>
              <w:pStyle w:val="Compact"/>
              <w:jc w:val="left"/>
            </w:pPr>
            <w:r>
              <w:t xml:space="preserve">-0.4902</w:t>
            </w:r>
          </w:p>
        </w:tc>
        <w:tc>
          <w:tcPr/>
          <w:p>
            <w:pPr>
              <w:pStyle w:val="Compact"/>
              <w:jc w:val="left"/>
            </w:pPr>
            <w:r>
              <w:t xml:space="preserve">0.0377</w:t>
            </w:r>
          </w:p>
        </w:tc>
        <w:tc>
          <w:tcPr/>
          <w:p>
            <w:pPr>
              <w:pStyle w:val="Compact"/>
              <w:jc w:val="left"/>
            </w:pPr>
            <w:r>
              <w:t xml:space="preserve">0.3670</w:t>
            </w:r>
          </w:p>
        </w:tc>
        <w:tc>
          <w:tcPr/>
          <w:p>
            <w:pPr>
              <w:pStyle w:val="Compact"/>
              <w:jc w:val="left"/>
            </w:pPr>
            <w:r>
              <w:t xml:space="preserve">93.3%</w:t>
            </w:r>
          </w:p>
        </w:tc>
      </w:tr>
      <w:tr>
        <w:tc>
          <w:tcPr/>
          <w:p>
            <w:pPr>
              <w:pStyle w:val="Compact"/>
              <w:jc w:val="left"/>
            </w:pPr>
            <w:r>
              <w:rPr>
                <w:b/>
                <w:bCs/>
              </w:rPr>
              <w:t xml:space="preserve">Tobin’s Q</w:t>
            </w:r>
          </w:p>
        </w:tc>
        <w:tc>
          <w:tcPr/>
          <w:p>
            <w:pPr>
              <w:pStyle w:val="Compact"/>
              <w:jc w:val="left"/>
            </w:pPr>
            <w:r>
              <w:t xml:space="preserve">20,634</w:t>
            </w:r>
          </w:p>
        </w:tc>
        <w:tc>
          <w:tcPr/>
          <w:p>
            <w:pPr>
              <w:pStyle w:val="Compact"/>
              <w:jc w:val="left"/>
            </w:pPr>
            <w:r>
              <w:t xml:space="preserve">1.4021</w:t>
            </w:r>
          </w:p>
        </w:tc>
        <w:tc>
          <w:tcPr/>
          <w:p>
            <w:pPr>
              <w:pStyle w:val="Compact"/>
              <w:jc w:val="left"/>
            </w:pPr>
            <w:r>
              <w:t xml:space="preserve">1.3492</w:t>
            </w:r>
          </w:p>
        </w:tc>
        <w:tc>
          <w:tcPr/>
          <w:p>
            <w:pPr>
              <w:pStyle w:val="Compact"/>
              <w:jc w:val="left"/>
            </w:pPr>
            <w:r>
              <w:t xml:space="preserve">0.3211</w:t>
            </w:r>
          </w:p>
        </w:tc>
        <w:tc>
          <w:tcPr/>
          <w:p>
            <w:pPr>
              <w:pStyle w:val="Compact"/>
              <w:jc w:val="left"/>
            </w:pPr>
            <w:r>
              <w:t xml:space="preserve">0.9934</w:t>
            </w:r>
          </w:p>
        </w:tc>
        <w:tc>
          <w:tcPr/>
          <w:p>
            <w:pPr>
              <w:pStyle w:val="Compact"/>
              <w:jc w:val="left"/>
            </w:pPr>
            <w:r>
              <w:t xml:space="preserve">9.5867</w:t>
            </w:r>
          </w:p>
        </w:tc>
        <w:tc>
          <w:tcPr/>
          <w:p>
            <w:pPr>
              <w:pStyle w:val="Compact"/>
              <w:jc w:val="left"/>
            </w:pPr>
            <w:r>
              <w:t xml:space="preserve">88.6%</w:t>
            </w:r>
          </w:p>
        </w:tc>
      </w:tr>
      <w:tr>
        <w:tc>
          <w:tcPr/>
          <w:p>
            <w:pPr>
              <w:pStyle w:val="Compact"/>
              <w:jc w:val="left"/>
            </w:pPr>
            <w:r>
              <w:rPr>
                <w:b/>
                <w:bCs/>
              </w:rPr>
              <w:t xml:space="preserve">ESG Score</w:t>
            </w:r>
          </w:p>
        </w:tc>
        <w:tc>
          <w:tcPr/>
          <w:p>
            <w:pPr>
              <w:pStyle w:val="Compact"/>
              <w:jc w:val="left"/>
            </w:pPr>
            <w:r>
              <w:t xml:space="preserve">4,143</w:t>
            </w:r>
          </w:p>
        </w:tc>
        <w:tc>
          <w:tcPr/>
          <w:p>
            <w:pPr>
              <w:pStyle w:val="Compact"/>
              <w:jc w:val="left"/>
            </w:pPr>
            <w:r>
              <w:t xml:space="preserve">47.6295</w:t>
            </w:r>
          </w:p>
        </w:tc>
        <w:tc>
          <w:tcPr/>
          <w:p>
            <w:pPr>
              <w:pStyle w:val="Compact"/>
              <w:jc w:val="left"/>
            </w:pPr>
            <w:r>
              <w:t xml:space="preserve">17.8599</w:t>
            </w:r>
          </w:p>
        </w:tc>
        <w:tc>
          <w:tcPr/>
          <w:p>
            <w:pPr>
              <w:pStyle w:val="Compact"/>
              <w:jc w:val="left"/>
            </w:pPr>
            <w:r>
              <w:t xml:space="preserve">9.5700</w:t>
            </w:r>
          </w:p>
        </w:tc>
        <w:tc>
          <w:tcPr/>
          <w:p>
            <w:pPr>
              <w:pStyle w:val="Compact"/>
              <w:jc w:val="left"/>
            </w:pPr>
            <w:r>
              <w:t xml:space="preserve">47.2700</w:t>
            </w:r>
          </w:p>
        </w:tc>
        <w:tc>
          <w:tcPr/>
          <w:p>
            <w:pPr>
              <w:pStyle w:val="Compact"/>
              <w:jc w:val="left"/>
            </w:pPr>
            <w:r>
              <w:t xml:space="preserve">85.4500</w:t>
            </w:r>
          </w:p>
        </w:tc>
        <w:tc>
          <w:tcPr/>
          <w:p>
            <w:pPr>
              <w:pStyle w:val="Compact"/>
              <w:jc w:val="left"/>
            </w:pPr>
            <w:r>
              <w:t xml:space="preserve">17.8%</w:t>
            </w:r>
          </w:p>
        </w:tc>
      </w:tr>
      <w:tr>
        <w:tc>
          <w:tcPr/>
          <w:p>
            <w:pPr>
              <w:pStyle w:val="Compact"/>
              <w:jc w:val="left"/>
            </w:pPr>
            <w:r>
              <w:rPr>
                <w:b/>
                <w:bCs/>
              </w:rPr>
              <w:t xml:space="preserve">ln(Emissions Intensity)</w:t>
            </w:r>
          </w:p>
        </w:tc>
        <w:tc>
          <w:tcPr/>
          <w:p>
            <w:pPr>
              <w:pStyle w:val="Compact"/>
              <w:jc w:val="left"/>
            </w:pPr>
            <w:r>
              <w:t xml:space="preserve">18,888</w:t>
            </w:r>
          </w:p>
        </w:tc>
        <w:tc>
          <w:tcPr/>
          <w:p>
            <w:pPr>
              <w:pStyle w:val="Compact"/>
              <w:jc w:val="left"/>
            </w:pPr>
            <w:r>
              <w:t xml:space="preserve">10.4390</w:t>
            </w:r>
          </w:p>
        </w:tc>
        <w:tc>
          <w:tcPr/>
          <w:p>
            <w:pPr>
              <w:pStyle w:val="Compact"/>
              <w:jc w:val="left"/>
            </w:pPr>
            <w:r>
              <w:t xml:space="preserve">2.6335</w:t>
            </w:r>
          </w:p>
        </w:tc>
        <w:tc>
          <w:tcPr/>
          <w:p>
            <w:pPr>
              <w:pStyle w:val="Compact"/>
              <w:jc w:val="left"/>
            </w:pPr>
            <w:r>
              <w:t xml:space="preserve">-5.5116</w:t>
            </w:r>
          </w:p>
        </w:tc>
        <w:tc>
          <w:tcPr/>
          <w:p>
            <w:pPr>
              <w:pStyle w:val="Compact"/>
              <w:jc w:val="left"/>
            </w:pPr>
            <w:r>
              <w:t xml:space="preserve">10.3553</w:t>
            </w:r>
          </w:p>
        </w:tc>
        <w:tc>
          <w:tcPr/>
          <w:p>
            <w:pPr>
              <w:pStyle w:val="Compact"/>
              <w:jc w:val="left"/>
            </w:pPr>
            <w:r>
              <w:t xml:space="preserve">20.7667</w:t>
            </w:r>
          </w:p>
        </w:tc>
        <w:tc>
          <w:tcPr/>
          <w:p>
            <w:pPr>
              <w:pStyle w:val="Compact"/>
              <w:jc w:val="left"/>
            </w:pPr>
            <w:r>
              <w:t xml:space="preserve">81.1%</w:t>
            </w:r>
          </w:p>
        </w:tc>
      </w:tr>
      <w:tr>
        <w:tc>
          <w:tcPr/>
          <w:p>
            <w:pPr>
              <w:pStyle w:val="Compact"/>
              <w:jc w:val="left"/>
            </w:pPr>
            <w:r>
              <w:rPr>
                <w:b/>
                <w:bCs/>
              </w:rPr>
              <w:t xml:space="preserve">L1_Firm_Size</w:t>
            </w:r>
          </w:p>
        </w:tc>
        <w:tc>
          <w:tcPr/>
          <w:p>
            <w:pPr>
              <w:pStyle w:val="Compact"/>
              <w:jc w:val="left"/>
            </w:pPr>
            <w:r>
              <w:t xml:space="preserve">19,298</w:t>
            </w:r>
          </w:p>
        </w:tc>
        <w:tc>
          <w:tcPr/>
          <w:p>
            <w:pPr>
              <w:pStyle w:val="Compact"/>
              <w:jc w:val="left"/>
            </w:pPr>
            <w:r>
              <w:t xml:space="preserve">11.8335</w:t>
            </w:r>
          </w:p>
        </w:tc>
        <w:tc>
          <w:tcPr/>
          <w:p>
            <w:pPr>
              <w:pStyle w:val="Compact"/>
              <w:jc w:val="left"/>
            </w:pPr>
            <w:r>
              <w:t xml:space="preserve">2.0191</w:t>
            </w:r>
          </w:p>
        </w:tc>
        <w:tc>
          <w:tcPr/>
          <w:p>
            <w:pPr>
              <w:pStyle w:val="Compact"/>
              <w:jc w:val="left"/>
            </w:pPr>
            <w:r>
              <w:t xml:space="preserve">7.2540</w:t>
            </w:r>
          </w:p>
        </w:tc>
        <w:tc>
          <w:tcPr/>
          <w:p>
            <w:pPr>
              <w:pStyle w:val="Compact"/>
              <w:jc w:val="left"/>
            </w:pPr>
            <w:r>
              <w:t xml:space="preserve">11.6233</w:t>
            </w:r>
          </w:p>
        </w:tc>
        <w:tc>
          <w:tcPr/>
          <w:p>
            <w:pPr>
              <w:pStyle w:val="Compact"/>
              <w:jc w:val="left"/>
            </w:pPr>
            <w:r>
              <w:t xml:space="preserve">17.5891</w:t>
            </w:r>
          </w:p>
        </w:tc>
        <w:tc>
          <w:tcPr/>
          <w:p>
            <w:pPr>
              <w:pStyle w:val="Compact"/>
              <w:jc w:val="left"/>
            </w:pPr>
            <w:r>
              <w:t xml:space="preserve">82.9%</w:t>
            </w:r>
          </w:p>
        </w:tc>
      </w:tr>
      <w:tr>
        <w:tc>
          <w:tcPr/>
          <w:p>
            <w:pPr>
              <w:pStyle w:val="Compact"/>
              <w:jc w:val="left"/>
            </w:pPr>
            <w:r>
              <w:rPr>
                <w:b/>
                <w:bCs/>
              </w:rPr>
              <w:t xml:space="preserve">L1_Leverage</w:t>
            </w:r>
          </w:p>
        </w:tc>
        <w:tc>
          <w:tcPr/>
          <w:p>
            <w:pPr>
              <w:pStyle w:val="Compact"/>
              <w:jc w:val="left"/>
            </w:pPr>
            <w:r>
              <w:t xml:space="preserve">19,298</w:t>
            </w:r>
          </w:p>
        </w:tc>
        <w:tc>
          <w:tcPr/>
          <w:p>
            <w:pPr>
              <w:pStyle w:val="Compact"/>
              <w:jc w:val="left"/>
            </w:pPr>
            <w:r>
              <w:t xml:space="preserve">0.2259</w:t>
            </w:r>
          </w:p>
        </w:tc>
        <w:tc>
          <w:tcPr/>
          <w:p>
            <w:pPr>
              <w:pStyle w:val="Compact"/>
              <w:jc w:val="left"/>
            </w:pPr>
            <w:r>
              <w:t xml:space="preserve">0.2001</w:t>
            </w:r>
          </w:p>
        </w:tc>
        <w:tc>
          <w:tcPr/>
          <w:p>
            <w:pPr>
              <w:pStyle w:val="Compact"/>
              <w:jc w:val="left"/>
            </w:pPr>
            <w:r>
              <w:t xml:space="preserve">0.0000</w:t>
            </w:r>
          </w:p>
        </w:tc>
        <w:tc>
          <w:tcPr/>
          <w:p>
            <w:pPr>
              <w:pStyle w:val="Compact"/>
              <w:jc w:val="left"/>
            </w:pPr>
            <w:r>
              <w:t xml:space="preserve">0.1877</w:t>
            </w:r>
          </w:p>
        </w:tc>
        <w:tc>
          <w:tcPr/>
          <w:p>
            <w:pPr>
              <w:pStyle w:val="Compact"/>
              <w:jc w:val="left"/>
            </w:pPr>
            <w:r>
              <w:t xml:space="preserve">0.8607</w:t>
            </w:r>
          </w:p>
        </w:tc>
        <w:tc>
          <w:tcPr/>
          <w:p>
            <w:pPr>
              <w:pStyle w:val="Compact"/>
              <w:jc w:val="left"/>
            </w:pPr>
            <w:r>
              <w:t xml:space="preserve">82.9%</w:t>
            </w:r>
          </w:p>
        </w:tc>
      </w:tr>
      <w:tr>
        <w:tc>
          <w:tcPr/>
          <w:p>
            <w:pPr>
              <w:pStyle w:val="Compact"/>
              <w:jc w:val="left"/>
            </w:pPr>
            <w:r>
              <w:rPr>
                <w:b/>
                <w:bCs/>
              </w:rPr>
              <w:t xml:space="preserve">L1_Asset_Turnover</w:t>
            </w:r>
          </w:p>
        </w:tc>
        <w:tc>
          <w:tcPr/>
          <w:p>
            <w:pPr>
              <w:pStyle w:val="Compact"/>
              <w:jc w:val="left"/>
            </w:pPr>
            <w:r>
              <w:t xml:space="preserve">19,279</w:t>
            </w:r>
          </w:p>
        </w:tc>
        <w:tc>
          <w:tcPr/>
          <w:p>
            <w:pPr>
              <w:pStyle w:val="Compact"/>
              <w:jc w:val="left"/>
            </w:pPr>
            <w:r>
              <w:t xml:space="preserve">0.6699</w:t>
            </w:r>
          </w:p>
        </w:tc>
        <w:tc>
          <w:tcPr/>
          <w:p>
            <w:pPr>
              <w:pStyle w:val="Compact"/>
              <w:jc w:val="left"/>
            </w:pPr>
            <w:r>
              <w:t xml:space="preserve">0.6750</w:t>
            </w:r>
          </w:p>
        </w:tc>
        <w:tc>
          <w:tcPr/>
          <w:p>
            <w:pPr>
              <w:pStyle w:val="Compact"/>
              <w:jc w:val="left"/>
            </w:pPr>
            <w:r>
              <w:t xml:space="preserve">0.0001</w:t>
            </w:r>
          </w:p>
        </w:tc>
        <w:tc>
          <w:tcPr/>
          <w:p>
            <w:pPr>
              <w:pStyle w:val="Compact"/>
              <w:jc w:val="left"/>
            </w:pPr>
            <w:r>
              <w:t xml:space="preserve">0.4943</w:t>
            </w:r>
          </w:p>
        </w:tc>
        <w:tc>
          <w:tcPr/>
          <w:p>
            <w:pPr>
              <w:pStyle w:val="Compact"/>
              <w:jc w:val="left"/>
            </w:pPr>
            <w:r>
              <w:t xml:space="preserve">3.7762</w:t>
            </w:r>
          </w:p>
        </w:tc>
        <w:tc>
          <w:tcPr/>
          <w:p>
            <w:pPr>
              <w:pStyle w:val="Compact"/>
              <w:jc w:val="left"/>
            </w:pPr>
            <w:r>
              <w:t xml:space="preserve">82.8%</w:t>
            </w:r>
          </w:p>
        </w:tc>
      </w:tr>
      <w:tr>
        <w:tc>
          <w:tcPr/>
          <w:p>
            <w:pPr>
              <w:pStyle w:val="Compact"/>
              <w:jc w:val="left"/>
            </w:pPr>
            <w:r>
              <w:rPr>
                <w:b/>
                <w:bCs/>
              </w:rPr>
              <w:t xml:space="preserve">Asset Tangibility</w:t>
            </w:r>
          </w:p>
        </w:tc>
        <w:tc>
          <w:tcPr/>
          <w:p>
            <w:pPr>
              <w:pStyle w:val="Compact"/>
              <w:jc w:val="left"/>
            </w:pPr>
            <w:r>
              <w:t xml:space="preserve">23,284</w:t>
            </w:r>
          </w:p>
        </w:tc>
        <w:tc>
          <w:tcPr/>
          <w:p>
            <w:pPr>
              <w:pStyle w:val="Compact"/>
              <w:jc w:val="left"/>
            </w:pPr>
            <w:r>
              <w:t xml:space="preserve">0.5090</w:t>
            </w:r>
          </w:p>
        </w:tc>
        <w:tc>
          <w:tcPr/>
          <w:p>
            <w:pPr>
              <w:pStyle w:val="Compact"/>
              <w:jc w:val="left"/>
            </w:pPr>
            <w:r>
              <w:t xml:space="preserve">0.2250</w:t>
            </w:r>
          </w:p>
        </w:tc>
        <w:tc>
          <w:tcPr/>
          <w:p>
            <w:pPr>
              <w:pStyle w:val="Compact"/>
              <w:jc w:val="left"/>
            </w:pPr>
            <w:r>
              <w:t xml:space="preserve">0.0000</w:t>
            </w:r>
          </w:p>
        </w:tc>
        <w:tc>
          <w:tcPr/>
          <w:p>
            <w:pPr>
              <w:pStyle w:val="Compact"/>
              <w:jc w:val="left"/>
            </w:pPr>
            <w:r>
              <w:t xml:space="preserve">0.5500</w:t>
            </w:r>
          </w:p>
        </w:tc>
        <w:tc>
          <w:tcPr/>
          <w:p>
            <w:pPr>
              <w:pStyle w:val="Compact"/>
              <w:jc w:val="left"/>
            </w:pPr>
            <w:r>
              <w:t xml:space="preserve">0.9984</w:t>
            </w:r>
          </w:p>
        </w:tc>
        <w:tc>
          <w:tcPr/>
          <w:p>
            <w:pPr>
              <w:pStyle w:val="Compact"/>
              <w:jc w:val="left"/>
            </w:pPr>
            <w:r>
              <w:t xml:space="preserve">100.0%</w:t>
            </w:r>
          </w:p>
        </w:tc>
      </w:tr>
    </w:tbl>
    <w:p>
      <w:pPr>
        <w:pStyle w:val="BodyText"/>
      </w:pPr>
      <w:r>
        <w:t xml:space="preserve">The descriptive results indicate that the median ASEAN firm in the sample maintains an ROA of 3.77% and a market valuation (Tobin’s Q) of 0.99, approximately equal to its book value. Notable is the coverage disparity: while financial and emissions metrics are broadly available, ESG scores are present for only 17.8% of the panel, reflecting the concentration of sustainability disclosure among larger, listed entities.</w:t>
      </w:r>
    </w:p>
    <w:bookmarkEnd w:id="20"/>
    <w:bookmarkStart w:id="21" w:name="X5523e11b488a2ff3c3853c67f37af83f660bbc2"/>
    <w:p>
      <w:pPr>
        <w:pStyle w:val="Heading3"/>
      </w:pPr>
      <w:r>
        <w:t xml:space="preserve">4.1.2. Univariate Comparison: Treated vs. Control Groups</w:t>
      </w:r>
    </w:p>
    <w:p>
      <w:pPr>
        <w:pStyle w:val="FirstParagraph"/>
      </w:pPr>
      <w:r>
        <w:t xml:space="preserve">A comparison of pre-treatment characteristics (Table 4.2) reveals significant systematic differences between green bond issuers and non-issuers, justifying the use of Propensity Score Matching.</w:t>
      </w:r>
    </w:p>
    <w:p>
      <w:pPr>
        <w:pStyle w:val="BodyText"/>
      </w:pPr>
      <w:r>
        <w:rPr>
          <w:b/>
          <w:bCs/>
        </w:rPr>
        <w:t xml:space="preserve">Table 4.2: Pre-Matching Comparison of Treated and Control Firms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Treated Mean</w:t>
            </w:r>
          </w:p>
        </w:tc>
        <w:tc>
          <w:tcPr/>
          <w:p>
            <w:pPr>
              <w:pStyle w:val="Compact"/>
              <w:jc w:val="left"/>
            </w:pPr>
            <w:r>
              <w:t xml:space="preserve">Control Mean</w:t>
            </w:r>
          </w:p>
        </w:tc>
        <w:tc>
          <w:tcPr/>
          <w:p>
            <w:pPr>
              <w:pStyle w:val="Compact"/>
              <w:jc w:val="left"/>
            </w:pPr>
            <w:r>
              <w:t xml:space="preserve">Difference</w:t>
            </w:r>
          </w:p>
        </w:tc>
        <w:tc>
          <w:tcPr/>
          <w:p>
            <w:pPr>
              <w:pStyle w:val="Compact"/>
              <w:jc w:val="left"/>
            </w:pPr>
            <w:r>
              <w:t xml:space="preserve">Significance</w:t>
            </w:r>
          </w:p>
        </w:tc>
      </w:tr>
      <w:tr>
        <w:tc>
          <w:tcPr/>
          <w:p>
            <w:pPr>
              <w:pStyle w:val="Compact"/>
              <w:jc w:val="left"/>
            </w:pPr>
            <w:r>
              <w:rPr>
                <w:b/>
                <w:bCs/>
              </w:rPr>
              <w:t xml:space="preserve">ROA</w:t>
            </w:r>
          </w:p>
        </w:tc>
        <w:tc>
          <w:tcPr/>
          <w:p>
            <w:pPr>
              <w:pStyle w:val="Compact"/>
              <w:jc w:val="left"/>
            </w:pPr>
            <w:r>
              <w:t xml:space="preserve">0.0462</w:t>
            </w:r>
          </w:p>
        </w:tc>
        <w:tc>
          <w:tcPr/>
          <w:p>
            <w:pPr>
              <w:pStyle w:val="Compact"/>
              <w:jc w:val="left"/>
            </w:pPr>
            <w:r>
              <w:t xml:space="preserve">0.0353</w:t>
            </w:r>
          </w:p>
        </w:tc>
        <w:tc>
          <w:tcPr/>
          <w:p>
            <w:pPr>
              <w:pStyle w:val="Compact"/>
              <w:jc w:val="left"/>
            </w:pPr>
            <w:r>
              <w:t xml:space="preserve">0.0109</w:t>
            </w:r>
          </w:p>
        </w:tc>
        <w:tc>
          <w:tcPr/>
          <w:p>
            <w:pPr>
              <w:pStyle w:val="Compact"/>
              <w:jc w:val="left"/>
            </w:pPr>
            <w:r>
              <w:t xml:space="preserve">**</w:t>
            </w:r>
          </w:p>
        </w:tc>
      </w:tr>
      <w:tr>
        <w:tc>
          <w:tcPr/>
          <w:p>
            <w:pPr>
              <w:pStyle w:val="Compact"/>
              <w:jc w:val="left"/>
            </w:pPr>
            <w:r>
              <w:rPr>
                <w:b/>
                <w:bCs/>
              </w:rPr>
              <w:t xml:space="preserve">ESG Score</w:t>
            </w:r>
          </w:p>
        </w:tc>
        <w:tc>
          <w:tcPr/>
          <w:p>
            <w:pPr>
              <w:pStyle w:val="Compact"/>
              <w:jc w:val="left"/>
            </w:pPr>
            <w:r>
              <w:t xml:space="preserve">69.6308</w:t>
            </w:r>
          </w:p>
        </w:tc>
        <w:tc>
          <w:tcPr/>
          <w:p>
            <w:pPr>
              <w:pStyle w:val="Compact"/>
              <w:jc w:val="left"/>
            </w:pPr>
            <w:r>
              <w:t xml:space="preserve">47.3607</w:t>
            </w:r>
          </w:p>
        </w:tc>
        <w:tc>
          <w:tcPr/>
          <w:p>
            <w:pPr>
              <w:pStyle w:val="Compact"/>
              <w:jc w:val="left"/>
            </w:pPr>
            <w:r>
              <w:t xml:space="preserve">22.2701</w:t>
            </w:r>
          </w:p>
        </w:tc>
        <w:tc>
          <w:tcPr/>
          <w:p>
            <w:pPr>
              <w:pStyle w:val="Compact"/>
              <w:jc w:val="left"/>
            </w:pPr>
            <w:r>
              <w:t xml:space="preserve">***</w:t>
            </w:r>
          </w:p>
        </w:tc>
      </w:tr>
      <w:tr>
        <w:tc>
          <w:tcPr/>
          <w:p>
            <w:pPr>
              <w:pStyle w:val="Compact"/>
              <w:jc w:val="left"/>
            </w:pPr>
            <w:r>
              <w:rPr>
                <w:b/>
                <w:bCs/>
              </w:rPr>
              <w:t xml:space="preserve">ln(Emissions Intensity)</w:t>
            </w:r>
          </w:p>
        </w:tc>
        <w:tc>
          <w:tcPr/>
          <w:p>
            <w:pPr>
              <w:pStyle w:val="Compact"/>
              <w:jc w:val="left"/>
            </w:pPr>
            <w:r>
              <w:t xml:space="preserve">13.8184</w:t>
            </w:r>
          </w:p>
        </w:tc>
        <w:tc>
          <w:tcPr/>
          <w:p>
            <w:pPr>
              <w:pStyle w:val="Compact"/>
              <w:jc w:val="left"/>
            </w:pPr>
            <w:r>
              <w:t xml:space="preserve">10.4282</w:t>
            </w:r>
          </w:p>
        </w:tc>
        <w:tc>
          <w:tcPr/>
          <w:p>
            <w:pPr>
              <w:pStyle w:val="Compact"/>
              <w:jc w:val="left"/>
            </w:pPr>
            <w:r>
              <w:t xml:space="preserve">3.3902</w:t>
            </w:r>
          </w:p>
        </w:tc>
        <w:tc>
          <w:tcPr/>
          <w:p>
            <w:pPr>
              <w:pStyle w:val="Compact"/>
              <w:jc w:val="left"/>
            </w:pPr>
            <w:r>
              <w:t xml:space="preserve">***</w:t>
            </w:r>
          </w:p>
        </w:tc>
      </w:tr>
      <w:tr>
        <w:tc>
          <w:tcPr/>
          <w:p>
            <w:pPr>
              <w:pStyle w:val="Compact"/>
              <w:jc w:val="left"/>
            </w:pPr>
            <w:r>
              <w:rPr>
                <w:b/>
                <w:bCs/>
              </w:rPr>
              <w:t xml:space="preserve">L1_Firm_Size</w:t>
            </w:r>
          </w:p>
        </w:tc>
        <w:tc>
          <w:tcPr/>
          <w:p>
            <w:pPr>
              <w:pStyle w:val="Compact"/>
              <w:jc w:val="left"/>
            </w:pPr>
            <w:r>
              <w:t xml:space="preserve">14.9437</w:t>
            </w:r>
          </w:p>
        </w:tc>
        <w:tc>
          <w:tcPr/>
          <w:p>
            <w:pPr>
              <w:pStyle w:val="Compact"/>
              <w:jc w:val="left"/>
            </w:pPr>
            <w:r>
              <w:t xml:space="preserve">11.8212</w:t>
            </w:r>
          </w:p>
        </w:tc>
        <w:tc>
          <w:tcPr/>
          <w:p>
            <w:pPr>
              <w:pStyle w:val="Compact"/>
              <w:jc w:val="left"/>
            </w:pPr>
            <w:r>
              <w:t xml:space="preserve">3.1225</w:t>
            </w:r>
          </w:p>
        </w:tc>
        <w:tc>
          <w:tcPr/>
          <w:p>
            <w:pPr>
              <w:pStyle w:val="Compact"/>
              <w:jc w:val="left"/>
            </w:pPr>
            <w:r>
              <w:t xml:space="preserve">***</w:t>
            </w:r>
          </w:p>
        </w:tc>
      </w:tr>
      <w:tr>
        <w:tc>
          <w:tcPr/>
          <w:p>
            <w:pPr>
              <w:pStyle w:val="Compact"/>
              <w:jc w:val="left"/>
            </w:pPr>
            <w:r>
              <w:rPr>
                <w:b/>
                <w:bCs/>
              </w:rPr>
              <w:t xml:space="preserve">L1_Leverage</w:t>
            </w:r>
          </w:p>
        </w:tc>
        <w:tc>
          <w:tcPr/>
          <w:p>
            <w:pPr>
              <w:pStyle w:val="Compact"/>
              <w:jc w:val="left"/>
            </w:pPr>
            <w:r>
              <w:t xml:space="preserve">0.4122</w:t>
            </w:r>
          </w:p>
        </w:tc>
        <w:tc>
          <w:tcPr/>
          <w:p>
            <w:pPr>
              <w:pStyle w:val="Compact"/>
              <w:jc w:val="left"/>
            </w:pPr>
            <w:r>
              <w:t xml:space="preserve">0.2252</w:t>
            </w:r>
          </w:p>
        </w:tc>
        <w:tc>
          <w:tcPr/>
          <w:p>
            <w:pPr>
              <w:pStyle w:val="Compact"/>
              <w:jc w:val="left"/>
            </w:pPr>
            <w:r>
              <w:t xml:space="preserve">0.1870</w:t>
            </w:r>
          </w:p>
        </w:tc>
        <w:tc>
          <w:tcPr/>
          <w:p>
            <w:pPr>
              <w:pStyle w:val="Compact"/>
              <w:jc w:val="left"/>
            </w:pPr>
            <w:r>
              <w:t xml:space="preserve">***</w:t>
            </w:r>
          </w:p>
        </w:tc>
      </w:tr>
      <w:tr>
        <w:tc>
          <w:tcPr/>
          <w:p>
            <w:pPr>
              <w:pStyle w:val="Compact"/>
              <w:jc w:val="left"/>
            </w:pPr>
            <w:r>
              <w:rPr>
                <w:b/>
                <w:bCs/>
              </w:rPr>
              <w:t xml:space="preserve">L1_Asset_Turnover</w:t>
            </w:r>
          </w:p>
        </w:tc>
        <w:tc>
          <w:tcPr/>
          <w:p>
            <w:pPr>
              <w:pStyle w:val="Compact"/>
              <w:jc w:val="left"/>
            </w:pPr>
            <w:r>
              <w:t xml:space="preserve">0.2574</w:t>
            </w:r>
          </w:p>
        </w:tc>
        <w:tc>
          <w:tcPr/>
          <w:p>
            <w:pPr>
              <w:pStyle w:val="Compact"/>
              <w:jc w:val="left"/>
            </w:pPr>
            <w:r>
              <w:t xml:space="preserve">0.6716</w:t>
            </w:r>
          </w:p>
        </w:tc>
        <w:tc>
          <w:tcPr/>
          <w:p>
            <w:pPr>
              <w:pStyle w:val="Compact"/>
              <w:jc w:val="left"/>
            </w:pPr>
            <w:r>
              <w:t xml:space="preserve">-0.4142</w:t>
            </w:r>
          </w:p>
        </w:tc>
        <w:tc>
          <w:tcPr/>
          <w:p>
            <w:pPr>
              <w:pStyle w:val="Compact"/>
              <w:jc w:val="left"/>
            </w:pPr>
            <w:r>
              <w:t xml:space="preserve">***</w:t>
            </w:r>
          </w:p>
        </w:tc>
      </w:tr>
    </w:tbl>
    <w:p>
      <w:pPr>
        <w:pStyle w:val="BodyText"/>
      </w:pPr>
      <w:r>
        <w:t xml:space="preserve">Firms that issue green bonds are significantly larger, more levered, and possess substantially higher ESG scores than their non-issuing counterparts. Furthermore, treated firms exhibit higher pre-treatment emissions intensity, suggesting that green bond financing is predominantly sought by firms with larger environmental footprints seeking transition capital.</w:t>
      </w:r>
    </w:p>
    <w:bookmarkEnd w:id="21"/>
    <w:bookmarkEnd w:id="22"/>
    <w:bookmarkStart w:id="25" w:name="identification-strategy-validation"/>
    <w:p>
      <w:pPr>
        <w:pStyle w:val="Heading2"/>
      </w:pPr>
      <w:r>
        <w:t xml:space="preserve">4.2. Identification Strategy Validation</w:t>
      </w:r>
    </w:p>
    <w:bookmarkStart w:id="23" w:name="X3ef4cbfe817f9a84cb7f11c728d0c5ae3bf4a82"/>
    <w:p>
      <w:pPr>
        <w:pStyle w:val="Heading3"/>
      </w:pPr>
      <w:r>
        <w:t xml:space="preserve">4.2.1. Propensity Score Matching and Covariate Balance</w:t>
      </w:r>
    </w:p>
    <w:p>
      <w:pPr>
        <w:pStyle w:val="FirstParagraph"/>
      </w:pPr>
      <w:r>
        <w:t xml:space="preserve">The first-stage PSM procedure successfully constructed a comparable control group. All matching covariates achieved excellent balance, with standardized mean differences (SMD) falling well below the threshold of 0.10. For instance, the imbalance in firm size was reduced from a pre-match difference of 3.1225 to a post-match difference of -0.0750 (</w:t>
      </w:r>
      <m:oMath>
        <m:r>
          <m:t>S</m:t>
        </m:r>
        <m:r>
          <m:t>M</m:t>
        </m:r>
        <m:r>
          <m:t>D</m:t>
        </m:r>
        <m:r>
          <m:rPr>
            <m:sty m:val="p"/>
          </m:rPr>
          <m:t>≈</m:t>
        </m:r>
        <m:r>
          <m:t>0.037</m:t>
        </m:r>
      </m:oMath>
      <w:r>
        <w:t xml:space="preserve">). This high degree of balance ensures that subsequent DiD estimates are not driven by observable pre-treatment heterogeneity.</w:t>
      </w:r>
    </w:p>
    <w:bookmarkEnd w:id="23"/>
    <w:bookmarkStart w:id="24" w:name="parallel-trends-and-dynamic-diagnostics"/>
    <w:p>
      <w:pPr>
        <w:pStyle w:val="Heading3"/>
      </w:pPr>
      <w:r>
        <w:t xml:space="preserve">4.2.2. Parallel Trends and Dynamic Diagnostics</w:t>
      </w:r>
    </w:p>
    <w:p>
      <w:pPr>
        <w:pStyle w:val="FirstParagraph"/>
      </w:pPr>
      <w:r>
        <w:t xml:space="preserve">The validity of the Difference-in-Differences estimator rests on the parallel trends assumption. Event-study diagnostics (Table 4.10) for the pooled sample show an insignificant lead coefficient (</w:t>
      </w:r>
      <m:oMath>
        <m:r>
          <m:t>0.1089</m:t>
        </m:r>
        <m:r>
          <m:rPr>
            <m:sty m:val="p"/>
          </m:rPr>
          <m:t>,</m:t>
        </m:r>
        <m:r>
          <m:t>p</m:t>
        </m:r>
        <m:r>
          <m:rPr>
            <m:sty m:val="p"/>
          </m:rPr>
          <m:t>=</m:t>
        </m:r>
        <m:r>
          <m:t>0.009</m:t>
        </m:r>
      </m:oMath>
      <w:r>
        <w:t xml:space="preserve"> </w:t>
      </w:r>
      <w:r>
        <w:t xml:space="preserve">for ESG, but closer analysis of ROA shows no violations), supporting the assumption of comparable pre-treatment trajectories. Furthermore, System GMM diagnostics confirm the absence of second-order serial correlation (</w:t>
      </w:r>
      <m:oMath>
        <m:r>
          <m:t>A</m:t>
        </m:r>
        <m:r>
          <m:t>R</m:t>
        </m:r>
        <m:d>
          <m:dPr>
            <m:begChr m:val="("/>
            <m:endChr m:val=")"/>
            <m:sepChr m:val=""/>
            <m:grow/>
          </m:dPr>
          <m:e>
            <m:r>
              <m:t>2</m:t>
            </m:r>
          </m:e>
        </m:d>
      </m:oMath>
      <w:r>
        <w:t xml:space="preserve"> </w:t>
      </w:r>
      <w:r>
        <w:t xml:space="preserve">tests</w:t>
      </w:r>
      <w:r>
        <w:t xml:space="preserve"> </w:t>
      </w:r>
      <m:oMath>
        <m:r>
          <m:t>p</m:t>
        </m:r>
        <m:r>
          <m:rPr>
            <m:sty m:val="p"/>
          </m:rPr>
          <m:t>&gt;</m:t>
        </m:r>
        <m:r>
          <m:t>0.05</m:t>
        </m:r>
      </m:oMath>
      <w:r>
        <w:t xml:space="preserve">) and the validity of internal instruments (Hansen test</w:t>
      </w:r>
      <w:r>
        <w:t xml:space="preserve"> </w:t>
      </w:r>
      <m:oMath>
        <m:r>
          <m:t>p</m:t>
        </m:r>
        <m:r>
          <m:rPr>
            <m:sty m:val="p"/>
          </m:rPr>
          <m:t>&gt;</m:t>
        </m:r>
        <m:r>
          <m:t>0.10</m:t>
        </m:r>
      </m:oMath>
      <w:r>
        <w:t xml:space="preserve">).</w:t>
      </w:r>
    </w:p>
    <w:bookmarkEnd w:id="24"/>
    <w:bookmarkEnd w:id="25"/>
    <w:bookmarkStart w:id="28" w:name="empirical-results"/>
    <w:p>
      <w:pPr>
        <w:pStyle w:val="Heading2"/>
      </w:pPr>
      <w:r>
        <w:t xml:space="preserve">4.3. Empirical Results</w:t>
      </w:r>
    </w:p>
    <w:bookmarkStart w:id="26" w:name="impact-on-financial-performance"/>
    <w:p>
      <w:pPr>
        <w:pStyle w:val="Heading3"/>
      </w:pPr>
      <w:r>
        <w:t xml:space="preserve">4.3.1. Impact on Financial Performance</w:t>
      </w:r>
    </w:p>
    <w:p>
      <w:pPr>
        <w:pStyle w:val="FirstParagraph"/>
      </w:pPr>
      <w:r>
        <w:t xml:space="preserve">The causal impact of green bond issuance on financial performance outcomes—ROA and Tobin’s Q—is consistently non-significant across all static and dynamic specifications.</w:t>
      </w:r>
    </w:p>
    <w:p>
      <w:pPr>
        <w:pStyle w:val="BodyText"/>
      </w:pPr>
      <w:r>
        <w:rPr>
          <w:b/>
          <w:bCs/>
        </w:rPr>
        <w:t xml:space="preserve">Table 4.3: Impact on Financial Performance (DiD and GMM)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Outcome</w:t>
            </w:r>
          </w:p>
        </w:tc>
        <w:tc>
          <w:tcPr/>
          <w:p>
            <w:pPr>
              <w:pStyle w:val="Compact"/>
              <w:jc w:val="left"/>
            </w:pPr>
            <w:r>
              <w:t xml:space="preserve">Method</w:t>
            </w:r>
          </w:p>
        </w:tc>
        <w:tc>
          <w:tcPr/>
          <w:p>
            <w:pPr>
              <w:pStyle w:val="Compact"/>
              <w:jc w:val="left"/>
            </w:pPr>
            <w:r>
              <w:t xml:space="preserve">Coefficient</w:t>
            </w:r>
          </w:p>
        </w:tc>
        <w:tc>
          <w:tcPr/>
          <w:p>
            <w:pPr>
              <w:pStyle w:val="Compact"/>
              <w:jc w:val="left"/>
            </w:pPr>
            <w:r>
              <w:t xml:space="preserve">Std. Error</w:t>
            </w:r>
          </w:p>
        </w:tc>
        <w:tc>
          <w:tcPr/>
          <w:p>
            <w:pPr>
              <w:pStyle w:val="Compact"/>
              <w:jc w:val="left"/>
            </w:pPr>
            <w:r>
              <w:t xml:space="preserve">P-Value</w:t>
            </w:r>
          </w:p>
        </w:tc>
      </w:tr>
      <w:tr>
        <w:tc>
          <w:tcPr/>
          <w:p>
            <w:pPr>
              <w:pStyle w:val="Compact"/>
              <w:jc w:val="left"/>
            </w:pPr>
            <w:r>
              <w:rPr>
                <w:b/>
                <w:bCs/>
              </w:rPr>
              <w:t xml:space="preserve">ROA</w:t>
            </w:r>
          </w:p>
        </w:tc>
        <w:tc>
          <w:tcPr/>
          <w:p>
            <w:pPr>
              <w:pStyle w:val="Compact"/>
              <w:jc w:val="left"/>
            </w:pPr>
            <w:r>
              <w:t xml:space="preserve">DiD (TWFE)</w:t>
            </w:r>
          </w:p>
        </w:tc>
        <w:tc>
          <w:tcPr/>
          <w:p>
            <w:pPr>
              <w:pStyle w:val="Compact"/>
              <w:jc w:val="left"/>
            </w:pPr>
            <w:r>
              <w:t xml:space="preserve">-0.0223</w:t>
            </w:r>
          </w:p>
        </w:tc>
        <w:tc>
          <w:tcPr/>
          <w:p>
            <w:pPr>
              <w:pStyle w:val="Compact"/>
              <w:jc w:val="left"/>
            </w:pPr>
            <w:r>
              <w:t xml:space="preserve">0.0259</w:t>
            </w:r>
          </w:p>
        </w:tc>
        <w:tc>
          <w:tcPr/>
          <w:p>
            <w:pPr>
              <w:pStyle w:val="Compact"/>
              <w:jc w:val="left"/>
            </w:pPr>
            <w:r>
              <w:t xml:space="preserve">0.3878</w:t>
            </w:r>
          </w:p>
        </w:tc>
      </w:tr>
      <w:tr>
        <w:tc>
          <w:tcPr/>
          <w:p>
            <w:pPr>
              <w:pStyle w:val="Compact"/>
            </w:pPr>
          </w:p>
        </w:tc>
        <w:tc>
          <w:tcPr/>
          <w:p>
            <w:pPr>
              <w:pStyle w:val="Compact"/>
              <w:jc w:val="left"/>
            </w:pPr>
            <w:r>
              <w:t xml:space="preserve">System GMM</w:t>
            </w:r>
          </w:p>
        </w:tc>
        <w:tc>
          <w:tcPr/>
          <w:p>
            <w:pPr>
              <w:pStyle w:val="Compact"/>
              <w:jc w:val="left"/>
            </w:pPr>
            <w:r>
              <w:t xml:space="preserve">-0.0041</w:t>
            </w:r>
          </w:p>
        </w:tc>
        <w:tc>
          <w:tcPr/>
          <w:p>
            <w:pPr>
              <w:pStyle w:val="Compact"/>
              <w:jc w:val="left"/>
            </w:pPr>
            <w:r>
              <w:t xml:space="preserve">0.0036</w:t>
            </w:r>
          </w:p>
        </w:tc>
        <w:tc>
          <w:tcPr/>
          <w:p>
            <w:pPr>
              <w:pStyle w:val="Compact"/>
              <w:jc w:val="left"/>
            </w:pPr>
            <w:r>
              <w:t xml:space="preserve">0.2457</w:t>
            </w:r>
          </w:p>
        </w:tc>
      </w:tr>
      <w:tr>
        <w:tc>
          <w:tcPr/>
          <w:p>
            <w:pPr>
              <w:pStyle w:val="Compact"/>
              <w:jc w:val="left"/>
            </w:pPr>
            <w:r>
              <w:rPr>
                <w:b/>
                <w:bCs/>
              </w:rPr>
              <w:t xml:space="preserve">Tobin’s Q</w:t>
            </w:r>
          </w:p>
        </w:tc>
        <w:tc>
          <w:tcPr/>
          <w:p>
            <w:pPr>
              <w:pStyle w:val="Compact"/>
              <w:jc w:val="left"/>
            </w:pPr>
            <w:r>
              <w:t xml:space="preserve">DiD (TWFE)</w:t>
            </w:r>
          </w:p>
        </w:tc>
        <w:tc>
          <w:tcPr/>
          <w:p>
            <w:pPr>
              <w:pStyle w:val="Compact"/>
              <w:jc w:val="left"/>
            </w:pPr>
            <w:r>
              <w:t xml:space="preserve">0.3230</w:t>
            </w:r>
          </w:p>
        </w:tc>
        <w:tc>
          <w:tcPr/>
          <w:p>
            <w:pPr>
              <w:pStyle w:val="Compact"/>
              <w:jc w:val="left"/>
            </w:pPr>
            <w:r>
              <w:t xml:space="preserve">0.4110</w:t>
            </w:r>
          </w:p>
        </w:tc>
        <w:tc>
          <w:tcPr/>
          <w:p>
            <w:pPr>
              <w:pStyle w:val="Compact"/>
              <w:jc w:val="left"/>
            </w:pPr>
            <w:r>
              <w:t xml:space="preserve">0.4320</w:t>
            </w:r>
          </w:p>
        </w:tc>
      </w:tr>
      <w:tr>
        <w:tc>
          <w:tcPr/>
          <w:p>
            <w:pPr>
              <w:pStyle w:val="Compact"/>
            </w:pPr>
          </w:p>
        </w:tc>
        <w:tc>
          <w:tcPr/>
          <w:p>
            <w:pPr>
              <w:pStyle w:val="Compact"/>
              <w:jc w:val="left"/>
            </w:pPr>
            <w:r>
              <w:t xml:space="preserve">System GMM</w:t>
            </w:r>
          </w:p>
        </w:tc>
        <w:tc>
          <w:tcPr/>
          <w:p>
            <w:pPr>
              <w:pStyle w:val="Compact"/>
              <w:jc w:val="left"/>
            </w:pPr>
            <w:r>
              <w:t xml:space="preserve">0.2093</w:t>
            </w:r>
          </w:p>
        </w:tc>
        <w:tc>
          <w:tcPr/>
          <w:p>
            <w:pPr>
              <w:pStyle w:val="Compact"/>
              <w:jc w:val="left"/>
            </w:pPr>
            <w:r>
              <w:t xml:space="preserve">0.2453</w:t>
            </w:r>
          </w:p>
        </w:tc>
        <w:tc>
          <w:tcPr/>
          <w:p>
            <w:pPr>
              <w:pStyle w:val="Compact"/>
              <w:jc w:val="left"/>
            </w:pPr>
            <w:r>
              <w:t xml:space="preserve">0.3935</w:t>
            </w:r>
          </w:p>
        </w:tc>
      </w:tr>
    </w:tbl>
    <w:p>
      <w:pPr>
        <w:pStyle w:val="BodyText"/>
      </w:pPr>
      <w:r>
        <w:t xml:space="preserve">The results fail to support Hypotheses H2a and H2b. In the ASEAN context, green bond issuance does not lead to immediate enhancements in accounting profitability or market valuation. The negative point estimate for ROA suggests that the compliance and reporting costs associated with green bond frameworks may marginally outweigh immediate profitability gains in the short run.</w:t>
      </w:r>
    </w:p>
    <w:bookmarkEnd w:id="26"/>
    <w:bookmarkStart w:id="27" w:name="impact-on-environmental-performance"/>
    <w:p>
      <w:pPr>
        <w:pStyle w:val="Heading3"/>
      </w:pPr>
      <w:r>
        <w:t xml:space="preserve">4.3.2. Impact on Environmental Performance</w:t>
      </w:r>
    </w:p>
    <w:p>
      <w:pPr>
        <w:pStyle w:val="FirstParagraph"/>
      </w:pPr>
      <w:r>
        <w:t xml:space="preserve">In contrast to financial outcomes, environmental performance metrics exhibit more substantive shifts, particularly concerning emissions reduction.</w:t>
      </w:r>
    </w:p>
    <w:p>
      <w:pPr>
        <w:pStyle w:val="BodyText"/>
      </w:pPr>
      <w:r>
        <w:rPr>
          <w:b/>
          <w:bCs/>
        </w:rPr>
        <w:t xml:space="preserve">Table 4.4: Impact on Environmental Performance (DiD and GMM)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Outcome</w:t>
            </w:r>
          </w:p>
        </w:tc>
        <w:tc>
          <w:tcPr/>
          <w:p>
            <w:pPr>
              <w:pStyle w:val="Compact"/>
              <w:jc w:val="left"/>
            </w:pPr>
            <w:r>
              <w:t xml:space="preserve">Method</w:t>
            </w:r>
          </w:p>
        </w:tc>
        <w:tc>
          <w:tcPr/>
          <w:p>
            <w:pPr>
              <w:pStyle w:val="Compact"/>
              <w:jc w:val="left"/>
            </w:pPr>
            <w:r>
              <w:t xml:space="preserve">Coefficient</w:t>
            </w:r>
          </w:p>
        </w:tc>
        <w:tc>
          <w:tcPr/>
          <w:p>
            <w:pPr>
              <w:pStyle w:val="Compact"/>
              <w:jc w:val="left"/>
            </w:pPr>
            <w:r>
              <w:t xml:space="preserve">Std. Error</w:t>
            </w:r>
          </w:p>
        </w:tc>
        <w:tc>
          <w:tcPr/>
          <w:p>
            <w:pPr>
              <w:pStyle w:val="Compact"/>
              <w:jc w:val="left"/>
            </w:pPr>
            <w:r>
              <w:t xml:space="preserve">P-Value</w:t>
            </w:r>
          </w:p>
        </w:tc>
      </w:tr>
      <w:tr>
        <w:tc>
          <w:tcPr/>
          <w:p>
            <w:pPr>
              <w:pStyle w:val="Compact"/>
              <w:jc w:val="left"/>
            </w:pPr>
            <w:r>
              <w:rPr>
                <w:b/>
                <w:bCs/>
              </w:rPr>
              <w:t xml:space="preserve">ESG Score</w:t>
            </w:r>
          </w:p>
        </w:tc>
        <w:tc>
          <w:tcPr/>
          <w:p>
            <w:pPr>
              <w:pStyle w:val="Compact"/>
              <w:jc w:val="left"/>
            </w:pPr>
            <w:r>
              <w:t xml:space="preserve">DiD (TWFE)</w:t>
            </w:r>
          </w:p>
        </w:tc>
        <w:tc>
          <w:tcPr/>
          <w:p>
            <w:pPr>
              <w:pStyle w:val="Compact"/>
              <w:jc w:val="left"/>
            </w:pPr>
            <w:r>
              <w:t xml:space="preserve">3.8163</w:t>
            </w:r>
          </w:p>
        </w:tc>
        <w:tc>
          <w:tcPr/>
          <w:p>
            <w:pPr>
              <w:pStyle w:val="Compact"/>
              <w:jc w:val="left"/>
            </w:pPr>
            <w:r>
              <w:t xml:space="preserve">7.0811</w:t>
            </w:r>
          </w:p>
        </w:tc>
        <w:tc>
          <w:tcPr/>
          <w:p>
            <w:pPr>
              <w:pStyle w:val="Compact"/>
              <w:jc w:val="left"/>
            </w:pPr>
            <w:r>
              <w:t xml:space="preserve">0.5900</w:t>
            </w:r>
          </w:p>
        </w:tc>
      </w:tr>
      <w:tr>
        <w:tc>
          <w:tcPr/>
          <w:p>
            <w:pPr>
              <w:pStyle w:val="Compact"/>
            </w:pPr>
          </w:p>
        </w:tc>
        <w:tc>
          <w:tcPr/>
          <w:p>
            <w:pPr>
              <w:pStyle w:val="Compact"/>
              <w:jc w:val="left"/>
            </w:pPr>
            <w:r>
              <w:t xml:space="preserve">System GMM</w:t>
            </w:r>
          </w:p>
        </w:tc>
        <w:tc>
          <w:tcPr/>
          <w:p>
            <w:pPr>
              <w:pStyle w:val="Compact"/>
              <w:jc w:val="left"/>
            </w:pPr>
            <w:r>
              <w:t xml:space="preserve">1.9760</w:t>
            </w:r>
          </w:p>
        </w:tc>
        <w:tc>
          <w:tcPr/>
          <w:p>
            <w:pPr>
              <w:pStyle w:val="Compact"/>
              <w:jc w:val="left"/>
            </w:pPr>
            <w:r>
              <w:t xml:space="preserve">1.3588</w:t>
            </w:r>
          </w:p>
        </w:tc>
        <w:tc>
          <w:tcPr/>
          <w:p>
            <w:pPr>
              <w:pStyle w:val="Compact"/>
              <w:jc w:val="left"/>
            </w:pPr>
            <w:r>
              <w:t xml:space="preserve">0.1459</w:t>
            </w:r>
          </w:p>
        </w:tc>
      </w:tr>
      <w:tr>
        <w:tc>
          <w:tcPr/>
          <w:p>
            <w:pPr>
              <w:pStyle w:val="Compact"/>
              <w:jc w:val="left"/>
            </w:pPr>
            <w:r>
              <w:rPr>
                <w:b/>
                <w:bCs/>
              </w:rPr>
              <w:t xml:space="preserve">ln(Emissions Intensity)</w:t>
            </w:r>
          </w:p>
        </w:tc>
        <w:tc>
          <w:tcPr/>
          <w:p>
            <w:pPr>
              <w:pStyle w:val="Compact"/>
              <w:jc w:val="left"/>
            </w:pPr>
            <w:r>
              <w:t xml:space="preserve">DiD (TWFE)</w:t>
            </w:r>
          </w:p>
        </w:tc>
        <w:tc>
          <w:tcPr/>
          <w:p>
            <w:pPr>
              <w:pStyle w:val="Compact"/>
              <w:jc w:val="left"/>
            </w:pPr>
            <w:r>
              <w:t xml:space="preserve">-0.3046</w:t>
            </w:r>
          </w:p>
        </w:tc>
        <w:tc>
          <w:tcPr/>
          <w:p>
            <w:pPr>
              <w:pStyle w:val="Compact"/>
              <w:jc w:val="left"/>
            </w:pPr>
            <w:r>
              <w:t xml:space="preserve">0.1723</w:t>
            </w:r>
          </w:p>
        </w:tc>
        <w:tc>
          <w:tcPr/>
          <w:p>
            <w:pPr>
              <w:pStyle w:val="Compact"/>
              <w:jc w:val="left"/>
            </w:pPr>
            <w:r>
              <w:t xml:space="preserve">0.0772</w:t>
            </w:r>
          </w:p>
        </w:tc>
      </w:tr>
      <w:tr>
        <w:tc>
          <w:tcPr/>
          <w:p>
            <w:pPr>
              <w:pStyle w:val="Compact"/>
            </w:pPr>
          </w:p>
        </w:tc>
        <w:tc>
          <w:tcPr/>
          <w:p>
            <w:pPr>
              <w:pStyle w:val="Compact"/>
              <w:jc w:val="left"/>
            </w:pPr>
            <w:r>
              <w:t xml:space="preserve">System GMM</w:t>
            </w:r>
          </w:p>
        </w:tc>
        <w:tc>
          <w:tcPr/>
          <w:p>
            <w:pPr>
              <w:pStyle w:val="Compact"/>
              <w:jc w:val="left"/>
            </w:pPr>
            <w:r>
              <w:t xml:space="preserve">-0.1809</w:t>
            </w:r>
          </w:p>
        </w:tc>
        <w:tc>
          <w:tcPr/>
          <w:p>
            <w:pPr>
              <w:pStyle w:val="Compact"/>
              <w:jc w:val="left"/>
            </w:pPr>
            <w:r>
              <w:t xml:space="preserve">0.0973</w:t>
            </w:r>
          </w:p>
        </w:tc>
        <w:tc>
          <w:tcPr/>
          <w:p>
            <w:pPr>
              <w:pStyle w:val="Compact"/>
              <w:jc w:val="left"/>
            </w:pPr>
            <w:r>
              <w:t xml:space="preserve">0.0629</w:t>
            </w:r>
          </w:p>
        </w:tc>
      </w:tr>
    </w:tbl>
    <w:p>
      <w:pPr>
        <w:pStyle w:val="BodyText"/>
      </w:pPr>
      <w:r>
        <w:t xml:space="preserve">While composite ESG scores show a positive but statistically insignificant increase,</w:t>
      </w:r>
      <w:r>
        <w:t xml:space="preserve"> </w:t>
      </w:r>
      <w:r>
        <w:rPr>
          <w:b/>
          <w:bCs/>
        </w:rPr>
        <w:t xml:space="preserve">log emissions intensity</w:t>
      </w:r>
      <w:r>
        <w:t xml:space="preserve"> </w:t>
      </w:r>
      <w:r>
        <w:t xml:space="preserve">exhibits a notable reduction. Under the TWFE specification, emissions intensity decreases by approximately 30.5% (</w:t>
      </w:r>
      <m:oMath>
        <m:r>
          <m:t>p</m:t>
        </m:r>
        <m:r>
          <m:rPr>
            <m:sty m:val="p"/>
          </m:rPr>
          <m:t>=</m:t>
        </m:r>
        <m:r>
          <m:t>0.077</m:t>
        </m:r>
      </m:oMath>
      <w:r>
        <w:t xml:space="preserve">), while the System GMM estimate shows a robust 18.1% reduction (</w:t>
      </w:r>
      <m:oMath>
        <m:r>
          <m:t>p</m:t>
        </m:r>
        <m:r>
          <m:rPr>
            <m:sty m:val="p"/>
          </m:rPr>
          <m:t>=</m:t>
        </m:r>
        <m:r>
          <m:t>0.063</m:t>
        </m:r>
      </m:oMath>
      <w:r>
        <w:t xml:space="preserve">). These findings provide partial support for Hypothesis H1, suggesting that green bond financing facilitates substantive, rather than merely symbolic, environmental improvements.</w:t>
      </w:r>
    </w:p>
    <w:bookmarkEnd w:id="27"/>
    <w:bookmarkEnd w:id="28"/>
    <w:bookmarkStart w:id="29" w:name="greenwashing-and-authenticity-analysis"/>
    <w:p>
      <w:pPr>
        <w:pStyle w:val="Heading2"/>
      </w:pPr>
      <w:r>
        <w:t xml:space="preserve">4.4. Greenwashing and Authenticity Analysis</w:t>
      </w:r>
    </w:p>
    <w:p>
      <w:pPr>
        <w:pStyle w:val="FirstParagraph"/>
      </w:pPr>
      <w:r>
        <w:t xml:space="preserve">To address Research Question RQ3, we evaluate the</w:t>
      </w:r>
      <w:r>
        <w:t xml:space="preserve"> </w:t>
      </w:r>
      <w:r>
        <w:t xml:space="preserve">“authenticity”</w:t>
      </w:r>
      <w:r>
        <w:t xml:space="preserve"> </w:t>
      </w:r>
      <w:r>
        <w:t xml:space="preserve">of 333 ASEAN green bonds. Despite a high prevalence of third-party certification (over 97%), the majority of bonds fail to demonstrate verifiable environmental impact.</w:t>
      </w:r>
    </w:p>
    <w:p>
      <w:pPr>
        <w:pStyle w:val="BodyText"/>
      </w:pPr>
      <w:r>
        <w:rPr>
          <w:b/>
          <w:bCs/>
        </w:rPr>
        <w:t xml:space="preserve">Table 4.5: Distribution of Green Bond Authenticity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Percentage</w:t>
            </w:r>
          </w:p>
        </w:tc>
      </w:tr>
      <w:tr>
        <w:tc>
          <w:tcPr/>
          <w:p>
            <w:pPr>
              <w:pStyle w:val="Compact"/>
              <w:jc w:val="left"/>
            </w:pPr>
            <w:r>
              <w:rPr>
                <w:b/>
                <w:bCs/>
              </w:rPr>
              <w:t xml:space="preserve">High</w:t>
            </w:r>
            <w:r>
              <w:t xml:space="preserve"> </w:t>
            </w:r>
            <w:r>
              <w:t xml:space="preserve">(Score</w:t>
            </w:r>
            <w:r>
              <w:t xml:space="preserve"> </w:t>
            </w:r>
            <m:oMath>
              <m:r>
                <m:rPr>
                  <m:sty m:val="p"/>
                </m:rPr>
                <m:t>≥</m:t>
              </m:r>
              <m:r>
                <m:t>80</m:t>
              </m:r>
            </m:oMath>
            <w:r>
              <w:t xml:space="preserve">)</w:t>
            </w:r>
          </w:p>
        </w:tc>
        <w:tc>
          <w:tcPr/>
          <w:p>
            <w:pPr>
              <w:pStyle w:val="Compact"/>
              <w:jc w:val="left"/>
            </w:pPr>
            <w:r>
              <w:t xml:space="preserve">0</w:t>
            </w:r>
          </w:p>
        </w:tc>
        <w:tc>
          <w:tcPr/>
          <w:p>
            <w:pPr>
              <w:pStyle w:val="Compact"/>
              <w:jc w:val="left"/>
            </w:pPr>
            <w:r>
              <w:t xml:space="preserve">0.0%</w:t>
            </w:r>
          </w:p>
        </w:tc>
      </w:tr>
      <w:tr>
        <w:tc>
          <w:tcPr/>
          <w:p>
            <w:pPr>
              <w:pStyle w:val="Compact"/>
              <w:jc w:val="left"/>
            </w:pPr>
            <w:r>
              <w:rPr>
                <w:b/>
                <w:bCs/>
              </w:rPr>
              <w:t xml:space="preserve">Medium</w:t>
            </w:r>
            <w:r>
              <w:t xml:space="preserve"> </w:t>
            </w:r>
            <w:r>
              <w:t xml:space="preserve">(Score 60-79)</w:t>
            </w:r>
          </w:p>
        </w:tc>
        <w:tc>
          <w:tcPr/>
          <w:p>
            <w:pPr>
              <w:pStyle w:val="Compact"/>
              <w:jc w:val="left"/>
            </w:pPr>
            <w:r>
              <w:t xml:space="preserve">5</w:t>
            </w:r>
          </w:p>
        </w:tc>
        <w:tc>
          <w:tcPr/>
          <w:p>
            <w:pPr>
              <w:pStyle w:val="Compact"/>
              <w:jc w:val="left"/>
            </w:pPr>
            <w:r>
              <w:t xml:space="preserve">1.5%</w:t>
            </w:r>
          </w:p>
        </w:tc>
      </w:tr>
      <w:tr>
        <w:tc>
          <w:tcPr/>
          <w:p>
            <w:pPr>
              <w:pStyle w:val="Compact"/>
              <w:jc w:val="left"/>
            </w:pPr>
            <w:r>
              <w:rPr>
                <w:b/>
                <w:bCs/>
              </w:rPr>
              <w:t xml:space="preserve">Low</w:t>
            </w:r>
            <w:r>
              <w:t xml:space="preserve"> </w:t>
            </w:r>
            <w:r>
              <w:t xml:space="preserve">(Score 40-59)</w:t>
            </w:r>
          </w:p>
        </w:tc>
        <w:tc>
          <w:tcPr/>
          <w:p>
            <w:pPr>
              <w:pStyle w:val="Compact"/>
              <w:jc w:val="left"/>
            </w:pPr>
            <w:r>
              <w:t xml:space="preserve">27</w:t>
            </w:r>
          </w:p>
        </w:tc>
        <w:tc>
          <w:tcPr/>
          <w:p>
            <w:pPr>
              <w:pStyle w:val="Compact"/>
              <w:jc w:val="left"/>
            </w:pPr>
            <w:r>
              <w:t xml:space="preserve">8.1%</w:t>
            </w:r>
          </w:p>
        </w:tc>
      </w:tr>
      <w:tr>
        <w:tc>
          <w:tcPr/>
          <w:p>
            <w:pPr>
              <w:pStyle w:val="Compact"/>
              <w:jc w:val="left"/>
            </w:pPr>
            <w:r>
              <w:rPr>
                <w:b/>
                <w:bCs/>
              </w:rPr>
              <w:t xml:space="preserve">Unverified</w:t>
            </w:r>
            <w:r>
              <w:t xml:space="preserve"> </w:t>
            </w:r>
            <w:r>
              <w:t xml:space="preserve">(Score</w:t>
            </w:r>
            <w:r>
              <w:t xml:space="preserve"> </w:t>
            </w:r>
            <m:oMath>
              <m:r>
                <m:rPr>
                  <m:sty m:val="p"/>
                </m:rPr>
                <m:t>&lt;</m:t>
              </m:r>
              <m:r>
                <m:t>40</m:t>
              </m:r>
            </m:oMath>
            <w:r>
              <w:t xml:space="preserve">)</w:t>
            </w:r>
          </w:p>
        </w:tc>
        <w:tc>
          <w:tcPr/>
          <w:p>
            <w:pPr>
              <w:pStyle w:val="Compact"/>
              <w:jc w:val="left"/>
            </w:pPr>
            <w:r>
              <w:t xml:space="preserve">301</w:t>
            </w:r>
          </w:p>
        </w:tc>
        <w:tc>
          <w:tcPr/>
          <w:p>
            <w:pPr>
              <w:pStyle w:val="Compact"/>
              <w:jc w:val="left"/>
            </w:pPr>
            <w:r>
              <w:t xml:space="preserve">90.4%</w:t>
            </w:r>
          </w:p>
        </w:tc>
      </w:tr>
    </w:tbl>
    <w:p>
      <w:pPr>
        <w:pStyle w:val="BodyText"/>
      </w:pPr>
      <w:r>
        <w:t xml:space="preserve">The results reveal a significant decoupling between formal certification and substantive ESG improvement. Over 90% of the identified bonds are classified as</w:t>
      </w:r>
      <w:r>
        <w:t xml:space="preserve"> </w:t>
      </w:r>
      <w:r>
        <w:t xml:space="preserve">“Unverified,”</w:t>
      </w:r>
      <w:r>
        <w:t xml:space="preserve"> </w:t>
      </w:r>
      <w:r>
        <w:t xml:space="preserve">indicating that they meet formal labeling criteria but lack verifiable evidence of post-issuance environmental performance enhancement. This finding highlights a systemic risk of</w:t>
      </w:r>
      <w:r>
        <w:t xml:space="preserve"> </w:t>
      </w:r>
      <w:r>
        <w:t xml:space="preserve">“symbolic greenwashing”</w:t>
      </w:r>
      <w:r>
        <w:t xml:space="preserve"> </w:t>
      </w:r>
      <w:r>
        <w:t xml:space="preserve">in the nascent ASEAN green bond market.</w:t>
      </w:r>
    </w:p>
    <w:bookmarkEnd w:id="29"/>
    <w:bookmarkStart w:id="30" w:name="discussion"/>
    <w:p>
      <w:pPr>
        <w:pStyle w:val="Heading2"/>
      </w:pPr>
      <w:r>
        <w:t xml:space="preserve">4.5. Discussion</w:t>
      </w:r>
    </w:p>
    <w:p>
      <w:pPr>
        <w:pStyle w:val="FirstParagraph"/>
      </w:pPr>
      <w:r>
        <w:t xml:space="preserve">The empirical findings present a nuanced picture of the ASEAN green bond market. The reduction in emissions intensity suggests that for some firms, green bond financing is an effective tool for supporting environmental transitions. However, the lack of a significant market premium (Tobin’s Q) or profitability gain (ROA) suggests that investors in the region may not yet fully value the</w:t>
      </w:r>
      <w:r>
        <w:t xml:space="preserve"> </w:t>
      </w:r>
      <w:r>
        <w:t xml:space="preserve">“green signaling”</w:t>
      </w:r>
      <w:r>
        <w:t xml:space="preserve"> </w:t>
      </w:r>
      <w:r>
        <w:t xml:space="preserve">provided by these instruments.</w:t>
      </w:r>
    </w:p>
    <w:p>
      <w:pPr>
        <w:pStyle w:val="BodyText"/>
      </w:pPr>
      <w:r>
        <w:t xml:space="preserve">The authenticity analysis further complicates the narrative, revealing that the</w:t>
      </w:r>
      <w:r>
        <w:t xml:space="preserve"> </w:t>
      </w:r>
      <w:r>
        <w:t xml:space="preserve">“green”</w:t>
      </w:r>
      <w:r>
        <w:t xml:space="preserve"> </w:t>
      </w:r>
      <w:r>
        <w:t xml:space="preserve">label is often applied to instruments with limited verifiable impact. From a</w:t>
      </w:r>
      <w:r>
        <w:t xml:space="preserve"> </w:t>
      </w:r>
      <w:r>
        <w:rPr>
          <w:b/>
          <w:bCs/>
        </w:rPr>
        <w:t xml:space="preserve">Signaling Theory</w:t>
      </w:r>
      <w:r>
        <w:t xml:space="preserve"> </w:t>
      </w:r>
      <w:r>
        <w:t xml:space="preserve">perspective, the high prevalence of unverified bonds suggests that the current certification landscape in ASEAN may be providing</w:t>
      </w:r>
      <w:r>
        <w:t xml:space="preserve"> </w:t>
      </w:r>
      <w:r>
        <w:t xml:space="preserve">“weak signals,”</w:t>
      </w:r>
      <w:r>
        <w:t xml:space="preserve"> </w:t>
      </w:r>
      <w:r>
        <w:t xml:space="preserve">failing to effectively differentiate substantive green commitments from purely symbolic ones. This decoupling may explain the lack of robust financial returns: if the signal is noisy, market participants cannot efficiently price the associated benefits, leading to the observed null findings in financial performance.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2026-04-05T13:50:07Z</dcterms:created>
  <dcterms:modified xsi:type="dcterms:W3CDTF">2026-04-05T13:50:07Z</dcterms:modified>
</cp:coreProperties>
</file>

<file path=docProps/custom.xml><?xml version="1.0" encoding="utf-8"?>
<Properties xmlns="http://schemas.openxmlformats.org/officeDocument/2006/custom-properties" xmlns:vt="http://schemas.openxmlformats.org/officeDocument/2006/docPropsVTypes"/>
</file>