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hap:fresh-monetary-fdi-report"/>
    <w:p>
      <w:pPr>
        <w:pStyle w:val="Heading1"/>
      </w:pPr>
      <w:r>
        <w:t xml:space="preserve">Monetary Conditions and FDI in ASEAN-Oriented Economies</w:t>
      </w:r>
    </w:p>
    <w:bookmarkStart w:id="20" w:name="sec:purpose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This report summarizes the current empirical specification and results for the relationship between monetary conditions and FDI net inflows in an unbalanced panel of ASEAN-oriented economies over 2000–2023. It is written as a clean replacement for the older methodology draft and is aligned with the latest regression tables.</w:t>
      </w:r>
    </w:p>
    <w:bookmarkEnd w:id="20"/>
    <w:bookmarkStart w:id="21" w:name="sec:empirical-design"/>
    <w:p>
      <w:pPr>
        <w:pStyle w:val="Heading2"/>
      </w:pPr>
      <w:r>
        <w:t xml:space="preserve">Empirical Design</w:t>
      </w:r>
    </w:p>
    <w:p>
      <w:pPr>
        <w:pStyle w:val="FirstParagraph"/>
      </w:pPr>
      <w:r>
        <w:t xml:space="preserve">The empirical analysis estimates both static and dynamic specifications to examine the relationship between monetary conditions and FDI net inflows. The dependent variable is FDI net inflows as a share of GDP.</w:t>
      </w:r>
    </w:p>
    <w:p>
      <w:pPr>
        <w:pStyle w:val="BodyText"/>
      </w:pPr>
      <w:r>
        <w:t xml:space="preserve">The static panel models are specified in the following general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′</m:t>
          </m:r>
          <m:r>
            <m:t>β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′</m:t>
          </m:r>
          <m:r>
            <m:t>γ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i"/>
              </m:rPr>
              <m:t>F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I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represents FDI net inflows as a share of GDP for country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. The vector</w:t>
      </w:r>
      <w:r>
        <w:t xml:space="preserve"> </w:t>
      </w:r>
      <m:oMath>
        <m:sSub>
          <m:e>
            <m:r>
              <m:rPr>
                <m:sty m:val="b"/>
              </m:rP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contains the monetary variables of interest (broad money growth and, depending on the specification, the real interest rate). The vector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represents the set of control variables, which includes macroeconomic fundamentals (GDP growth, log GDP per capita, trade openness, exchange-rate depreciation, inflation) and, in certain specifications, institutional quality (Regulatory Quality). The terms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 country and year fixed effects, respectively, while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the idiosyncratic error term.</w:t>
      </w:r>
    </w:p>
    <w:p>
      <w:pPr>
        <w:pStyle w:val="BodyText"/>
      </w:pPr>
      <w:r>
        <w:t xml:space="preserve">To account for the persistence of FDI and potential endogeneity, we also estimate a dynamic model using the two-step System GMM estimator: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δ</m:t>
          </m:r>
          <m:sSub>
            <m:e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′</m:t>
          </m:r>
          <m:r>
            <m:t>β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′</m:t>
          </m:r>
          <m:r>
            <m:t>γ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i"/>
              </m:rPr>
              <m:t>F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I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lagged dependent variable.</w:t>
      </w:r>
    </w:p>
    <w:p>
      <w:pPr>
        <w:pStyle w:val="BodyText"/>
      </w:pPr>
      <w:r>
        <w:t xml:space="preserve">The specification sequence is: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Spec 1</w:t>
      </w:r>
      <w:r>
        <w:t xml:space="preserve">: baseline controls only (omitting</w:t>
      </w:r>
      <w:r>
        <w:t xml:space="preserve"> </w:t>
      </w:r>
      <m:oMath>
        <m:r>
          <m:rPr>
            <m:sty m:val="i"/>
          </m:rPr>
          <m:t>R</m:t>
        </m:r>
        <m:r>
          <m:rPr>
            <m:sty m:val="i"/>
          </m:rPr>
          <m:t>I</m:t>
        </m:r>
        <m:r>
          <m:rPr>
            <m:sty m:val="i"/>
          </m:rPr>
          <m:t>R</m:t>
        </m:r>
      </m:oMath>
      <w:r>
        <w:t xml:space="preserve"> </w:t>
      </w:r>
      <w:r>
        <w:t xml:space="preserve">and Regulatory Quality).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Spec 2</w:t>
      </w:r>
      <w:r>
        <w:t xml:space="preserve">: baseline controls plus the real interest rate.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Spec 3</w:t>
      </w:r>
      <w:r>
        <w:t xml:space="preserve">: baseline controls plus Regulatory Quality.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Spec 4</w:t>
      </w:r>
      <w:r>
        <w:t xml:space="preserve">: baseline controls plus the real interest rate and Regulatory Quality (Equation </w:t>
      </w:r>
      <w:hyperlink w:anchor="eq:static">
        <w:r>
          <w:rPr>
            <w:rStyle w:val="Hyperlink"/>
          </w:rPr>
          <w:t xml:space="preserve">[eq:static]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Spec 5</w:t>
      </w:r>
      <w:r>
        <w:t xml:space="preserve">: the full model plus lagged FDI, estimated with two-step System GMM (Equation </w:t>
      </w:r>
      <w:hyperlink w:anchor="eq:dynamic">
        <w:r>
          <w:rPr>
            <w:rStyle w:val="Hyperlink"/>
          </w:rPr>
          <w:t xml:space="preserve">[eq:dynamic]</w:t>
        </w:r>
      </w:hyperlink>
      <w:r>
        <w:t xml:space="preserve">).</w:t>
      </w:r>
    </w:p>
    <w:p>
      <w:pPr>
        <w:pStyle w:val="FirstParagraph"/>
      </w:pPr>
      <w:r>
        <w:t xml:space="preserve">The static models report country-clustered standard errors and include country and year effects; Spec 1 is estimated with random effects, while Specs 2–4 use fixed effects. The dynamic model uses year effects and Windmeijer-corrected standard errors.</w:t>
      </w:r>
    </w:p>
    <w:bookmarkEnd w:id="21"/>
    <w:bookmarkStart w:id="27" w:name="sec:diagnostics"/>
    <w:p>
      <w:pPr>
        <w:pStyle w:val="Heading2"/>
      </w:pPr>
      <w:r>
        <w:t xml:space="preserve">Pre-Estimation Diagnostics</w:t>
      </w:r>
    </w:p>
    <w:p>
      <w:pPr>
        <w:pStyle w:val="FirstParagraph"/>
      </w:pPr>
      <w:r>
        <w:t xml:space="preserve">The diagnostic sequence follows the protocol in §9 of the study instructions: unit-root tests, multicollinearity checks, heteroskedasticity, serial correlation, and cross-sectional dependence. The results jointly motivate the use of two-way fixed effects with Driscoll–Kraay standard errors.</w:t>
      </w:r>
    </w:p>
    <w:bookmarkStart w:id="23" w:name="subsec:unit-root"/>
    <w:p>
      <w:pPr>
        <w:pStyle w:val="Heading3"/>
      </w:pPr>
      <w:r>
        <w:t xml:space="preserve">Panel Unit Root Tests</w:t>
      </w:r>
    </w:p>
    <w:p>
      <w:pPr>
        <w:pStyle w:val="FirstParagraph"/>
      </w:pPr>
      <w:r>
        <w:t xml:space="preserve">Table </w:t>
      </w:r>
      <w:hyperlink w:anchor="tab:unit-root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reports Levin-Lin-Chu (LLC) and Im-Pesaran-Shin (IPS) tests for all model variables. Both tests use a constant-only specification and AIC-selected lags (maximum 1). The null hypothesis is a unit root (non-stationary series).</w:t>
      </w:r>
    </w:p>
    <w:bookmarkStart w:id="22" w:name="tab:unit-root"/>
    <w:p>
      <w:pPr>
        <w:pStyle w:val="TableCaption"/>
      </w:pPr>
      <w:r>
        <w:t xml:space="preserve">Panel Unit Root Tests (LLC and IPS)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nel Unit Root Tests (LLC and IPS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Levin-Lin-Chu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Im-Pesaran-Shin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FDI (% GDP)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10.45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3.06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money growth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8.16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4.12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interest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10.69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3.81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growth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11.19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3.58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</m:oMath>
            <w:r>
              <w:t xml:space="preserve">(GDP per capita)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4.90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1.76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(% GDP)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4.59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1.75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ln</m:t>
              </m:r>
            </m:oMath>
            <w:r>
              <w:t xml:space="preserve">(Exchange rate)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9.08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3.50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12.45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3.84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Quality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4.38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2.22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of Law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6.64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2.57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I(0)</w:t>
            </w:r>
          </w:p>
        </w:tc>
      </w:tr>
    </w:tbl>
    <w:bookmarkEnd w:id="22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All tests use a constant-only specification with AIC-selected lags (max 1). LLC null: unit root for all panels. IPS null: unit root for all panels.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rejects the null (stationary).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(GDP per capita) and Trade show mixed evidence under IPS; all other variables are stationary under both tests. Estimation in levels is appropriate for the bulk of the series.</w:t>
      </w:r>
    </w:p>
    <w:bookmarkEnd w:id="23"/>
    <w:bookmarkStart w:id="25" w:name="subsec:vif"/>
    <w:p>
      <w:pPr>
        <w:pStyle w:val="Heading3"/>
      </w:pPr>
      <w:r>
        <w:t xml:space="preserve">Multicollinearity (VIF)</w:t>
      </w:r>
    </w:p>
    <w:p>
      <w:pPr>
        <w:pStyle w:val="FirstParagraph"/>
      </w:pPr>
      <w:r>
        <w:t xml:space="preserve">Table </w:t>
      </w:r>
      <w:hyperlink w:anchor="tab:vif-full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shows VIF values for the full specification (Spec 4). All baseline controls have acceptable VIFs (</w:t>
      </w:r>
      <m:oMath>
        <m:r>
          <m:rPr>
            <m:sty m:val="p"/>
          </m:rPr>
          <m:t>&lt;</m:t>
        </m:r>
        <m:r>
          <m:t>5</m:t>
        </m:r>
      </m:oMath>
      <w:r>
        <w:t xml:space="preserve">). Regulatory Quality (VIF</w:t>
      </w:r>
      <w:r>
        <w:t xml:space="preserve"> </w:t>
      </w:r>
      <m:oMath>
        <m:r>
          <m:rPr>
            <m:sty m:val="p"/>
          </m:rPr>
          <m:t>=</m:t>
        </m:r>
        <m:r>
          <m:t>13.0</m:t>
        </m:r>
      </m:oMath>
      <w:r>
        <w:t xml:space="preserve">) exceeds the problematic threshold of 10 when combined with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(GDP per capita) (VIF</w:t>
      </w:r>
      <w:r>
        <w:t xml:space="preserve"> </w:t>
      </w:r>
      <m:oMath>
        <m:r>
          <m:rPr>
            <m:sty m:val="p"/>
          </m:rPr>
          <m:t>=</m:t>
        </m:r>
        <m:r>
          <m:t>7.7</m:t>
        </m:r>
      </m:oMath>
      <w:r>
        <w:t xml:space="preserve">), indicating collinearity between the institutional and income variables. This is the standard cross-country pattern and is the primary reason Specs 3 and 4 have wider standard errors for those regressors. VIFs for Specs 1 and 2 (without RQ) are all below 3.</w:t>
      </w:r>
    </w:p>
    <w:bookmarkStart w:id="24" w:name="tab:vif-full"/>
    <w:p>
      <w:pPr>
        <w:pStyle w:val="TableCaption"/>
      </w:pPr>
      <w:r>
        <w:t xml:space="preserve">Variance Inflation Factors — Full Specification (Spec 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nce Inflation Factors — Full Specification (Spec 4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money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</m:oMath>
            <w:r>
              <w:t xml:space="preserve">(GDP per capita)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(% GDP)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ln</m:t>
              </m:r>
            </m:oMath>
            <w:r>
              <w:t xml:space="preserve">(Exchange 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interest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Problematic</w:t>
            </w:r>
          </w:p>
        </w:tc>
      </w:tr>
    </w:tbl>
    <w:bookmarkEnd w:id="24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VIF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= acceptable; 5–10 = moderate concern;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= problematic. Collinearity between RQ and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(GDP per capita) is a known limitation of within-country institutional estimates and does not affect Specs 1–2.</w:t>
      </w:r>
    </w:p>
    <w:bookmarkEnd w:id="25"/>
    <w:bookmarkStart w:id="26" w:name="subsec:other-diagnostics"/>
    <w:p>
      <w:pPr>
        <w:pStyle w:val="Heading3"/>
      </w:pPr>
      <w:r>
        <w:t xml:space="preserve">Heteroskedasticity, Serial Correlation, and Cross-Sectional Dependence</w:t>
      </w:r>
    </w:p>
    <w:p>
      <w:pPr>
        <w:pStyle w:val="FirstParagraph"/>
      </w:pPr>
      <w:r>
        <w:t xml:space="preserve">Three further tests are reported for the full specification: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Modified Wald test</w:t>
      </w:r>
      <w:r>
        <w:t xml:space="preserve"> </w:t>
      </w:r>
      <w:r>
        <w:t xml:space="preserve">(group-wise heteroskedasticity):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421.1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df</w:t>
      </w:r>
      <w:r>
        <w:t xml:space="preserve"> </w:t>
      </w:r>
      <m:oMath>
        <m:r>
          <m:rPr>
            <m:sty m:val="p"/>
          </m:rPr>
          <m:t>=</m:t>
        </m:r>
        <m:r>
          <m:t>7</m:t>
        </m:r>
      </m:oMath>
      <w:r>
        <w:t xml:space="preserve">. The null of homoskedastic group variances is strongly rejected, confirming panel-level heteroskedasticity.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Wooldridge (2002) test</w:t>
      </w:r>
      <w:r>
        <w:t xml:space="preserve"> </w:t>
      </w:r>
      <w:r>
        <w:t xml:space="preserve">(first-order serial correlation):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3.47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0.010</m:t>
        </m:r>
      </m:oMath>
      <w:r>
        <w:t xml:space="preserve">, df</w:t>
      </w:r>
      <w:r>
        <w:t xml:space="preserve"> </w:t>
      </w:r>
      <m:oMath>
        <m:r>
          <m:rPr>
            <m:sty m:val="p"/>
          </m:rPr>
          <m:t>=</m:t>
        </m:r>
        <m:r>
          <m:t>7</m:t>
        </m:r>
      </m:oMath>
      <w:r>
        <w:t xml:space="preserve">. The null of no AR(1) serial correlation is rejected, indicating that within-entity errors are autocorrelated.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Pesaran (2004) CD test</w:t>
      </w:r>
      <w:r>
        <w:t xml:space="preserve"> </w:t>
      </w:r>
      <w:r>
        <w:t xml:space="preserve">(cross-sectional dependence):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0.58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0.560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countries, 28 pairs. The null of no cross-sectional dependence is not rejected.</w:t>
      </w:r>
    </w:p>
    <w:p>
      <w:pPr>
        <w:pStyle w:val="FirstParagraph"/>
      </w:pPr>
      <w:r>
        <w:rPr>
          <w:b/>
          <w:bCs/>
        </w:rPr>
        <w:t xml:space="preserve">Implication.</w:t>
      </w:r>
      <w:r>
        <w:t xml:space="preserve"> </w:t>
      </w:r>
      <w:r>
        <w:t xml:space="preserve">Heteroskedasticity and serial correlation are both present; cross-sectional dependence is not. The aggregate Pesaran CD statistic (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0.58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0.560</m:t>
        </m:r>
      </m:oMath>
      <w:r>
        <w:t xml:space="preserve">) already reported above confirms that error cross-sectional independence is a reasonable baseline assumption. Driscoll–Kraay standard errors, which are robust to both heteroskedasticity and serial correlation, are therefore the appropriate choice for the static models.</w:t>
      </w:r>
    </w:p>
    <w:bookmarkEnd w:id="26"/>
    <w:bookmarkEnd w:id="27"/>
    <w:bookmarkStart w:id="32" w:name="sec:results"/>
    <w:p>
      <w:pPr>
        <w:pStyle w:val="Heading2"/>
      </w:pPr>
      <w:r>
        <w:t xml:space="preserve">Results</w:t>
      </w:r>
    </w:p>
    <w:bookmarkStart w:id="29" w:name="subsec:static-panel-estimates"/>
    <w:p>
      <w:pPr>
        <w:pStyle w:val="Heading3"/>
      </w:pPr>
      <w:r>
        <w:t xml:space="preserve">Static panel estimates</w:t>
      </w:r>
    </w:p>
    <w:bookmarkStart w:id="28" w:name="tab:fresh-static"/>
    <w:p>
      <w:pPr>
        <w:pStyle w:val="TableCaption"/>
      </w:pPr>
      <w:r>
        <w:t xml:space="preserve">FDI Determinants: Static Panel Estimates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DI Determinants: Static Panel Estimate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money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interest 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0.099**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0.104***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(0.041)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ln(GDP per capita)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2.235***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2.997**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1.715*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(0.676)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(1.173)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ln</m:t>
              </m:r>
            </m:oMath>
            <w:r>
              <w:t xml:space="preserve">(Exchange 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0.151*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quality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-2.032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(1.821)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(2.218)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</w:tr>
    </w:tbl>
    <w:bookmarkEnd w:id="28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Standard errors are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p</w:t>
      </w:r>
      <m:oMath>
        <m:r>
          <m:rPr>
            <m:sty m:val="p"/>
          </m:rPr>
          <m:t>&lt;</m:t>
        </m:r>
      </m:oMath>
      <w:r>
        <w:t xml:space="preserve">0.10,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p</w:t>
      </w:r>
      <m:oMath>
        <m:r>
          <m:rPr>
            <m:sty m:val="p"/>
          </m:rPr>
          <m:t>&lt;</m:t>
        </m:r>
      </m:oMath>
      <w:r>
        <w:t xml:space="preserve">0.05,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p</w:t>
      </w:r>
      <m:oMath>
        <m:r>
          <m:rPr>
            <m:sty m:val="p"/>
          </m:rPr>
          <m:t>&lt;</m:t>
        </m:r>
      </m:oMath>
      <w:r>
        <w:t xml:space="preserve">0.01.</w:t>
      </w:r>
    </w:p>
    <w:p>
      <w:pPr>
        <w:pStyle w:val="BodyText"/>
      </w:pPr>
      <w:r>
        <w:t xml:space="preserve">The clearest result is the broad money coefficient. It is positive and statistically significant in all four static specifications, providing the strongest evidence in favour of a liquidity channel. The real interest rate does not deliver a stable negative effect — it is positive and significant in Specs 2 and 4 — so the data do not support a simple cost-of-capital story. Among the controls, GDP growth and log GDP per capita are generally positive and significant; trade openness, exchange-rate depreciation, and inflation are mostly imprecise. Regulatory Quality is not robust across static specifications.</w:t>
      </w:r>
    </w:p>
    <w:bookmarkEnd w:id="29"/>
    <w:bookmarkStart w:id="31" w:name="subsec:dynamic-gmm-estimate"/>
    <w:p>
      <w:pPr>
        <w:pStyle w:val="Heading3"/>
      </w:pPr>
      <w:r>
        <w:t xml:space="preserve">Dynamic GMM estimate</w:t>
      </w:r>
    </w:p>
    <w:bookmarkStart w:id="30" w:name="tab:fresh-gmm"/>
    <w:p>
      <w:pPr>
        <w:pStyle w:val="TableCaption"/>
      </w:pPr>
      <w:r>
        <w:t xml:space="preserve">FDI Determinants: Dynamic GMM Estimate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DI Determinants: Dynamic GMM Estimat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Lagged FDI (% GDP)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-2.432**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(1.174)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money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(0.675)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interest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(0.979)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ln(GDP per capita)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-3.011**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(1.176)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(0.081)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ln</m:t>
              </m:r>
            </m:oMath>
            <w:r>
              <w:t xml:space="preserve">(Exchange 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(0.942)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(0.225)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2-step GMM</w:t>
            </w:r>
          </w:p>
        </w:tc>
      </w:tr>
    </w:tbl>
    <w:bookmarkEnd w:id="30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Standard errors are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p</w:t>
      </w:r>
      <m:oMath>
        <m:r>
          <m:rPr>
            <m:sty m:val="p"/>
          </m:rPr>
          <m:t>&lt;</m:t>
        </m:r>
      </m:oMath>
      <w:r>
        <w:t xml:space="preserve">0.10,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p</w:t>
      </w:r>
      <m:oMath>
        <m:r>
          <m:rPr>
            <m:sty m:val="p"/>
          </m:rPr>
          <m:t>&lt;</m:t>
        </m:r>
      </m:oMath>
      <w:r>
        <w:t xml:space="preserve">0.05,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p</w:t>
      </w:r>
      <m:oMath>
        <m:r>
          <m:rPr>
            <m:sty m:val="p"/>
          </m:rPr>
          <m:t>&lt;</m:t>
        </m:r>
      </m:oMath>
      <w:r>
        <w:t xml:space="preserve">0.01.</w:t>
      </w:r>
    </w:p>
    <w:p>
      <w:pPr>
        <w:pStyle w:val="BodyText"/>
      </w:pPr>
      <w:r>
        <w:t xml:space="preserve">The dynamic GMM estimate is mixed.</w:t>
      </w:r>
    </w:p>
    <w:p>
      <w:pPr>
        <w:pStyle w:val="BodyText"/>
      </w:pPr>
      <w:r>
        <w:t xml:space="preserve">Lagged FDI is negative and significant, Regulatory Quality is positive and significant, and trade openness is positive and significant. However, the AR(2) test rejects the null of no second-order serial correlation (</w:t>
      </w:r>
      <m:oMath>
        <m:r>
          <m:t>p</m:t>
        </m:r>
        <m:r>
          <m:rPr>
            <m:sty m:val="p"/>
          </m:rPr>
          <m:t>=</m:t>
        </m:r>
        <m:r>
          <m:t>0.0002</m:t>
        </m:r>
      </m:oMath>
      <w:r>
        <w:t xml:space="preserve">), so this specification should be treated cautiously. The model uses 64 instruments; the Hansen test</w:t>
      </w:r>
      <w:r>
        <w:t xml:space="preserve"> </w:t>
      </w:r>
      <m:oMath>
        <m:r>
          <m:t>p</m:t>
        </m:r>
      </m:oMath>
      <w:r>
        <w:t xml:space="preserve">-value is 1.0 (instrument proliferation is a concern) and AR(1)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0.4484</m:t>
        </m:r>
      </m:oMath>
      <w:r>
        <w:t xml:space="preserve">.</w:t>
      </w:r>
    </w:p>
    <w:bookmarkEnd w:id="31"/>
    <w:bookmarkEnd w:id="32"/>
    <w:bookmarkStart w:id="33" w:name="sec: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most defensible reading is that liquidity conditions are more consistently associated with FDI inflows than interest-rate conditions in this panel. The static models provide the cleanest pattern. The dynamic model adds a persistence result, but its diagnostic weakness makes it less persuasive as a headline finding.</w:t>
      </w:r>
    </w:p>
    <w:bookmarkEnd w:id="33"/>
    <w:bookmarkStart w:id="34" w:name="sec:caveats"/>
    <w:p>
      <w:pPr>
        <w:pStyle w:val="Heading2"/>
      </w:pPr>
      <w:r>
        <w:t xml:space="preserve">Caveats</w:t>
      </w:r>
    </w:p>
    <w:p>
      <w:pPr>
        <w:numPr>
          <w:ilvl w:val="0"/>
          <w:numId w:val="1003"/>
        </w:numPr>
      </w:pPr>
      <w:r>
        <w:t xml:space="preserve">Sample sizes differ across specifications, so coefficients are not directly comparable across every model.</w:t>
      </w:r>
    </w:p>
    <w:p>
      <w:pPr>
        <w:numPr>
          <w:ilvl w:val="0"/>
          <w:numId w:val="1003"/>
        </w:numPr>
      </w:pPr>
      <w:r>
        <w:t xml:space="preserve">The dynamic model has a concerning AR(2) diagnostic.</w:t>
      </w:r>
    </w:p>
    <w:p>
      <w:pPr>
        <w:numPr>
          <w:ilvl w:val="0"/>
          <w:numId w:val="1003"/>
        </w:numPr>
      </w:pPr>
      <w:r>
        <w:t xml:space="preserve">The static models explain only a modest share of within-country variation.</w:t>
      </w:r>
    </w:p>
    <w:bookmarkEnd w:id="34"/>
    <w:bookmarkStart w:id="35" w:name="sec: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Broad money growth is the most robust correlate of FDI inflows in the current results. Interest-rate and institutional effects are less stable and more model-dependent, so the report should stay moderate in its claims.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2026-06-06T06:36:24Z</dcterms:created>
  <dcterms:modified xsi:type="dcterms:W3CDTF">2026-06-06T06:36:24Z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