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E9D" w:rsidRPr="00C471AF" w:rsidRDefault="00020E9D" w:rsidP="00020E9D">
      <w:pPr>
        <w:widowControl w:val="0"/>
        <w:autoSpaceDE w:val="0"/>
        <w:autoSpaceDN w:val="0"/>
        <w:adjustRightInd w:val="0"/>
        <w:jc w:val="both"/>
        <w:rPr>
          <w:sz w:val="20"/>
          <w:szCs w:val="28"/>
        </w:rPr>
      </w:pPr>
      <w:r w:rsidRPr="00C471AF">
        <w:rPr>
          <w:sz w:val="20"/>
          <w:szCs w:val="28"/>
        </w:rPr>
        <w:t>Phương pháp P được áp dụng để phát hiện một cách hệ thống các sai sót liên quan đến thuốc trong các báo cáo ca đơn lẻ về an toàn thuốc, có thể áp dụng được cho bất kỳ biến cố bất lợi nào sau khi xác định được quan hệ nhân quả giữa biến cố và thuốc nghi ngờ. Mục đích của phương pháp P không phải để phân loại các sai sót liên quan đến thuốc hay thực hiện phân tích nguyên nhân gốc rễ. Các tài liệu tham chiếu khuyến cáo nên được sử dụng trong đánh giá ca bao gồm tờ hướng dẫn sử dụng thuốc, các hướng dẫn điều trị của Bộ Y tế, của các hiệp hội trong nước và trên thế giới, và các tài liệu tham chiếu tương tự khi đánh giá khả năng phòng tránh được của ADR</w:t>
      </w:r>
    </w:p>
    <w:p w:rsidR="00020E9D" w:rsidRPr="00C471AF" w:rsidRDefault="00020E9D" w:rsidP="00020E9D">
      <w:pPr>
        <w:widowControl w:val="0"/>
        <w:autoSpaceDE w:val="0"/>
        <w:autoSpaceDN w:val="0"/>
        <w:adjustRightInd w:val="0"/>
        <w:jc w:val="both"/>
        <w:rPr>
          <w:sz w:val="20"/>
          <w:szCs w:val="28"/>
        </w:rPr>
      </w:pPr>
      <w:r w:rsidRPr="00C471AF">
        <w:rPr>
          <w:sz w:val="20"/>
          <w:szCs w:val="28"/>
        </w:rPr>
        <w:t>- Phương pháp P yêu cầu câu trả lời “có”, “không”, “không áp dụng được” hoặc “không rõ” với từng câu hỏi của tất cả 20 tiêu chí với mỗi ADR (</w:t>
      </w:r>
      <w:r w:rsidRPr="00C471AF">
        <w:rPr>
          <w:i/>
          <w:iCs/>
          <w:sz w:val="20"/>
          <w:szCs w:val="28"/>
        </w:rPr>
        <w:t>xem Bảng 8.1</w:t>
      </w:r>
      <w:r w:rsidRPr="00C471AF">
        <w:rPr>
          <w:sz w:val="20"/>
          <w:szCs w:val="28"/>
        </w:rPr>
        <w:t>). Câu trả lời “có” cho bất kỳ tiêu chí nào được coi là ADR xảy ra có thể “phòng tránh được”. Điều này gợi ý nguyên nhân gây ra ADR, từ đó xác định các tiêu chí quan trọng liên quan đến khả năng xảy ra ADR. Các tiêu chí quan trọng này thay đổi tùy thuộc vào nguyên nhân gây ADR:</w:t>
      </w:r>
    </w:p>
    <w:p w:rsidR="00020E9D" w:rsidRPr="00C471AF" w:rsidRDefault="00020E9D" w:rsidP="00020E9D">
      <w:pPr>
        <w:widowControl w:val="0"/>
        <w:autoSpaceDE w:val="0"/>
        <w:autoSpaceDN w:val="0"/>
        <w:adjustRightInd w:val="0"/>
        <w:jc w:val="both"/>
        <w:rPr>
          <w:sz w:val="20"/>
          <w:szCs w:val="28"/>
        </w:rPr>
      </w:pPr>
      <w:r w:rsidRPr="00C471AF">
        <w:rPr>
          <w:sz w:val="20"/>
          <w:szCs w:val="28"/>
        </w:rPr>
        <w:t>+ Nếu nguyên nhân gây ADR liên quan đến liều dùng, các tiêu chí quan trọng cần được khai thác bao gồm tiêu chí 1, 2, 3, 4, 9, 10, 12, 13 và 16.</w:t>
      </w:r>
    </w:p>
    <w:p w:rsidR="00020E9D" w:rsidRPr="00C471AF" w:rsidRDefault="00020E9D" w:rsidP="00020E9D">
      <w:pPr>
        <w:widowControl w:val="0"/>
        <w:autoSpaceDE w:val="0"/>
        <w:autoSpaceDN w:val="0"/>
        <w:adjustRightInd w:val="0"/>
        <w:jc w:val="both"/>
        <w:rPr>
          <w:sz w:val="20"/>
          <w:szCs w:val="28"/>
        </w:rPr>
      </w:pPr>
      <w:r w:rsidRPr="00C471AF">
        <w:rPr>
          <w:sz w:val="20"/>
          <w:szCs w:val="28"/>
        </w:rPr>
        <w:t>+ Nếu ADR liên quan đến yếu tố thời gian, các tiêu chí quan trọng là 3, 4, 7 và 15.</w:t>
      </w:r>
    </w:p>
    <w:p w:rsidR="00020E9D" w:rsidRPr="00C471AF" w:rsidRDefault="00020E9D" w:rsidP="00020E9D">
      <w:pPr>
        <w:widowControl w:val="0"/>
        <w:autoSpaceDE w:val="0"/>
        <w:autoSpaceDN w:val="0"/>
        <w:adjustRightInd w:val="0"/>
        <w:jc w:val="both"/>
        <w:rPr>
          <w:sz w:val="20"/>
          <w:szCs w:val="28"/>
        </w:rPr>
      </w:pPr>
      <w:r w:rsidRPr="00C471AF">
        <w:rPr>
          <w:sz w:val="20"/>
          <w:szCs w:val="28"/>
        </w:rPr>
        <w:t>+ Tiêu chí 9, 10 và 11 là các tiêu chí quan trọng với ADR liên quan đến tính nhạy cảm với thuốc của người bệnh.</w:t>
      </w:r>
    </w:p>
    <w:p w:rsidR="00020E9D" w:rsidRPr="00C471AF" w:rsidRDefault="00020E9D" w:rsidP="00020E9D">
      <w:pPr>
        <w:widowControl w:val="0"/>
        <w:autoSpaceDE w:val="0"/>
        <w:autoSpaceDN w:val="0"/>
        <w:adjustRightInd w:val="0"/>
        <w:jc w:val="both"/>
        <w:rPr>
          <w:sz w:val="20"/>
          <w:szCs w:val="28"/>
        </w:rPr>
      </w:pPr>
      <w:r w:rsidRPr="00C471AF">
        <w:rPr>
          <w:sz w:val="20"/>
          <w:szCs w:val="28"/>
        </w:rPr>
        <w:t>+ Hành vi của người bệnh và chất lượng thuốc nên được khai thác một cách hệ thống vì những yếu tố này có thể làm tăng khả năng xuất hiện bất cứ ADR nào (tiêu chí 5, 6, 17, 18, 19, 20).</w:t>
      </w:r>
    </w:p>
    <w:p w:rsidR="00020E9D" w:rsidRPr="00C471AF" w:rsidRDefault="00020E9D" w:rsidP="00020E9D">
      <w:pPr>
        <w:widowControl w:val="0"/>
        <w:autoSpaceDE w:val="0"/>
        <w:autoSpaceDN w:val="0"/>
        <w:adjustRightInd w:val="0"/>
        <w:jc w:val="both"/>
        <w:rPr>
          <w:sz w:val="20"/>
          <w:szCs w:val="28"/>
        </w:rPr>
      </w:pPr>
      <w:r w:rsidRPr="00C471AF">
        <w:rPr>
          <w:sz w:val="20"/>
          <w:szCs w:val="28"/>
        </w:rPr>
        <w:t>- Một tiêu chí được xem là "không áp dụng được" nếu như không có mối liên hệ (ví dụ: việc kê đơn 2 thuốc có cùng thành phần không ảnh hưởng đến khả năng xảy ra dị ứng thuốc).</w:t>
      </w:r>
    </w:p>
    <w:p w:rsidR="00020E9D" w:rsidRPr="00C471AF" w:rsidRDefault="00020E9D" w:rsidP="00020E9D">
      <w:pPr>
        <w:widowControl w:val="0"/>
        <w:autoSpaceDE w:val="0"/>
        <w:autoSpaceDN w:val="0"/>
        <w:adjustRightInd w:val="0"/>
        <w:jc w:val="both"/>
        <w:rPr>
          <w:sz w:val="20"/>
          <w:szCs w:val="28"/>
        </w:rPr>
      </w:pPr>
      <w:r w:rsidRPr="00C471AF">
        <w:rPr>
          <w:sz w:val="20"/>
          <w:szCs w:val="28"/>
        </w:rPr>
        <w:t>- Kết quả đánh giá sẽ rơi vào 1 trong 3 trường hợp: "có thể phòng tránh được", "không thể phòng tránh được" và "không đánh giá được".</w:t>
      </w:r>
    </w:p>
    <w:p w:rsidR="00020E9D" w:rsidRPr="00C471AF" w:rsidRDefault="00020E9D" w:rsidP="00020E9D">
      <w:pPr>
        <w:widowControl w:val="0"/>
        <w:autoSpaceDE w:val="0"/>
        <w:autoSpaceDN w:val="0"/>
        <w:adjustRightInd w:val="0"/>
        <w:jc w:val="both"/>
        <w:rPr>
          <w:sz w:val="20"/>
          <w:szCs w:val="28"/>
        </w:rPr>
      </w:pPr>
      <w:r w:rsidRPr="00C471AF">
        <w:rPr>
          <w:sz w:val="20"/>
          <w:szCs w:val="28"/>
        </w:rPr>
        <w:t>+ ADR được coi là “phòng tránh được” khi xác định được ít nhất 1 tiêu chí quan trọng.</w:t>
      </w:r>
    </w:p>
    <w:p w:rsidR="00020E9D" w:rsidRPr="00C471AF" w:rsidRDefault="00020E9D" w:rsidP="00020E9D">
      <w:pPr>
        <w:widowControl w:val="0"/>
        <w:autoSpaceDE w:val="0"/>
        <w:autoSpaceDN w:val="0"/>
        <w:adjustRightInd w:val="0"/>
        <w:jc w:val="both"/>
        <w:rPr>
          <w:sz w:val="20"/>
          <w:szCs w:val="28"/>
        </w:rPr>
      </w:pPr>
      <w:r w:rsidRPr="00C471AF">
        <w:rPr>
          <w:sz w:val="20"/>
          <w:szCs w:val="28"/>
        </w:rPr>
        <w:t>+ ADR được coi là “không phòng tránh được” nếu không có tiêu chí quan trọng nào được xác định từ báo cáo ca đơn lẻ về an toàn thuốc.</w:t>
      </w:r>
    </w:p>
    <w:p w:rsidR="00020E9D" w:rsidRPr="00020E9D" w:rsidRDefault="00020E9D" w:rsidP="00020E9D">
      <w:pPr>
        <w:widowControl w:val="0"/>
        <w:autoSpaceDE w:val="0"/>
        <w:autoSpaceDN w:val="0"/>
        <w:adjustRightInd w:val="0"/>
        <w:jc w:val="both"/>
        <w:rPr>
          <w:sz w:val="20"/>
          <w:szCs w:val="28"/>
        </w:rPr>
      </w:pPr>
      <w:r w:rsidRPr="00C471AF">
        <w:rPr>
          <w:sz w:val="20"/>
          <w:szCs w:val="28"/>
        </w:rPr>
        <w:t>+ Trường hợp được phân loại "không đánh giá được" nếu không có hoặc không đủ dữ liệu cần thiết để đánh giá. Ví dụ: phản vệ do kháng sinh nhóm penicillin được cho là "không đánh giá được" nếu không có thông tin khai thác về tiền sử dị ứng thuốc trước đó của người bệnh, hoặc trong những tình huống còn tranh cãi (ví dụ: một thuốc không được phê duyệt chính thức cho chỉ định trong nhi khoa nhưng thường xuyên được sử dụ</w:t>
      </w:r>
      <w:r>
        <w:rPr>
          <w:sz w:val="20"/>
          <w:szCs w:val="28"/>
        </w:rPr>
        <w:t>ng cho trẻ em).</w:t>
      </w:r>
    </w:p>
    <w:p w:rsidR="006552B0" w:rsidRPr="006552B0" w:rsidRDefault="006552B0" w:rsidP="006552B0">
      <w:pPr>
        <w:widowControl w:val="0"/>
        <w:autoSpaceDE w:val="0"/>
        <w:autoSpaceDN w:val="0"/>
        <w:adjustRightInd w:val="0"/>
        <w:jc w:val="center"/>
        <w:rPr>
          <w:b/>
          <w:sz w:val="20"/>
          <w:szCs w:val="28"/>
        </w:rPr>
      </w:pPr>
      <w:r w:rsidRPr="006552B0">
        <w:rPr>
          <w:b/>
          <w:iCs/>
          <w:sz w:val="20"/>
          <w:szCs w:val="28"/>
        </w:rPr>
        <w:t>Bảng đánh giá khả năng phòng tránh được của ADR (theo phương pháp P của Tổ chức Y tế Thế giới)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19"/>
        <w:gridCol w:w="4397"/>
        <w:gridCol w:w="600"/>
        <w:gridCol w:w="996"/>
        <w:gridCol w:w="996"/>
        <w:gridCol w:w="991"/>
      </w:tblGrid>
      <w:tr w:rsidR="006552B0" w:rsidRPr="00C471AF" w:rsidTr="000C1D67">
        <w:tblPrEx>
          <w:tblCellMar>
            <w:top w:w="0" w:type="dxa"/>
            <w:left w:w="0" w:type="dxa"/>
            <w:bottom w:w="0" w:type="dxa"/>
            <w:right w:w="0" w:type="dxa"/>
          </w:tblCellMar>
        </w:tblPrEx>
        <w:tc>
          <w:tcPr>
            <w:tcW w:w="755"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Các yếu tố liên quan</w:t>
            </w:r>
          </w:p>
        </w:tc>
        <w:tc>
          <w:tcPr>
            <w:tcW w:w="2339"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Các tiêu chí về khả năng phòng tránh được</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Có</w:t>
            </w: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Không</w:t>
            </w: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Không rõ</w:t>
            </w: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b/>
                <w:bCs/>
                <w:sz w:val="20"/>
                <w:szCs w:val="26"/>
              </w:rPr>
              <w:t>Không áp dụng</w:t>
            </w:r>
          </w:p>
        </w:tc>
      </w:tr>
      <w:tr w:rsidR="006552B0" w:rsidRPr="00C471AF" w:rsidTr="000C1D67">
        <w:tblPrEx>
          <w:tblCellMar>
            <w:top w:w="0" w:type="dxa"/>
            <w:left w:w="0" w:type="dxa"/>
            <w:bottom w:w="0" w:type="dxa"/>
            <w:right w:w="0" w:type="dxa"/>
          </w:tblCellMar>
        </w:tblPrEx>
        <w:tc>
          <w:tcPr>
            <w:tcW w:w="755" w:type="pct"/>
            <w:vMerge w:val="restar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sz w:val="20"/>
                <w:szCs w:val="26"/>
              </w:rPr>
              <w:t>Thực hành chuyên môn "Pr"</w:t>
            </w: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1. Liều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2. Đường dùng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3. Thời gian sử dụng thuốc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4. Sử dụng dạng thuốc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5. Sử dụng thuốc hết hạn?</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6. Bảo quản thuốc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7. Cách dùng không phù hợp (thời gian, tốc độ, tần suất, kỹ thuật, pha chế, thao tác, trộn lẫn)?</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8. Chỉ định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9. Không phù hợp với đặc điểm của người bệnh (tuổi, giới, phụ nữ mang thai, khác)?</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10. Không phù hợp với tình trạng lâm sàng (suy thận, suy gan…) hoặc bệnh lý đang có của người bệnh?</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11. Có tiền sử quá mẫn với thuốc hoặc các thuốc khác trong nhóm?</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6552B0">
              <w:rPr>
                <w:b/>
                <w:sz w:val="20"/>
                <w:szCs w:val="26"/>
              </w:rPr>
              <w:t>12. Tương tác thuốc-thuốc?</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13. Trùng lặp điều trị (kê đơn 2 hay nhiều thuốc có thành phần tương tự nhau)?</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14. Không sử dụng thuốc cần dùng?</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15. Hội chứng cai thuốc (do ngừng thuốc đột ngột)?</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6552B0" w:rsidRDefault="006552B0" w:rsidP="000C1D67">
            <w:pPr>
              <w:widowControl w:val="0"/>
              <w:autoSpaceDE w:val="0"/>
              <w:autoSpaceDN w:val="0"/>
              <w:adjustRightInd w:val="0"/>
              <w:rPr>
                <w:b/>
                <w:sz w:val="20"/>
              </w:rPr>
            </w:pPr>
            <w:r w:rsidRPr="006552B0">
              <w:rPr>
                <w:b/>
                <w:sz w:val="20"/>
                <w:szCs w:val="26"/>
              </w:rPr>
              <w:t>16. Xét nghiệm hoặc theo dõi lâm sàng không phù hợp?</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val="restar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sz w:val="20"/>
                <w:szCs w:val="26"/>
              </w:rPr>
              <w:t>Chế phẩm/ thuốc "Pd"</w:t>
            </w: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17. Đã sử dụng thuốc nghi ngờ kém chất lượng?</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18. Đã sử dụng thuốc nghi ngờ là giả?</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val="restart"/>
            <w:shd w:val="clear" w:color="auto" w:fill="auto"/>
            <w:vAlign w:val="center"/>
          </w:tcPr>
          <w:p w:rsidR="006552B0" w:rsidRPr="00C471AF" w:rsidRDefault="006552B0" w:rsidP="000C1D67">
            <w:pPr>
              <w:widowControl w:val="0"/>
              <w:autoSpaceDE w:val="0"/>
              <w:autoSpaceDN w:val="0"/>
              <w:adjustRightInd w:val="0"/>
              <w:jc w:val="center"/>
              <w:rPr>
                <w:sz w:val="20"/>
              </w:rPr>
            </w:pPr>
            <w:r w:rsidRPr="00C471AF">
              <w:rPr>
                <w:sz w:val="20"/>
                <w:szCs w:val="26"/>
              </w:rPr>
              <w:t>Người bệnh "Pa"</w:t>
            </w: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19. Không tuân thủ điều trị?</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r w:rsidR="006552B0" w:rsidRPr="00C471AF" w:rsidTr="000C1D67">
        <w:tblPrEx>
          <w:tblCellMar>
            <w:top w:w="0" w:type="dxa"/>
            <w:left w:w="0" w:type="dxa"/>
            <w:bottom w:w="0" w:type="dxa"/>
            <w:right w:w="0" w:type="dxa"/>
          </w:tblCellMar>
        </w:tblPrEx>
        <w:tc>
          <w:tcPr>
            <w:tcW w:w="755" w:type="pct"/>
            <w:vMerge/>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2339" w:type="pct"/>
            <w:shd w:val="clear" w:color="auto" w:fill="auto"/>
            <w:vAlign w:val="center"/>
          </w:tcPr>
          <w:p w:rsidR="006552B0" w:rsidRPr="00C471AF" w:rsidRDefault="006552B0" w:rsidP="000C1D67">
            <w:pPr>
              <w:widowControl w:val="0"/>
              <w:autoSpaceDE w:val="0"/>
              <w:autoSpaceDN w:val="0"/>
              <w:adjustRightInd w:val="0"/>
              <w:rPr>
                <w:sz w:val="20"/>
              </w:rPr>
            </w:pPr>
            <w:r w:rsidRPr="00C471AF">
              <w:rPr>
                <w:sz w:val="20"/>
                <w:szCs w:val="26"/>
              </w:rPr>
              <w:t>20. Người bệnh tự ý dùng thuốc kê đơn?</w:t>
            </w:r>
          </w:p>
        </w:tc>
        <w:tc>
          <w:tcPr>
            <w:tcW w:w="319"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30" w:type="pct"/>
            <w:shd w:val="clear" w:color="auto" w:fill="auto"/>
            <w:vAlign w:val="center"/>
          </w:tcPr>
          <w:p w:rsidR="006552B0" w:rsidRPr="00C471AF" w:rsidRDefault="006552B0" w:rsidP="000C1D67">
            <w:pPr>
              <w:widowControl w:val="0"/>
              <w:autoSpaceDE w:val="0"/>
              <w:autoSpaceDN w:val="0"/>
              <w:adjustRightInd w:val="0"/>
              <w:jc w:val="center"/>
              <w:rPr>
                <w:sz w:val="20"/>
              </w:rPr>
            </w:pPr>
          </w:p>
        </w:tc>
        <w:tc>
          <w:tcPr>
            <w:tcW w:w="527" w:type="pct"/>
            <w:shd w:val="clear" w:color="auto" w:fill="auto"/>
            <w:vAlign w:val="center"/>
          </w:tcPr>
          <w:p w:rsidR="006552B0" w:rsidRPr="00C471AF" w:rsidRDefault="006552B0" w:rsidP="000C1D67">
            <w:pPr>
              <w:widowControl w:val="0"/>
              <w:autoSpaceDE w:val="0"/>
              <w:autoSpaceDN w:val="0"/>
              <w:adjustRightInd w:val="0"/>
              <w:jc w:val="center"/>
              <w:rPr>
                <w:sz w:val="20"/>
              </w:rPr>
            </w:pPr>
          </w:p>
        </w:tc>
      </w:tr>
    </w:tbl>
    <w:p w:rsidR="006552B0" w:rsidRDefault="00020E9D">
      <w:r>
        <w:t>* Kết quả đánh giá:</w:t>
      </w:r>
      <w:bookmarkStart w:id="0" w:name="_GoBack"/>
      <w:bookmarkEnd w:id="0"/>
    </w:p>
    <w:sectPr w:rsidR="006552B0" w:rsidSect="00D84E72">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2B0"/>
    <w:rsid w:val="00020E9D"/>
    <w:rsid w:val="006552B0"/>
    <w:rsid w:val="007E1000"/>
    <w:rsid w:val="00C82955"/>
    <w:rsid w:val="00D8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5EF73-1E90-427E-B97E-AC8762E9A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THANHLONG</dc:creator>
  <cp:keywords/>
  <dc:description/>
  <cp:lastModifiedBy>THANHLONG</cp:lastModifiedBy>
  <cp:revision>2</cp:revision>
  <dcterms:created xsi:type="dcterms:W3CDTF">2025-10-07T09:56:00Z</dcterms:created>
  <dcterms:modified xsi:type="dcterms:W3CDTF">2025-10-07T10:11:00Z</dcterms:modified>
</cp:coreProperties>
</file>