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7D74" w:rsidRPr="00C471AF" w:rsidRDefault="006C7D74" w:rsidP="006C7D74">
      <w:pPr>
        <w:widowControl w:val="0"/>
        <w:autoSpaceDE w:val="0"/>
        <w:autoSpaceDN w:val="0"/>
        <w:adjustRightInd w:val="0"/>
        <w:spacing w:before="120"/>
        <w:jc w:val="center"/>
        <w:rPr>
          <w:sz w:val="20"/>
          <w:szCs w:val="32"/>
        </w:rPr>
      </w:pPr>
      <w:bookmarkStart w:id="0" w:name="chuong_pl_13"/>
      <w:bookmarkStart w:id="1" w:name="_GoBack"/>
      <w:bookmarkEnd w:id="1"/>
      <w:r w:rsidRPr="00C471AF">
        <w:rPr>
          <w:b/>
          <w:bCs/>
          <w:sz w:val="20"/>
          <w:szCs w:val="32"/>
        </w:rPr>
        <w:t>ĐÁNH GIÁ HIỆU QUẢ HOẠT ĐỘNG GIÁM SÁT ADR TRONG CƠ SỞ KHÁM BỆNH, CHỮA BỆNH</w:t>
      </w:r>
      <w:bookmarkEnd w:id="0"/>
    </w:p>
    <w:p w:rsidR="006C7D74" w:rsidRPr="00C471AF" w:rsidRDefault="006C7D74" w:rsidP="006C7D74">
      <w:pPr>
        <w:widowControl w:val="0"/>
        <w:autoSpaceDE w:val="0"/>
        <w:autoSpaceDN w:val="0"/>
        <w:adjustRightInd w:val="0"/>
        <w:spacing w:before="120"/>
        <w:jc w:val="center"/>
        <w:rPr>
          <w:sz w:val="20"/>
          <w:szCs w:val="28"/>
        </w:rPr>
      </w:pPr>
      <w:r w:rsidRPr="00C471AF">
        <w:rPr>
          <w:i/>
          <w:iCs/>
          <w:sz w:val="20"/>
          <w:szCs w:val="28"/>
        </w:rPr>
        <w:t>(Nguồn: Bộ công cụ Indicator-based assessment tool, IPAT của Chương trình tăng cường hệ thống Dược, Strengthening Pharmaceutical Systems, 2009)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55"/>
        <w:gridCol w:w="774"/>
        <w:gridCol w:w="4928"/>
        <w:gridCol w:w="774"/>
        <w:gridCol w:w="926"/>
        <w:gridCol w:w="908"/>
      </w:tblGrid>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b/>
                <w:bCs/>
                <w:sz w:val="20"/>
              </w:rPr>
              <w:t>Chỉ số</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b/>
                <w:bCs/>
                <w:sz w:val="20"/>
              </w:rPr>
              <w:t>Loại chỉ số</w:t>
            </w:r>
          </w:p>
        </w:tc>
        <w:tc>
          <w:tcPr>
            <w:tcW w:w="2718" w:type="pct"/>
          </w:tcPr>
          <w:p w:rsidR="006C7D74" w:rsidRPr="00C471AF" w:rsidRDefault="006C7D74" w:rsidP="000C1D67">
            <w:pPr>
              <w:widowControl w:val="0"/>
              <w:autoSpaceDE w:val="0"/>
              <w:autoSpaceDN w:val="0"/>
              <w:adjustRightInd w:val="0"/>
              <w:spacing w:before="120"/>
              <w:jc w:val="center"/>
              <w:rPr>
                <w:sz w:val="20"/>
              </w:rPr>
            </w:pPr>
            <w:r w:rsidRPr="00C471AF">
              <w:rPr>
                <w:b/>
                <w:bCs/>
                <w:sz w:val="20"/>
              </w:rPr>
              <w:t>Nội dung</w:t>
            </w:r>
          </w:p>
        </w:tc>
        <w:tc>
          <w:tcPr>
            <w:tcW w:w="938" w:type="pct"/>
            <w:gridSpan w:val="2"/>
          </w:tcPr>
          <w:p w:rsidR="006C7D74" w:rsidRPr="00C471AF" w:rsidRDefault="006C7D74" w:rsidP="000C1D67">
            <w:pPr>
              <w:widowControl w:val="0"/>
              <w:autoSpaceDE w:val="0"/>
              <w:autoSpaceDN w:val="0"/>
              <w:adjustRightInd w:val="0"/>
              <w:spacing w:before="120"/>
              <w:jc w:val="center"/>
              <w:rPr>
                <w:sz w:val="20"/>
              </w:rPr>
            </w:pPr>
            <w:r w:rsidRPr="00C471AF">
              <w:rPr>
                <w:b/>
                <w:bCs/>
                <w:sz w:val="20"/>
              </w:rPr>
              <w:t>Thực hiện tại cơ sở khám bệnh, chữa bệnh</w:t>
            </w:r>
          </w:p>
        </w:tc>
        <w:tc>
          <w:tcPr>
            <w:tcW w:w="501" w:type="pct"/>
          </w:tcPr>
          <w:p w:rsidR="006C7D74" w:rsidRPr="00C471AF" w:rsidRDefault="006C7D74" w:rsidP="000C1D67">
            <w:pPr>
              <w:widowControl w:val="0"/>
              <w:autoSpaceDE w:val="0"/>
              <w:autoSpaceDN w:val="0"/>
              <w:adjustRightInd w:val="0"/>
              <w:spacing w:before="120"/>
              <w:jc w:val="center"/>
              <w:rPr>
                <w:sz w:val="20"/>
              </w:rPr>
            </w:pPr>
            <w:r w:rsidRPr="00C471AF">
              <w:rPr>
                <w:b/>
                <w:bCs/>
                <w:sz w:val="20"/>
              </w:rPr>
              <w:t>Điểm đánh giá</w:t>
            </w:r>
          </w:p>
        </w:tc>
      </w:tr>
      <w:tr w:rsidR="006C7D74" w:rsidRPr="00C471AF" w:rsidTr="000C1D67">
        <w:tblPrEx>
          <w:tblCellMar>
            <w:top w:w="0" w:type="dxa"/>
            <w:left w:w="0" w:type="dxa"/>
            <w:bottom w:w="0" w:type="dxa"/>
            <w:right w:w="0" w:type="dxa"/>
          </w:tblCellMar>
        </w:tblPrEx>
        <w:tc>
          <w:tcPr>
            <w:tcW w:w="5000" w:type="pct"/>
            <w:gridSpan w:val="6"/>
            <w:shd w:val="clear" w:color="auto" w:fill="D9D9D9"/>
          </w:tcPr>
          <w:p w:rsidR="006C7D74" w:rsidRPr="00C471AF" w:rsidRDefault="006C7D74" w:rsidP="000C1D67">
            <w:pPr>
              <w:widowControl w:val="0"/>
              <w:autoSpaceDE w:val="0"/>
              <w:autoSpaceDN w:val="0"/>
              <w:adjustRightInd w:val="0"/>
              <w:spacing w:before="120"/>
              <w:rPr>
                <w:sz w:val="20"/>
              </w:rPr>
            </w:pPr>
            <w:r w:rsidRPr="00C471AF">
              <w:rPr>
                <w:b/>
                <w:bCs/>
                <w:sz w:val="20"/>
              </w:rPr>
              <w:t>A. Cơ cấu tổ chức</w:t>
            </w: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2.2</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văn bản chính thức quy định rõ nhiệm vụ, cơ cấu tổ chức, vai trò, trách nhiệm và phương thức báo cáo của đơn vị giám sát an toàn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2.3</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quy trình thao tác chuẩn trong kiểm soát chất lượng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2.5</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bản phân công công việc cho nhân viên y tế chịu trách nhiệm về giám sát ADR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2.8</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quy trình phát hiện và báo cáo ADR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2.9</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thành lập và triển khai hoạt động của Hội đồng Thuốc và điều trị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2.14</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văn bản về việc phối hợp các đối tác liên quan trong đơn vị để triển khai hoạt động giám sát ADR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5000" w:type="pct"/>
            <w:gridSpan w:val="6"/>
            <w:shd w:val="clear" w:color="auto" w:fill="E0E0E0"/>
          </w:tcPr>
          <w:p w:rsidR="006C7D74" w:rsidRPr="00C471AF" w:rsidRDefault="006C7D74" w:rsidP="000C1D67">
            <w:pPr>
              <w:widowControl w:val="0"/>
              <w:autoSpaceDE w:val="0"/>
              <w:autoSpaceDN w:val="0"/>
              <w:adjustRightInd w:val="0"/>
              <w:spacing w:before="120"/>
              <w:rPr>
                <w:b/>
                <w:sz w:val="20"/>
              </w:rPr>
            </w:pPr>
            <w:r w:rsidRPr="00C471AF">
              <w:rPr>
                <w:b/>
                <w:sz w:val="20"/>
              </w:rPr>
              <w:t>B. Cơ sở vật chất và nhân lực</w:t>
            </w: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2.1</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quyết định thành lập đơn vị hay bộ phận chịu trách nhiệm giám sát an toàn thuốc trong đơn vị của mình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2.4</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hệ thống dữ liệu lưu trữ thông tin trả lời câu hỏi về ADR và thông tin an toàn của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2.6</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nguồn tài chính cho hoạt động giám sát ADR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2.7</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lưu trữ văn bản Hướng dẫn giám sát phản ứng có hại của thuốc và Hướng dân Quốc gia về Cảnh giác Dược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2.10</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sẵn các phương tiện công nghệ thông tin để cập nhật và cung cấp thông tin và cảnh báo về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2.11</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các tài liệu tham khảo cơ bản về Thông tin thuốc và Cảnh giác Dược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2.13</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Nhân viên y tế tại cơ sở khám bệnh, chữa bệnh của anh/chị đã tham gia tập huấn về giám sát ADR chưa?</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5000" w:type="pct"/>
            <w:gridSpan w:val="6"/>
            <w:shd w:val="clear" w:color="auto" w:fill="D9D9D9"/>
          </w:tcPr>
          <w:p w:rsidR="006C7D74" w:rsidRPr="00C471AF" w:rsidRDefault="006C7D74" w:rsidP="000C1D67">
            <w:pPr>
              <w:widowControl w:val="0"/>
              <w:autoSpaceDE w:val="0"/>
              <w:autoSpaceDN w:val="0"/>
              <w:adjustRightInd w:val="0"/>
              <w:spacing w:before="120"/>
              <w:rPr>
                <w:sz w:val="20"/>
              </w:rPr>
            </w:pPr>
            <w:r w:rsidRPr="00C471AF">
              <w:rPr>
                <w:b/>
                <w:bCs/>
                <w:sz w:val="20"/>
              </w:rPr>
              <w:t>C. Triển khai các biểu mẫu báo cáo liên quan ADR</w:t>
            </w: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3.1</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thu thập và gửi báo cáo tới Trung tâm DI&amp;ADR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3.2</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mẫu báo cáo ADR dành cho người bệnh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3.3</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mẫu báo cáo phản ứng có hại của thuốc (ADR)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3.4</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 xml:space="preserve">Cơ sở khám bệnh, chữa bệnh của anh/chị có mẫu báo cáo </w:t>
            </w:r>
            <w:r w:rsidRPr="00C471AF">
              <w:rPr>
                <w:sz w:val="20"/>
              </w:rPr>
              <w:lastRenderedPageBreak/>
              <w:t>chất lượng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lastRenderedPageBreak/>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lastRenderedPageBreak/>
              <w:t>3.5</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mẫu báo cáo sai sót liên quan đến sử dụng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3.6</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mẫu báo cáo thất bại điều trị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5000" w:type="pct"/>
            <w:gridSpan w:val="6"/>
            <w:shd w:val="clear" w:color="auto" w:fill="D9D9D9"/>
          </w:tcPr>
          <w:p w:rsidR="006C7D74" w:rsidRPr="00C471AF" w:rsidRDefault="006C7D74" w:rsidP="000C1D67">
            <w:pPr>
              <w:widowControl w:val="0"/>
              <w:autoSpaceDE w:val="0"/>
              <w:autoSpaceDN w:val="0"/>
              <w:adjustRightInd w:val="0"/>
              <w:spacing w:before="120"/>
              <w:rPr>
                <w:sz w:val="20"/>
              </w:rPr>
            </w:pPr>
            <w:r w:rsidRPr="00C471AF">
              <w:rPr>
                <w:b/>
                <w:bCs/>
                <w:sz w:val="20"/>
              </w:rPr>
              <w:t>D. Hoạt động giám sát và nghiên cứu liên quan an toàn thuốc</w:t>
            </w: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4.1</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Số lượng báo cáo ADR tự nguyện của cơ sở khám bệnh, chữa bệnh có ≥ 100 báo cáo/1 triệu dân/năm không? (</w:t>
            </w:r>
            <w:r w:rsidRPr="00C471AF">
              <w:rPr>
                <w:i/>
                <w:iCs/>
                <w:sz w:val="20"/>
              </w:rPr>
              <w:t>trong đó, dân số tính theo địa phương nơi đặt bệnh viện</w:t>
            </w:r>
            <w:r w:rsidRPr="00C471AF">
              <w:rPr>
                <w:sz w:val="20"/>
              </w:rPr>
              <w:t>)</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4.3</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thực hiện và báo cáo kiểm soát chất lượng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4.4</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thực hiện đánh giá khả năng phòng tránh được của ADR hoặc các nghiên cứu phát hiện sai sót liên quan tới sử dụng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4.5</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thực hiện nghiên cứu đánh giá sử dụng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4.6</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thực hiện giám sát tích cực ADR trong 5 năm trở lại đây hay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4.7</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Tỷ lệ số người bệnh được ghi nhận gặp biến cố bất lợi liên quan đến thuốc trên tổng số người bệnh điều trị nội trú tại cơ sở khám bệnh, chữa bệnh của anh/chị có ≥ 1%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5000" w:type="pct"/>
            <w:gridSpan w:val="6"/>
            <w:shd w:val="clear" w:color="auto" w:fill="D9D9D9"/>
          </w:tcPr>
          <w:p w:rsidR="006C7D74" w:rsidRPr="00C471AF" w:rsidRDefault="006C7D74" w:rsidP="000C1D67">
            <w:pPr>
              <w:widowControl w:val="0"/>
              <w:autoSpaceDE w:val="0"/>
              <w:autoSpaceDN w:val="0"/>
              <w:adjustRightInd w:val="0"/>
              <w:spacing w:before="120"/>
              <w:rPr>
                <w:sz w:val="20"/>
              </w:rPr>
            </w:pPr>
            <w:r w:rsidRPr="00C471AF">
              <w:rPr>
                <w:b/>
                <w:bCs/>
                <w:sz w:val="20"/>
              </w:rPr>
              <w:t>E. Hoạt động thông tin và truyền thông</w:t>
            </w: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5.1</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Số lượng yêu cầu thông tin về an toàn thuốc đã tiếp nhận và xử lý có ≥ 100 yêu cầu/1 triệu dân/năm không? (</w:t>
            </w:r>
            <w:r w:rsidRPr="00C471AF">
              <w:rPr>
                <w:i/>
                <w:iCs/>
                <w:sz w:val="20"/>
              </w:rPr>
              <w:t>trong đó, dân số tính theo địa phương nơi đặt bệnh viện</w:t>
            </w:r>
            <w:r w:rsidRPr="00C471AF">
              <w:rPr>
                <w:sz w:val="20"/>
              </w:rPr>
              <w:t>)</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5.2</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có xuất bản bản tin về an toàn thuốc (bản tin Thông tin thuốc, Cảnh giác Dược, Dược lâm sàng) theo kế hoạch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5.3</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thực hiện và ban hành Hướng dẫn đấu thầu, chính sách đấu thầu thuốc</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5.6</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danh mục và hướng dẫn sử dụng thuốc có nguy cơ cao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5.7</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Tỷ lệ truyền tải các cảnh báo an toàn thuốc từ cơ quan quản lý và các vấn đề an toàn thuốc ghi nhận tại cơ sở khám bệnh, chữa bệnh của anh/chị trong năm qua có ≥ 70%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5.8</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Khoảng thời gian trễ (tính từ khi xác định được các vấn đề an toàn thuốc cho tới lúc thông tin được truyền tải cho nhân viên y tế) của mỗi vấn đề an toàn thuốc trong số 70% vấn đề an toàn thuốc đã được truyền tải tại cơ sở khám bệnh, chữa bệnh của anh/chị trong 1 năm qua có được thực hiện trong vòng 3 tuần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5.9</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thực hiện tư vấn cho người bệnh về ADR và vấn đề an toàn thuốc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5.10</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P</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Cơ sở khám bệnh, chữa bệnh của anh/chị có thực hiện các hoạt động an toàn thuốc như: truyền thông an toàn thuốc, xây dựng/sửa đổi/cập nhật các hướng dẫn sử dụng thuốc và ra quyết định quản lý nguy cơ trong 1 năm vừa qua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r w:rsidR="006C7D74" w:rsidRPr="00C471AF" w:rsidTr="000C1D67">
        <w:tblPrEx>
          <w:tblCellMar>
            <w:top w:w="0" w:type="dxa"/>
            <w:left w:w="0" w:type="dxa"/>
            <w:bottom w:w="0" w:type="dxa"/>
            <w:right w:w="0" w:type="dxa"/>
          </w:tblCellMar>
        </w:tblPrEx>
        <w:tc>
          <w:tcPr>
            <w:tcW w:w="416" w:type="pct"/>
          </w:tcPr>
          <w:p w:rsidR="006C7D74" w:rsidRPr="00C471AF" w:rsidRDefault="006C7D74" w:rsidP="000C1D67">
            <w:pPr>
              <w:widowControl w:val="0"/>
              <w:autoSpaceDE w:val="0"/>
              <w:autoSpaceDN w:val="0"/>
              <w:adjustRightInd w:val="0"/>
              <w:spacing w:before="120"/>
              <w:jc w:val="center"/>
              <w:rPr>
                <w:sz w:val="20"/>
              </w:rPr>
            </w:pPr>
            <w:r w:rsidRPr="00C471AF">
              <w:rPr>
                <w:sz w:val="20"/>
              </w:rPr>
              <w:t>5.11</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C</w:t>
            </w:r>
          </w:p>
        </w:tc>
        <w:tc>
          <w:tcPr>
            <w:tcW w:w="2718" w:type="pct"/>
          </w:tcPr>
          <w:p w:rsidR="006C7D74" w:rsidRPr="00C471AF" w:rsidRDefault="006C7D74" w:rsidP="000C1D67">
            <w:pPr>
              <w:widowControl w:val="0"/>
              <w:autoSpaceDE w:val="0"/>
              <w:autoSpaceDN w:val="0"/>
              <w:adjustRightInd w:val="0"/>
              <w:spacing w:before="120"/>
              <w:rPr>
                <w:sz w:val="20"/>
              </w:rPr>
            </w:pPr>
            <w:r w:rsidRPr="00C471AF">
              <w:rPr>
                <w:sz w:val="20"/>
              </w:rPr>
              <w:t>Tỷ lệ số cuộc họp của Hội đồng Thuốc và điều trị có đề cập đến hoạt động Cảnh giác Dược hoặc giải quyết vấn đề an toàn thuốc trên tổng số cuộc họp của Hội đồng Thuốc và điều trị trong 1 năm qua có ≥ 70% không?</w:t>
            </w:r>
          </w:p>
        </w:tc>
        <w:tc>
          <w:tcPr>
            <w:tcW w:w="427" w:type="pct"/>
          </w:tcPr>
          <w:p w:rsidR="006C7D74" w:rsidRPr="00C471AF" w:rsidRDefault="006C7D74" w:rsidP="000C1D67">
            <w:pPr>
              <w:widowControl w:val="0"/>
              <w:autoSpaceDE w:val="0"/>
              <w:autoSpaceDN w:val="0"/>
              <w:adjustRightInd w:val="0"/>
              <w:spacing w:before="120"/>
              <w:jc w:val="center"/>
              <w:rPr>
                <w:sz w:val="20"/>
              </w:rPr>
            </w:pPr>
            <w:r w:rsidRPr="00C471AF">
              <w:rPr>
                <w:sz w:val="20"/>
              </w:rPr>
              <w:t>□ Có</w:t>
            </w:r>
          </w:p>
        </w:tc>
        <w:tc>
          <w:tcPr>
            <w:tcW w:w="511" w:type="pct"/>
          </w:tcPr>
          <w:p w:rsidR="006C7D74" w:rsidRPr="00C471AF" w:rsidRDefault="006C7D74" w:rsidP="000C1D67">
            <w:pPr>
              <w:widowControl w:val="0"/>
              <w:autoSpaceDE w:val="0"/>
              <w:autoSpaceDN w:val="0"/>
              <w:adjustRightInd w:val="0"/>
              <w:spacing w:before="120"/>
              <w:jc w:val="center"/>
              <w:rPr>
                <w:sz w:val="20"/>
              </w:rPr>
            </w:pPr>
            <w:r w:rsidRPr="00C471AF">
              <w:rPr>
                <w:sz w:val="20"/>
              </w:rPr>
              <w:t>□ Không</w:t>
            </w:r>
          </w:p>
        </w:tc>
        <w:tc>
          <w:tcPr>
            <w:tcW w:w="501" w:type="pct"/>
          </w:tcPr>
          <w:p w:rsidR="006C7D74" w:rsidRPr="00C471AF" w:rsidRDefault="006C7D74" w:rsidP="000C1D67">
            <w:pPr>
              <w:widowControl w:val="0"/>
              <w:autoSpaceDE w:val="0"/>
              <w:autoSpaceDN w:val="0"/>
              <w:adjustRightInd w:val="0"/>
              <w:spacing w:before="120"/>
              <w:jc w:val="center"/>
              <w:rPr>
                <w:sz w:val="20"/>
              </w:rPr>
            </w:pPr>
          </w:p>
        </w:tc>
      </w:tr>
    </w:tbl>
    <w:p w:rsidR="006C7D74" w:rsidRPr="00C471AF" w:rsidRDefault="006C7D74" w:rsidP="006C7D74">
      <w:pPr>
        <w:widowControl w:val="0"/>
        <w:autoSpaceDE w:val="0"/>
        <w:autoSpaceDN w:val="0"/>
        <w:adjustRightInd w:val="0"/>
        <w:spacing w:before="120"/>
        <w:rPr>
          <w:sz w:val="20"/>
          <w:szCs w:val="26"/>
        </w:rPr>
      </w:pPr>
      <w:r w:rsidRPr="00C471AF">
        <w:rPr>
          <w:i/>
          <w:iCs/>
          <w:sz w:val="20"/>
          <w:szCs w:val="26"/>
        </w:rPr>
        <w:t>Ghi chú: C: Chỉ tiêu chính, P: Chỉ tiêu phụ</w:t>
      </w:r>
    </w:p>
    <w:p w:rsidR="006C7D74" w:rsidRPr="00C471AF" w:rsidRDefault="006C7D74" w:rsidP="006C7D74">
      <w:pPr>
        <w:widowControl w:val="0"/>
        <w:autoSpaceDE w:val="0"/>
        <w:autoSpaceDN w:val="0"/>
        <w:adjustRightInd w:val="0"/>
        <w:spacing w:before="120"/>
        <w:rPr>
          <w:sz w:val="20"/>
          <w:szCs w:val="26"/>
        </w:rPr>
      </w:pPr>
      <w:r w:rsidRPr="00C471AF">
        <w:rPr>
          <w:sz w:val="20"/>
          <w:szCs w:val="26"/>
        </w:rPr>
        <w:lastRenderedPageBreak/>
        <w:t>- Nếu chỉ tiêu chính: câu trả lời “có” được 2 điểm</w:t>
      </w:r>
    </w:p>
    <w:p w:rsidR="006C7D74" w:rsidRPr="00C471AF" w:rsidRDefault="006C7D74" w:rsidP="006C7D74">
      <w:pPr>
        <w:widowControl w:val="0"/>
        <w:autoSpaceDE w:val="0"/>
        <w:autoSpaceDN w:val="0"/>
        <w:adjustRightInd w:val="0"/>
        <w:spacing w:before="120"/>
        <w:rPr>
          <w:sz w:val="20"/>
          <w:szCs w:val="26"/>
        </w:rPr>
      </w:pPr>
      <w:r w:rsidRPr="00C471AF">
        <w:rPr>
          <w:sz w:val="20"/>
          <w:szCs w:val="26"/>
        </w:rPr>
        <w:t>- Nếu chỉ tiêu phụ: câu trả lời “có” được 1 điểm</w:t>
      </w:r>
    </w:p>
    <w:p w:rsidR="006C7D74" w:rsidRPr="00C471AF" w:rsidRDefault="006C7D74" w:rsidP="006C7D74">
      <w:pPr>
        <w:widowControl w:val="0"/>
        <w:autoSpaceDE w:val="0"/>
        <w:autoSpaceDN w:val="0"/>
        <w:adjustRightInd w:val="0"/>
        <w:spacing w:before="120"/>
        <w:rPr>
          <w:sz w:val="20"/>
          <w:szCs w:val="26"/>
        </w:rPr>
      </w:pPr>
      <w:r w:rsidRPr="00C471AF">
        <w:rPr>
          <w:sz w:val="20"/>
          <w:szCs w:val="26"/>
        </w:rPr>
        <w:t>- Nếu câu trả lời “không” được 0 điểm</w:t>
      </w:r>
    </w:p>
    <w:p w:rsidR="006C7D74" w:rsidRPr="00C471AF" w:rsidRDefault="006C7D74" w:rsidP="006C7D74">
      <w:pPr>
        <w:widowControl w:val="0"/>
        <w:autoSpaceDE w:val="0"/>
        <w:autoSpaceDN w:val="0"/>
        <w:adjustRightInd w:val="0"/>
        <w:spacing w:before="120"/>
        <w:rPr>
          <w:sz w:val="20"/>
          <w:szCs w:val="26"/>
        </w:rPr>
      </w:pPr>
      <w:r w:rsidRPr="00C471AF">
        <w:rPr>
          <w:sz w:val="20"/>
          <w:szCs w:val="26"/>
        </w:rPr>
        <w:t>- Hiệu quả giám sát ADR của cơ sở khám bệnh, chữa bệnh được thể hiện thông qua tỷ lệ % điểm đạt được của các tiêu chí đánh giá A, B, C, D và E.</w:t>
      </w:r>
    </w:p>
    <w:p w:rsidR="00C82955" w:rsidRDefault="00C82955"/>
    <w:sectPr w:rsidR="00C82955" w:rsidSect="00C471AF">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D74"/>
    <w:rsid w:val="006C7D74"/>
    <w:rsid w:val="007E1000"/>
    <w:rsid w:val="00C82955"/>
    <w:rsid w:val="00D8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6ABCE0-D3A3-41C0-A317-787D9A66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D74"/>
    <w:pPr>
      <w:spacing w:before="0" w:after="0"/>
    </w:pPr>
    <w:rPr>
      <w:rFonts w:eastAsia="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THANHLONG</dc:creator>
  <cp:keywords/>
  <dc:description/>
  <cp:lastModifiedBy>THANHLONG</cp:lastModifiedBy>
  <cp:revision>1</cp:revision>
  <dcterms:created xsi:type="dcterms:W3CDTF">2025-10-07T15:20:00Z</dcterms:created>
  <dcterms:modified xsi:type="dcterms:W3CDTF">2025-10-07T15:21:00Z</dcterms:modified>
</cp:coreProperties>
</file>