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DE6" w:rsidRPr="00C471AF" w:rsidRDefault="000C2DE6" w:rsidP="000C2DE6">
      <w:pPr>
        <w:widowControl w:val="0"/>
        <w:autoSpaceDE w:val="0"/>
        <w:autoSpaceDN w:val="0"/>
        <w:adjustRightInd w:val="0"/>
        <w:spacing w:before="120"/>
        <w:jc w:val="center"/>
      </w:pPr>
      <w:bookmarkStart w:id="0" w:name="_GoBack"/>
      <w:bookmarkEnd w:id="0"/>
      <w:r w:rsidRPr="00C471AF">
        <w:rPr>
          <w:b/>
          <w:bCs/>
        </w:rPr>
        <w:t>Hướng dẫn điền mẫu báo cáo phản ứng có hại của thuốc</w:t>
      </w:r>
    </w:p>
    <w:p w:rsidR="000C2DE6" w:rsidRPr="00C471AF" w:rsidRDefault="000C2DE6" w:rsidP="000C2DE6">
      <w:pPr>
        <w:widowControl w:val="0"/>
        <w:autoSpaceDE w:val="0"/>
        <w:autoSpaceDN w:val="0"/>
        <w:adjustRightInd w:val="0"/>
        <w:spacing w:before="120"/>
        <w:jc w:val="both"/>
      </w:pPr>
      <w:r w:rsidRPr="00C471AF">
        <w:rPr>
          <w:b/>
          <w:bCs/>
          <w:i/>
          <w:iCs/>
        </w:rPr>
        <w:t>a) Nguyên tắc chung</w:t>
      </w:r>
    </w:p>
    <w:p w:rsidR="000C2DE6" w:rsidRPr="00C471AF" w:rsidRDefault="000C2DE6" w:rsidP="000C2DE6">
      <w:pPr>
        <w:widowControl w:val="0"/>
        <w:autoSpaceDE w:val="0"/>
        <w:autoSpaceDN w:val="0"/>
        <w:adjustRightInd w:val="0"/>
        <w:spacing w:before="120"/>
        <w:jc w:val="both"/>
      </w:pPr>
      <w:r w:rsidRPr="00C471AF">
        <w:t>- Hoàn thành mẫu báo cáo với đầy đủ thông tin nhất có được từ bệnh án.</w:t>
      </w:r>
    </w:p>
    <w:p w:rsidR="000C2DE6" w:rsidRPr="00C471AF" w:rsidRDefault="000C2DE6" w:rsidP="000C2DE6">
      <w:pPr>
        <w:widowControl w:val="0"/>
        <w:autoSpaceDE w:val="0"/>
        <w:autoSpaceDN w:val="0"/>
        <w:adjustRightInd w:val="0"/>
        <w:spacing w:before="120"/>
        <w:jc w:val="both"/>
      </w:pPr>
      <w:r w:rsidRPr="00C471AF">
        <w:t>- Sử dụng một bản báo cáo riêng cho mỗi người bệnh.</w:t>
      </w:r>
    </w:p>
    <w:p w:rsidR="000C2DE6" w:rsidRPr="00C471AF" w:rsidRDefault="000C2DE6" w:rsidP="000C2DE6">
      <w:pPr>
        <w:widowControl w:val="0"/>
        <w:autoSpaceDE w:val="0"/>
        <w:autoSpaceDN w:val="0"/>
        <w:adjustRightInd w:val="0"/>
        <w:spacing w:before="120"/>
        <w:jc w:val="both"/>
      </w:pPr>
      <w:r w:rsidRPr="00C471AF">
        <w:t>- Trường hợp dùng thuốc để điều trị ADR nhưng lại gây ra một ADR khác cho người bệnh nên tách thành một báo cáo riêng.</w:t>
      </w:r>
    </w:p>
    <w:p w:rsidR="000C2DE6" w:rsidRPr="00C471AF" w:rsidRDefault="000C2DE6" w:rsidP="000C2DE6">
      <w:pPr>
        <w:widowControl w:val="0"/>
        <w:autoSpaceDE w:val="0"/>
        <w:autoSpaceDN w:val="0"/>
        <w:adjustRightInd w:val="0"/>
        <w:spacing w:before="120"/>
        <w:jc w:val="both"/>
      </w:pPr>
      <w:r w:rsidRPr="00C471AF">
        <w:t>- Chữ viết rõ ràng, viết chính xác tên thuốc, hạn chế viết tắt.</w:t>
      </w:r>
    </w:p>
    <w:p w:rsidR="000C2DE6" w:rsidRPr="00C471AF" w:rsidRDefault="000C2DE6" w:rsidP="000C2DE6">
      <w:pPr>
        <w:widowControl w:val="0"/>
        <w:autoSpaceDE w:val="0"/>
        <w:autoSpaceDN w:val="0"/>
        <w:adjustRightInd w:val="0"/>
        <w:spacing w:before="120"/>
        <w:jc w:val="both"/>
      </w:pPr>
      <w:r w:rsidRPr="00C471AF">
        <w:t>- Điền thông tin chính xác, thống nhất, tránh mâu thuẫn giữa các thông tin trong báo cáo.</w:t>
      </w:r>
    </w:p>
    <w:p w:rsidR="000C2DE6" w:rsidRPr="00C471AF" w:rsidRDefault="000C2DE6" w:rsidP="000C2DE6">
      <w:pPr>
        <w:widowControl w:val="0"/>
        <w:autoSpaceDE w:val="0"/>
        <w:autoSpaceDN w:val="0"/>
        <w:adjustRightInd w:val="0"/>
        <w:spacing w:before="120"/>
        <w:jc w:val="both"/>
      </w:pPr>
      <w:r w:rsidRPr="00C471AF">
        <w:t>- Khuyến khích áp dụng công nghệ thông tin trong báo cáo ADR.</w:t>
      </w:r>
    </w:p>
    <w:p w:rsidR="000C2DE6" w:rsidRPr="00C471AF" w:rsidRDefault="000C2DE6" w:rsidP="000C2DE6">
      <w:pPr>
        <w:widowControl w:val="0"/>
        <w:autoSpaceDE w:val="0"/>
        <w:autoSpaceDN w:val="0"/>
        <w:adjustRightInd w:val="0"/>
        <w:spacing w:before="120"/>
        <w:jc w:val="both"/>
      </w:pPr>
      <w:r w:rsidRPr="00C471AF">
        <w:rPr>
          <w:b/>
          <w:bCs/>
          <w:i/>
          <w:iCs/>
        </w:rPr>
        <w:t>b) Mẫu báo cáo ADR</w:t>
      </w:r>
    </w:p>
    <w:p w:rsidR="000C2DE6" w:rsidRPr="00C471AF" w:rsidRDefault="000C2DE6" w:rsidP="000C2DE6">
      <w:pPr>
        <w:widowControl w:val="0"/>
        <w:autoSpaceDE w:val="0"/>
        <w:autoSpaceDN w:val="0"/>
        <w:adjustRightInd w:val="0"/>
        <w:spacing w:before="120"/>
        <w:jc w:val="both"/>
      </w:pPr>
      <w:r w:rsidRPr="00C471AF">
        <w:t xml:space="preserve">- Mẫu báo cáo ADR được ban hành kèm theo Thông tư số </w:t>
      </w:r>
      <w:bookmarkStart w:id="1" w:name="tvpllink_fwqfmmsruv"/>
      <w:r w:rsidRPr="00C471AF">
        <w:t>23/2011/TT- BYT</w:t>
      </w:r>
      <w:bookmarkEnd w:id="1"/>
      <w:r w:rsidRPr="00C471AF">
        <w:t xml:space="preserve"> ngày 10 tháng 6 năm 2011 về Hướng dẫn sử dụng thuốc trong các cơ sở y tế có giường bệnh (</w:t>
      </w:r>
      <w:r w:rsidRPr="00C471AF">
        <w:rPr>
          <w:i/>
          <w:iCs/>
        </w:rPr>
        <w:t xml:space="preserve">xem </w:t>
      </w:r>
      <w:bookmarkStart w:id="2" w:name="bieumau_pl_03"/>
      <w:r w:rsidRPr="00C471AF">
        <w:rPr>
          <w:i/>
          <w:iCs/>
        </w:rPr>
        <w:t>Phụ lục 3</w:t>
      </w:r>
      <w:bookmarkEnd w:id="2"/>
      <w:r w:rsidRPr="00C471AF">
        <w:t>).</w:t>
      </w:r>
    </w:p>
    <w:p w:rsidR="000C2DE6" w:rsidRPr="00C471AF" w:rsidRDefault="000C2DE6" w:rsidP="000C2DE6">
      <w:pPr>
        <w:widowControl w:val="0"/>
        <w:autoSpaceDE w:val="0"/>
        <w:autoSpaceDN w:val="0"/>
        <w:adjustRightInd w:val="0"/>
        <w:spacing w:before="120"/>
        <w:jc w:val="both"/>
      </w:pPr>
      <w:r w:rsidRPr="00C471AF">
        <w:t>- Đối với các hoạt động phát hiện ADR thông qua giám sát tích cực, có thể sử dụng mẫu báo cáo đã xây dựng riêng trong hoạt động đó, tuy nhiên vẫn phải đảm bảo có đầy đủ các thông tin tối thiểu cần điền được liệt kê trong mục 3.4.4.c của Hướng dẫn này.</w:t>
      </w:r>
    </w:p>
    <w:p w:rsidR="000C2DE6" w:rsidRPr="00C471AF" w:rsidRDefault="000C2DE6" w:rsidP="000C2DE6">
      <w:pPr>
        <w:widowControl w:val="0"/>
        <w:autoSpaceDE w:val="0"/>
        <w:autoSpaceDN w:val="0"/>
        <w:adjustRightInd w:val="0"/>
        <w:spacing w:before="120"/>
        <w:jc w:val="both"/>
      </w:pPr>
      <w:r w:rsidRPr="00C471AF">
        <w:rPr>
          <w:b/>
          <w:bCs/>
          <w:i/>
          <w:iCs/>
        </w:rPr>
        <w:t>c) Các thông tin tối thiểu cần điền trong mẫu báo cáo ADR</w:t>
      </w:r>
    </w:p>
    <w:p w:rsidR="000C2DE6" w:rsidRPr="00C471AF" w:rsidRDefault="000C2DE6" w:rsidP="000C2DE6">
      <w:pPr>
        <w:widowControl w:val="0"/>
        <w:autoSpaceDE w:val="0"/>
        <w:autoSpaceDN w:val="0"/>
        <w:adjustRightInd w:val="0"/>
        <w:spacing w:before="120"/>
        <w:jc w:val="both"/>
      </w:pPr>
      <w:r w:rsidRPr="00C471AF">
        <w:t>- Thông tin về người bệnh: họ và tên, tuổi hoặc ngày sinh, giới tính.</w:t>
      </w:r>
    </w:p>
    <w:p w:rsidR="000C2DE6" w:rsidRPr="00C471AF" w:rsidRDefault="000C2DE6" w:rsidP="000C2DE6">
      <w:pPr>
        <w:widowControl w:val="0"/>
        <w:autoSpaceDE w:val="0"/>
        <w:autoSpaceDN w:val="0"/>
        <w:adjustRightInd w:val="0"/>
        <w:spacing w:before="120"/>
        <w:jc w:val="both"/>
      </w:pPr>
      <w:r w:rsidRPr="00C471AF">
        <w:t>- Thông tin về phản ứng có hại: mô tả chi tiết biểu hiện ADR, ngày xuất hiện phản ứng, diễn biến ADR sau khi xử trí (bao gồm diễn biến sau khi ngừng thuốc hoặc giảm liều thuốc hoặc tái sử dụng thuốc nghi ngờ).</w:t>
      </w:r>
    </w:p>
    <w:p w:rsidR="000C2DE6" w:rsidRPr="00C471AF" w:rsidRDefault="000C2DE6" w:rsidP="000C2DE6">
      <w:pPr>
        <w:widowControl w:val="0"/>
        <w:autoSpaceDE w:val="0"/>
        <w:autoSpaceDN w:val="0"/>
        <w:adjustRightInd w:val="0"/>
        <w:spacing w:before="120"/>
        <w:jc w:val="both"/>
      </w:pPr>
      <w:r w:rsidRPr="00C471AF">
        <w:t>- Thông tin về thuốc nghi ngờ: tên thuốc nghi ngờ, liều dùng, đường dùng, lý do sử dụng thuốc, ngày và thời điểm bắt đầu dùng thuốc.</w:t>
      </w:r>
    </w:p>
    <w:p w:rsidR="000C2DE6" w:rsidRPr="00C471AF" w:rsidRDefault="000C2DE6" w:rsidP="000C2DE6">
      <w:pPr>
        <w:widowControl w:val="0"/>
        <w:autoSpaceDE w:val="0"/>
        <w:autoSpaceDN w:val="0"/>
        <w:adjustRightInd w:val="0"/>
        <w:spacing w:before="120"/>
        <w:jc w:val="both"/>
      </w:pPr>
      <w:r w:rsidRPr="00C471AF">
        <w:t>- Thông tin về người và đơn vị báo cáo: tên đơn vị báo cáo, họ và tên người báo cáo, chức vụ, số điện thoại liên lạc hoặc địa chỉ email (nếu có).</w:t>
      </w:r>
    </w:p>
    <w:p w:rsidR="000C2DE6" w:rsidRPr="00C471AF" w:rsidRDefault="000C2DE6" w:rsidP="000C2DE6">
      <w:pPr>
        <w:widowControl w:val="0"/>
        <w:autoSpaceDE w:val="0"/>
        <w:autoSpaceDN w:val="0"/>
        <w:adjustRightInd w:val="0"/>
        <w:spacing w:before="120"/>
        <w:jc w:val="both"/>
      </w:pPr>
      <w:r w:rsidRPr="00C471AF">
        <w:t>- Với các thông tin còn lại trong mẫu báo cáo, khuyến khích nhân viên y tế thu thập, bổ sung tối đa thông tin.</w:t>
      </w:r>
    </w:p>
    <w:p w:rsidR="000C2DE6" w:rsidRPr="00C471AF" w:rsidRDefault="000C2DE6" w:rsidP="000C2DE6">
      <w:pPr>
        <w:widowControl w:val="0"/>
        <w:autoSpaceDE w:val="0"/>
        <w:autoSpaceDN w:val="0"/>
        <w:adjustRightInd w:val="0"/>
        <w:spacing w:before="120"/>
        <w:jc w:val="both"/>
      </w:pPr>
      <w:r w:rsidRPr="00C471AF">
        <w:rPr>
          <w:b/>
          <w:bCs/>
          <w:i/>
          <w:iCs/>
        </w:rPr>
        <w:t>d) Hướng dẫn chi tiết các thông tin cần điền trong báo cáo ADR</w:t>
      </w:r>
    </w:p>
    <w:p w:rsidR="000C2DE6" w:rsidRPr="00C471AF" w:rsidRDefault="000C2DE6" w:rsidP="000C2DE6">
      <w:pPr>
        <w:widowControl w:val="0"/>
        <w:autoSpaceDE w:val="0"/>
        <w:autoSpaceDN w:val="0"/>
        <w:adjustRightInd w:val="0"/>
        <w:spacing w:before="120"/>
        <w:jc w:val="both"/>
      </w:pPr>
      <w:r w:rsidRPr="00C471AF">
        <w:rPr>
          <w:b/>
          <w:bCs/>
          <w:i/>
          <w:iCs/>
        </w:rPr>
        <w:t>- Thông tin hành chính</w:t>
      </w:r>
    </w:p>
    <w:p w:rsidR="000C2DE6" w:rsidRPr="00C471AF" w:rsidRDefault="000C2DE6" w:rsidP="000C2DE6">
      <w:pPr>
        <w:widowControl w:val="0"/>
        <w:autoSpaceDE w:val="0"/>
        <w:autoSpaceDN w:val="0"/>
        <w:adjustRightInd w:val="0"/>
        <w:spacing w:before="120"/>
        <w:jc w:val="both"/>
      </w:pPr>
      <w:r w:rsidRPr="00C471AF">
        <w:t>+ Nơi báo cáo: Ghi tên khoa/phòng điều trị, tên cơ sở khám bệnh, chữa bệnh hay nơi phát hiện phản ứng và tên tỉnh/thành phố.</w:t>
      </w:r>
    </w:p>
    <w:p w:rsidR="000C2DE6" w:rsidRPr="00C471AF" w:rsidRDefault="000C2DE6" w:rsidP="000C2DE6">
      <w:pPr>
        <w:widowControl w:val="0"/>
        <w:autoSpaceDE w:val="0"/>
        <w:autoSpaceDN w:val="0"/>
        <w:adjustRightInd w:val="0"/>
        <w:spacing w:before="120"/>
        <w:jc w:val="both"/>
      </w:pPr>
      <w:r w:rsidRPr="00C471AF">
        <w:t>+ Mã số báo cáo của đơn vị: do cơ sở khám bệnh, chữa bệnh tự quy định để thuận tiện cho việc theo dõi và quản lý báo cáo ADR. Đơn vị cũng có thể sử dụng mã số bệnh án của người bệnh để thay thế mã số báo cáo này.</w:t>
      </w:r>
    </w:p>
    <w:p w:rsidR="000C2DE6" w:rsidRPr="00C471AF" w:rsidRDefault="000C2DE6" w:rsidP="000C2DE6">
      <w:pPr>
        <w:widowControl w:val="0"/>
        <w:autoSpaceDE w:val="0"/>
        <w:autoSpaceDN w:val="0"/>
        <w:adjustRightInd w:val="0"/>
        <w:spacing w:before="120"/>
        <w:jc w:val="both"/>
      </w:pPr>
      <w:r w:rsidRPr="00C471AF">
        <w:t>+ Mã số báo cáo (do Trung tâm Quốc gia về Thông tin thuốc và Theo dõi phản ứng có hại của thuốc quản lý): phần này do Trung tâm Quốc gia hoặc Trung tâm khu vực điền sau khi nhận được báo cáo.</w:t>
      </w:r>
    </w:p>
    <w:p w:rsidR="000C2DE6" w:rsidRPr="00C471AF" w:rsidRDefault="000C2DE6" w:rsidP="000C2DE6">
      <w:pPr>
        <w:widowControl w:val="0"/>
        <w:autoSpaceDE w:val="0"/>
        <w:autoSpaceDN w:val="0"/>
        <w:adjustRightInd w:val="0"/>
        <w:spacing w:before="120"/>
        <w:jc w:val="both"/>
      </w:pPr>
      <w:r w:rsidRPr="00C471AF">
        <w:rPr>
          <w:b/>
          <w:bCs/>
          <w:i/>
          <w:iCs/>
        </w:rPr>
        <w:t>- Thông tin về người bệnh</w:t>
      </w:r>
    </w:p>
    <w:p w:rsidR="000C2DE6" w:rsidRPr="00C471AF" w:rsidRDefault="000C2DE6" w:rsidP="000C2DE6">
      <w:pPr>
        <w:widowControl w:val="0"/>
        <w:autoSpaceDE w:val="0"/>
        <w:autoSpaceDN w:val="0"/>
        <w:adjustRightInd w:val="0"/>
        <w:spacing w:before="120"/>
        <w:jc w:val="both"/>
      </w:pPr>
      <w:r w:rsidRPr="00C471AF">
        <w:t>+ Mục 1: điền họ và tên của người bệnh.</w:t>
      </w:r>
    </w:p>
    <w:p w:rsidR="000C2DE6" w:rsidRPr="00C471AF" w:rsidRDefault="000C2DE6" w:rsidP="000C2DE6">
      <w:pPr>
        <w:widowControl w:val="0"/>
        <w:autoSpaceDE w:val="0"/>
        <w:autoSpaceDN w:val="0"/>
        <w:adjustRightInd w:val="0"/>
        <w:spacing w:before="120"/>
        <w:jc w:val="both"/>
      </w:pPr>
      <w:r w:rsidRPr="00C471AF">
        <w:lastRenderedPageBreak/>
        <w:t>+ Mục 2: điền thông tin tuổi của người bệnh theo một trong hai cách sau:</w:t>
      </w:r>
    </w:p>
    <w:p w:rsidR="000C2DE6" w:rsidRPr="00C471AF" w:rsidRDefault="000C2DE6" w:rsidP="000C2DE6">
      <w:pPr>
        <w:widowControl w:val="0"/>
        <w:autoSpaceDE w:val="0"/>
        <w:autoSpaceDN w:val="0"/>
        <w:adjustRightInd w:val="0"/>
        <w:spacing w:before="120"/>
        <w:jc w:val="both"/>
      </w:pPr>
      <w:r w:rsidRPr="00C471AF">
        <w:t>● Cách 1: Ngày sinh: điền ngày/tháng/năm sinh của người bệnh hoặc chỉ điền “Năm sinh” trong trường hợp không rõ ngày, tháng.</w:t>
      </w:r>
    </w:p>
    <w:p w:rsidR="000C2DE6" w:rsidRPr="00C471AF" w:rsidRDefault="000C2DE6" w:rsidP="000C2DE6">
      <w:pPr>
        <w:widowControl w:val="0"/>
        <w:autoSpaceDE w:val="0"/>
        <w:autoSpaceDN w:val="0"/>
        <w:adjustRightInd w:val="0"/>
        <w:spacing w:before="120"/>
        <w:jc w:val="both"/>
      </w:pPr>
      <w:r w:rsidRPr="00C471AF">
        <w:t>● Cách 2: Tuổi: điền tuổi của người bệnh cho tới thời điểm xảy ra ADR.</w:t>
      </w:r>
    </w:p>
    <w:p w:rsidR="000C2DE6" w:rsidRPr="00C471AF" w:rsidRDefault="000C2DE6" w:rsidP="000C2DE6">
      <w:pPr>
        <w:widowControl w:val="0"/>
        <w:autoSpaceDE w:val="0"/>
        <w:autoSpaceDN w:val="0"/>
        <w:adjustRightInd w:val="0"/>
        <w:spacing w:before="120"/>
        <w:jc w:val="both"/>
      </w:pPr>
      <w:r w:rsidRPr="00C471AF">
        <w:t>Trường hợp bệnh nhi dưới 1 tuổi và bệnh nhi sơ sinh: cần ghi rõ tháng tuổi hoặc ngày tuổi.</w:t>
      </w:r>
    </w:p>
    <w:p w:rsidR="000C2DE6" w:rsidRPr="00C471AF" w:rsidRDefault="000C2DE6" w:rsidP="000C2DE6">
      <w:pPr>
        <w:widowControl w:val="0"/>
        <w:autoSpaceDE w:val="0"/>
        <w:autoSpaceDN w:val="0"/>
        <w:adjustRightInd w:val="0"/>
        <w:spacing w:before="120"/>
        <w:jc w:val="both"/>
      </w:pPr>
      <w:r w:rsidRPr="00C471AF">
        <w:t>+ Mục 3: đánh dấu (√) vào một trong hai ô lựa chọn Nam hoặc Nữ.</w:t>
      </w:r>
    </w:p>
    <w:p w:rsidR="000C2DE6" w:rsidRPr="00C471AF" w:rsidRDefault="000C2DE6" w:rsidP="000C2DE6">
      <w:pPr>
        <w:widowControl w:val="0"/>
        <w:autoSpaceDE w:val="0"/>
        <w:autoSpaceDN w:val="0"/>
        <w:adjustRightInd w:val="0"/>
        <w:spacing w:before="120"/>
        <w:jc w:val="both"/>
      </w:pPr>
      <w:r w:rsidRPr="00C471AF">
        <w:t>+ Mục 4: điền cân nặng của người bệnh (nếu có thông tin).</w:t>
      </w:r>
    </w:p>
    <w:p w:rsidR="000C2DE6" w:rsidRPr="00C471AF" w:rsidRDefault="000C2DE6" w:rsidP="000C2DE6">
      <w:pPr>
        <w:widowControl w:val="0"/>
        <w:autoSpaceDE w:val="0"/>
        <w:autoSpaceDN w:val="0"/>
        <w:adjustRightInd w:val="0"/>
        <w:spacing w:before="120"/>
        <w:jc w:val="both"/>
      </w:pPr>
      <w:r w:rsidRPr="00C471AF">
        <w:rPr>
          <w:b/>
          <w:bCs/>
          <w:i/>
          <w:iCs/>
        </w:rPr>
        <w:t>- Thông tin về phản ứng có hại</w:t>
      </w:r>
    </w:p>
    <w:p w:rsidR="000C2DE6" w:rsidRPr="00C471AF" w:rsidRDefault="000C2DE6" w:rsidP="000C2DE6">
      <w:pPr>
        <w:widowControl w:val="0"/>
        <w:autoSpaceDE w:val="0"/>
        <w:autoSpaceDN w:val="0"/>
        <w:adjustRightInd w:val="0"/>
        <w:spacing w:before="120"/>
        <w:jc w:val="both"/>
      </w:pPr>
      <w:r w:rsidRPr="00C471AF">
        <w:t>+ Mục 5: điền thông tin thời điểm bắt đầu xuất hiện phản ứng có hại trên người bệnh theo ngày/tháng/năm.</w:t>
      </w:r>
    </w:p>
    <w:p w:rsidR="000C2DE6" w:rsidRPr="00C471AF" w:rsidRDefault="000C2DE6" w:rsidP="000C2DE6">
      <w:pPr>
        <w:widowControl w:val="0"/>
        <w:autoSpaceDE w:val="0"/>
        <w:autoSpaceDN w:val="0"/>
        <w:adjustRightInd w:val="0"/>
        <w:spacing w:before="120"/>
        <w:jc w:val="both"/>
      </w:pPr>
      <w:r w:rsidRPr="00C471AF">
        <w:t>+ Mục 6: điền khoảng thời gian từ thời điểm lần dùng cuối cùng của thuốc nghi ngờ gây ADR tới thời điểm xuất hiện phản ứng có hại.</w:t>
      </w:r>
    </w:p>
    <w:p w:rsidR="000C2DE6" w:rsidRPr="00C471AF" w:rsidRDefault="000C2DE6" w:rsidP="000C2DE6">
      <w:pPr>
        <w:widowControl w:val="0"/>
        <w:autoSpaceDE w:val="0"/>
        <w:autoSpaceDN w:val="0"/>
        <w:adjustRightInd w:val="0"/>
        <w:spacing w:before="120"/>
        <w:jc w:val="both"/>
      </w:pPr>
      <w:r w:rsidRPr="00C471AF">
        <w:t>+ Mục 7: mô tả biểu hiện ADR. Chú ý mô tả rõ các dấu hiệu, triệu chứng bất thường cụ thể xuất hiện trên người bệnh, diễn biến lâm sàng của các triệu chứng bất thường này, đặc biệt khi giảm liều/ngừng sử dụng hay tái sử dụng thuốc nghi ngờ gây phản ứng. Không ghi chung chung như: phản ứng dịch truyền, dị ứng...</w:t>
      </w:r>
    </w:p>
    <w:p w:rsidR="000C2DE6" w:rsidRPr="00C471AF" w:rsidRDefault="000C2DE6" w:rsidP="000C2DE6">
      <w:pPr>
        <w:widowControl w:val="0"/>
        <w:autoSpaceDE w:val="0"/>
        <w:autoSpaceDN w:val="0"/>
        <w:adjustRightInd w:val="0"/>
        <w:spacing w:before="120"/>
        <w:jc w:val="both"/>
      </w:pPr>
      <w:r w:rsidRPr="00C471AF">
        <w:t>+ Mục 8: điền kết quả các xét nghiệm cận lâm sàng, đặc biệt lưu ý các kết quả xét nghiệm bất thường có liên quan đến phản ứng và diễn biến của các kết quả này trong quá trình xử trí ADR.</w:t>
      </w:r>
    </w:p>
    <w:p w:rsidR="000C2DE6" w:rsidRPr="00C471AF" w:rsidRDefault="000C2DE6" w:rsidP="000C2DE6">
      <w:pPr>
        <w:widowControl w:val="0"/>
        <w:autoSpaceDE w:val="0"/>
        <w:autoSpaceDN w:val="0"/>
        <w:adjustRightInd w:val="0"/>
        <w:spacing w:before="120"/>
        <w:jc w:val="both"/>
      </w:pPr>
      <w:r w:rsidRPr="00C471AF">
        <w:rPr>
          <w:b/>
          <w:bCs/>
          <w:i/>
          <w:iCs/>
        </w:rPr>
        <w:t>Ghi chú</w:t>
      </w:r>
      <w:r w:rsidRPr="00C471AF">
        <w:rPr>
          <w:b/>
          <w:bCs/>
        </w:rPr>
        <w:t xml:space="preserve">: </w:t>
      </w:r>
      <w:r w:rsidRPr="00C471AF">
        <w:t>Mục 7 và mục 8 nên được nhân viên y tế trực tiếp chăm sóc và điều trị người bệnh điền hoặc kiểm tra lại thông tin nếu thông tin được điền bởi các nhân viên y tế khác.</w:t>
      </w:r>
    </w:p>
    <w:p w:rsidR="000C2DE6" w:rsidRPr="00C471AF" w:rsidRDefault="000C2DE6" w:rsidP="000C2DE6">
      <w:pPr>
        <w:widowControl w:val="0"/>
        <w:autoSpaceDE w:val="0"/>
        <w:autoSpaceDN w:val="0"/>
        <w:adjustRightInd w:val="0"/>
        <w:spacing w:before="120"/>
        <w:jc w:val="both"/>
      </w:pPr>
      <w:r w:rsidRPr="00C471AF">
        <w:t>+ Mục 9: điền thông tin về tiền sử của người bệnh (nếu khai thác được thông tin) bao gồm: tiền sử xảy ra ADR (người bệnh đã từng gặp phản ứng có hại tương tự trước đó với thuốc nghi ngờ gây ADR hoặc các thuốc cùng nhóm hay chưa?), tiền sử dị ứng, tình trạng thai nghén, nghiện thuốc lá, nghiện rượu, bệnh lý gan, thận (nếu có) của người bệnh.</w:t>
      </w:r>
    </w:p>
    <w:p w:rsidR="000C2DE6" w:rsidRPr="00C471AF" w:rsidRDefault="000C2DE6" w:rsidP="000C2DE6">
      <w:pPr>
        <w:widowControl w:val="0"/>
        <w:autoSpaceDE w:val="0"/>
        <w:autoSpaceDN w:val="0"/>
        <w:adjustRightInd w:val="0"/>
        <w:spacing w:before="120"/>
        <w:jc w:val="both"/>
      </w:pPr>
      <w:r w:rsidRPr="00C471AF">
        <w:t>+ Mục 10: điền thông tin các biện pháp đã thực hiện để xử trí phản ứng bao gồm: biện pháp xử trí, thuốc điều trị triệu chứng, thuốc điều trị hỗ trợ và các biện pháp đảm bảo chức năng sống cho người bệnh.</w:t>
      </w:r>
    </w:p>
    <w:p w:rsidR="000C2DE6" w:rsidRPr="00C471AF" w:rsidRDefault="000C2DE6" w:rsidP="000C2DE6">
      <w:pPr>
        <w:widowControl w:val="0"/>
        <w:autoSpaceDE w:val="0"/>
        <w:autoSpaceDN w:val="0"/>
        <w:adjustRightInd w:val="0"/>
        <w:spacing w:before="120"/>
        <w:jc w:val="both"/>
      </w:pPr>
      <w:r w:rsidRPr="00C471AF">
        <w:t>+ Mục 11: đánh dấu (√) vào một hoặc nhiều ô thể hiện mức độ nghiêm trọng của phản ứng có hại (theo nhận định của người báo cáo) bao gồm: tử vong, đe dọa tính mạng, nhập viện/kéo dài thời gian nằm viện, tàn tật vĩnh viễn/nặng nề, dị tật thai nhi. Trường hợp người báo cáo nhận định phản ứng ở mức độ nhẹ, đánh dấu vào ô “Không nghiêm trọng”.</w:t>
      </w:r>
    </w:p>
    <w:p w:rsidR="000C2DE6" w:rsidRPr="00C471AF" w:rsidRDefault="000C2DE6" w:rsidP="000C2DE6">
      <w:pPr>
        <w:widowControl w:val="0"/>
        <w:autoSpaceDE w:val="0"/>
        <w:autoSpaceDN w:val="0"/>
        <w:adjustRightInd w:val="0"/>
        <w:spacing w:before="120"/>
        <w:jc w:val="both"/>
      </w:pPr>
      <w:r w:rsidRPr="00C471AF">
        <w:t>+ Mục 12: đánh dấu (√) vào một trong các ô tương ứng thể hiện kết quả sau khi xử trí ADR bao gồm: tử vong do ADR, tử vong không liên quan đến thuốc, chưa hồi phục, đang hồi phục, hồi phục có di chứng, hồi phục không để lại di chứng.</w:t>
      </w:r>
    </w:p>
    <w:p w:rsidR="000C2DE6" w:rsidRPr="00C471AF" w:rsidRDefault="000C2DE6" w:rsidP="000C2DE6">
      <w:pPr>
        <w:widowControl w:val="0"/>
        <w:autoSpaceDE w:val="0"/>
        <w:autoSpaceDN w:val="0"/>
        <w:adjustRightInd w:val="0"/>
        <w:spacing w:before="120"/>
        <w:jc w:val="both"/>
      </w:pPr>
      <w:r w:rsidRPr="00C471AF">
        <w:rPr>
          <w:b/>
          <w:bCs/>
          <w:i/>
          <w:iCs/>
        </w:rPr>
        <w:t>- Thông tin về thuốc nghi ngờ gây ADR</w:t>
      </w:r>
    </w:p>
    <w:p w:rsidR="000C2DE6" w:rsidRPr="00C471AF" w:rsidRDefault="000C2DE6" w:rsidP="000C2DE6">
      <w:pPr>
        <w:widowControl w:val="0"/>
        <w:autoSpaceDE w:val="0"/>
        <w:autoSpaceDN w:val="0"/>
        <w:adjustRightInd w:val="0"/>
        <w:spacing w:before="120"/>
        <w:jc w:val="both"/>
      </w:pPr>
      <w:r w:rsidRPr="00C471AF">
        <w:t>+ Mục 13: Thông tin về thuốc nghi ngờ gây ADR</w:t>
      </w:r>
    </w:p>
    <w:p w:rsidR="000C2DE6" w:rsidRPr="00C471AF" w:rsidRDefault="000C2DE6" w:rsidP="000C2DE6">
      <w:pPr>
        <w:widowControl w:val="0"/>
        <w:autoSpaceDE w:val="0"/>
        <w:autoSpaceDN w:val="0"/>
        <w:adjustRightInd w:val="0"/>
        <w:spacing w:before="120"/>
        <w:jc w:val="both"/>
      </w:pPr>
      <w:r w:rsidRPr="00C471AF">
        <w:t xml:space="preserve">● Ghi rõ ràng, đầy đủ các mục yêu cầu bao gồm: tên thuốc, liều dùng, đường dùng, lý do sử dụng thuốc cho người bệnh, ngày và thời gian bắt đầu dùng thuốc, ngày và thời gian kết thúc dùng thuốc; nhà sản xuất, số lô. </w:t>
      </w:r>
      <w:r w:rsidRPr="00C471AF">
        <w:rPr>
          <w:i/>
          <w:iCs/>
        </w:rPr>
        <w:t>Chú ý: không nhầm lẫn giữa “lý do sử dụng thuốc” và “biểu hiện ADR”.</w:t>
      </w:r>
    </w:p>
    <w:p w:rsidR="000C2DE6" w:rsidRPr="00C471AF" w:rsidRDefault="000C2DE6" w:rsidP="000C2DE6">
      <w:pPr>
        <w:widowControl w:val="0"/>
        <w:autoSpaceDE w:val="0"/>
        <w:autoSpaceDN w:val="0"/>
        <w:adjustRightInd w:val="0"/>
        <w:spacing w:before="120"/>
        <w:jc w:val="both"/>
      </w:pPr>
      <w:r w:rsidRPr="00C471AF">
        <w:t xml:space="preserve">● Mẫu báo cáo để khoảng trống để ghi tối đa 4 thuốc nghi ngờ gây ra phản ứng. Nếu số lượng </w:t>
      </w:r>
      <w:r w:rsidRPr="00C471AF">
        <w:lastRenderedPageBreak/>
        <w:t>thuốc nghi ngờ nhiều hơn, người báo cáo có thể gửi kèm một bản chú thích bổ sung. Tên thuốc nên được ghi bằng cả tên biệt dược và tên chung quốc tế (INN).</w:t>
      </w:r>
    </w:p>
    <w:p w:rsidR="000C2DE6" w:rsidRPr="00C471AF" w:rsidRDefault="000C2DE6" w:rsidP="000C2DE6">
      <w:pPr>
        <w:widowControl w:val="0"/>
        <w:autoSpaceDE w:val="0"/>
        <w:autoSpaceDN w:val="0"/>
        <w:adjustRightInd w:val="0"/>
        <w:spacing w:before="120"/>
        <w:jc w:val="both"/>
      </w:pPr>
      <w:r w:rsidRPr="00C471AF">
        <w:t>+ Mục 14: diễn biến ADR sau khi ngừng thuốc hoặc giảm liều thuốc nghi ngờ (đánh dấu (√) vào từng dòng theo thứ tự tương ứng với thuốc nghi ngờ được liệt kê ở mục số 13).</w:t>
      </w:r>
    </w:p>
    <w:p w:rsidR="000C2DE6" w:rsidRPr="00C471AF" w:rsidRDefault="000C2DE6" w:rsidP="000C2DE6">
      <w:pPr>
        <w:widowControl w:val="0"/>
        <w:autoSpaceDE w:val="0"/>
        <w:autoSpaceDN w:val="0"/>
        <w:adjustRightInd w:val="0"/>
        <w:spacing w:before="120"/>
        <w:jc w:val="both"/>
      </w:pPr>
      <w:r w:rsidRPr="00C471AF">
        <w:t>● Trường hợp vẫn duy trì sử dụng thuốc nghi ngờ: đánh dấu (√) vào ô “Không ngừng/giảm liều”.</w:t>
      </w:r>
    </w:p>
    <w:p w:rsidR="000C2DE6" w:rsidRPr="00C471AF" w:rsidRDefault="000C2DE6" w:rsidP="000C2DE6">
      <w:pPr>
        <w:widowControl w:val="0"/>
        <w:autoSpaceDE w:val="0"/>
        <w:autoSpaceDN w:val="0"/>
        <w:adjustRightInd w:val="0"/>
        <w:spacing w:before="120"/>
        <w:jc w:val="both"/>
      </w:pPr>
      <w:r w:rsidRPr="00C471AF">
        <w:t>● Trường hợp ngừng thuốc hoặc giảm liều thuốc: đánh dấu (√) vào một trong hai lựa chọn “□ Có/ □ Không” để xác định ADR có cải thiện sau khi ngừng thuốc hoặc giảm liều hay không.</w:t>
      </w:r>
    </w:p>
    <w:p w:rsidR="000C2DE6" w:rsidRPr="00C471AF" w:rsidRDefault="000C2DE6" w:rsidP="000C2DE6">
      <w:pPr>
        <w:widowControl w:val="0"/>
        <w:autoSpaceDE w:val="0"/>
        <w:autoSpaceDN w:val="0"/>
        <w:adjustRightInd w:val="0"/>
        <w:spacing w:before="120"/>
        <w:jc w:val="both"/>
      </w:pPr>
      <w:r w:rsidRPr="00C471AF">
        <w:t>● Trường hợp không có thông tin về diễn biến ADR sau khi ngừng thuốc hoặc giảm liều thuốc nghi ngờ thì đánh dấu (√) vào ô “Không có thông tin”.</w:t>
      </w:r>
    </w:p>
    <w:p w:rsidR="000C2DE6" w:rsidRPr="00C471AF" w:rsidRDefault="000C2DE6" w:rsidP="000C2DE6">
      <w:pPr>
        <w:widowControl w:val="0"/>
        <w:autoSpaceDE w:val="0"/>
        <w:autoSpaceDN w:val="0"/>
        <w:adjustRightInd w:val="0"/>
        <w:spacing w:before="120"/>
        <w:jc w:val="both"/>
      </w:pPr>
      <w:r w:rsidRPr="00C471AF">
        <w:t>+ Mục 15: diễn biến ADR sau khi tái sử dụng lại thuốc nghi ngờ (đánh dấu (√) vào từng dòng theo thứ tự tương ứng với thuốc nghi ngờ được liệt kê ở mục số 13).</w:t>
      </w:r>
    </w:p>
    <w:p w:rsidR="000C2DE6" w:rsidRPr="00C471AF" w:rsidRDefault="000C2DE6" w:rsidP="000C2DE6">
      <w:pPr>
        <w:widowControl w:val="0"/>
        <w:autoSpaceDE w:val="0"/>
        <w:autoSpaceDN w:val="0"/>
        <w:adjustRightInd w:val="0"/>
        <w:spacing w:before="120"/>
        <w:jc w:val="both"/>
      </w:pPr>
      <w:r w:rsidRPr="00C471AF">
        <w:t>● Trường hợp không tái sử dụng lại thuốc nghi ngờ: đánh dấu (√) vào ô “Không tái sử dụng”.</w:t>
      </w:r>
    </w:p>
    <w:p w:rsidR="000C2DE6" w:rsidRPr="00C471AF" w:rsidRDefault="000C2DE6" w:rsidP="000C2DE6">
      <w:pPr>
        <w:widowControl w:val="0"/>
        <w:autoSpaceDE w:val="0"/>
        <w:autoSpaceDN w:val="0"/>
        <w:adjustRightInd w:val="0"/>
        <w:spacing w:before="120"/>
        <w:jc w:val="both"/>
      </w:pPr>
      <w:r w:rsidRPr="00C471AF">
        <w:t>● Trường hợp tái sử dụng lại thuốc nghi ngờ: đánh dấu (√) vào một trong hai lựa chọn “□ Có/ □ Không” để xác định ADR có xuất hiện lại sau khi tái sử dụng thuốc hay không.</w:t>
      </w:r>
    </w:p>
    <w:p w:rsidR="000C2DE6" w:rsidRPr="00C471AF" w:rsidRDefault="000C2DE6" w:rsidP="000C2DE6">
      <w:pPr>
        <w:widowControl w:val="0"/>
        <w:autoSpaceDE w:val="0"/>
        <w:autoSpaceDN w:val="0"/>
        <w:adjustRightInd w:val="0"/>
        <w:spacing w:before="120"/>
        <w:jc w:val="both"/>
      </w:pPr>
      <w:r w:rsidRPr="00C471AF">
        <w:t>● Trường hợp không có thông tin về diễn biến ADR sau khi tái sử dụng lại thuốc nghi ngờ thì đánh dấu (√) vào ô “Không có thông tin”</w:t>
      </w:r>
    </w:p>
    <w:p w:rsidR="000C2DE6" w:rsidRPr="00C471AF" w:rsidRDefault="000C2DE6" w:rsidP="000C2DE6">
      <w:pPr>
        <w:widowControl w:val="0"/>
        <w:autoSpaceDE w:val="0"/>
        <w:autoSpaceDN w:val="0"/>
        <w:adjustRightInd w:val="0"/>
        <w:spacing w:before="120"/>
        <w:jc w:val="both"/>
      </w:pPr>
      <w:r w:rsidRPr="00C471AF">
        <w:rPr>
          <w:b/>
          <w:bCs/>
          <w:i/>
          <w:iCs/>
        </w:rPr>
        <w:t xml:space="preserve">Chú ý: </w:t>
      </w:r>
      <w:r w:rsidRPr="00C471AF">
        <w:t>Cần thận trọng khi tái sử dụng thuốc nghi ngờ. Chỉ sử dụng lại thuốc nghi ngờ gây ADR khi không có thuốc điều trị thay thế hoặc khi lợi ích của thuốc vượt trội hơn so với nguy cơ, đồng thời đảm bảo được các biện pháp cần thiết xử trí ADR.</w:t>
      </w:r>
    </w:p>
    <w:p w:rsidR="000C2DE6" w:rsidRPr="00C471AF" w:rsidRDefault="000C2DE6" w:rsidP="000C2DE6">
      <w:pPr>
        <w:widowControl w:val="0"/>
        <w:autoSpaceDE w:val="0"/>
        <w:autoSpaceDN w:val="0"/>
        <w:adjustRightInd w:val="0"/>
        <w:spacing w:before="120"/>
        <w:jc w:val="both"/>
      </w:pPr>
      <w:r w:rsidRPr="00C471AF">
        <w:t>+ Mục 16: liệt kê các thuốc dùng đồng thời với các thuốc nghi ngờ (không ghi các thuốc sử dụng để điều trị phản ứng có hại trong mục này) theo các mục yêu cầu: tên thuốc, thời gian bắt đầu và kết thúc sử dụng các thuốc đó. Nên ghi rõ đường dùng và liều dùng của các thuốc này.</w:t>
      </w:r>
    </w:p>
    <w:p w:rsidR="000C2DE6" w:rsidRPr="00C471AF" w:rsidRDefault="000C2DE6" w:rsidP="000C2DE6">
      <w:pPr>
        <w:widowControl w:val="0"/>
        <w:autoSpaceDE w:val="0"/>
        <w:autoSpaceDN w:val="0"/>
        <w:adjustRightInd w:val="0"/>
        <w:spacing w:before="120"/>
        <w:jc w:val="both"/>
      </w:pPr>
      <w:r w:rsidRPr="00C471AF">
        <w:rPr>
          <w:b/>
          <w:bCs/>
          <w:i/>
          <w:iCs/>
        </w:rPr>
        <w:t>- Phần đánh giá ADR của đơn vị</w:t>
      </w:r>
    </w:p>
    <w:p w:rsidR="000C2DE6" w:rsidRPr="00C471AF" w:rsidRDefault="000C2DE6" w:rsidP="000C2DE6">
      <w:pPr>
        <w:widowControl w:val="0"/>
        <w:autoSpaceDE w:val="0"/>
        <w:autoSpaceDN w:val="0"/>
        <w:adjustRightInd w:val="0"/>
        <w:spacing w:before="120"/>
        <w:jc w:val="both"/>
      </w:pPr>
      <w:r w:rsidRPr="00C471AF">
        <w:t>+ Mục 17, 18: việc đánh giá mối liên quan giữa thuốc và ADR là không bắt buộc, được thực hiện tùy thuộc điều kiện chuyên môn của từng bệnh viện. Đánh giá mối liên quan giữa thuốc và ADR có thể được thực hiện theo thang phân loại của Tổ chức Y tế thế giới hoặc theo thang điểm Naranjo (</w:t>
      </w:r>
      <w:r w:rsidRPr="00C471AF">
        <w:rPr>
          <w:i/>
          <w:iCs/>
        </w:rPr>
        <w:t xml:space="preserve">xem </w:t>
      </w:r>
      <w:bookmarkStart w:id="3" w:name="bieumau_pl_07"/>
      <w:r w:rsidRPr="00C471AF">
        <w:rPr>
          <w:i/>
          <w:iCs/>
        </w:rPr>
        <w:t>Phụ lục 7</w:t>
      </w:r>
      <w:bookmarkEnd w:id="3"/>
      <w:r w:rsidRPr="00C471AF">
        <w:t>).</w:t>
      </w:r>
    </w:p>
    <w:p w:rsidR="000C2DE6" w:rsidRPr="00C471AF" w:rsidRDefault="000C2DE6" w:rsidP="000C2DE6">
      <w:pPr>
        <w:widowControl w:val="0"/>
        <w:autoSpaceDE w:val="0"/>
        <w:autoSpaceDN w:val="0"/>
        <w:adjustRightInd w:val="0"/>
        <w:spacing w:before="120"/>
        <w:jc w:val="both"/>
      </w:pPr>
      <w:r w:rsidRPr="00C471AF">
        <w:t>+ Mục 19: người báo cáo có thể đưa ra ý kiến chuyên môn liên quan đến ADR và bệnh nhân trong báo cáo dựa trên thực tế lâm sàng ghi nhận, đánh giá và xử trí ADR.</w:t>
      </w:r>
    </w:p>
    <w:p w:rsidR="000C2DE6" w:rsidRPr="00C471AF" w:rsidRDefault="000C2DE6" w:rsidP="000C2DE6">
      <w:pPr>
        <w:widowControl w:val="0"/>
        <w:autoSpaceDE w:val="0"/>
        <w:autoSpaceDN w:val="0"/>
        <w:adjustRightInd w:val="0"/>
        <w:spacing w:before="120"/>
        <w:jc w:val="both"/>
      </w:pPr>
      <w:r w:rsidRPr="00C471AF">
        <w:rPr>
          <w:b/>
          <w:bCs/>
          <w:i/>
          <w:iCs/>
        </w:rPr>
        <w:t>- Thông tin về người báo cáo</w:t>
      </w:r>
    </w:p>
    <w:p w:rsidR="000C2DE6" w:rsidRPr="00C471AF" w:rsidRDefault="000C2DE6" w:rsidP="000C2DE6">
      <w:pPr>
        <w:widowControl w:val="0"/>
        <w:autoSpaceDE w:val="0"/>
        <w:autoSpaceDN w:val="0"/>
        <w:adjustRightInd w:val="0"/>
        <w:spacing w:before="120"/>
        <w:jc w:val="both"/>
      </w:pPr>
      <w:r w:rsidRPr="00C471AF">
        <w:t>+ Mục 20: điền đầy đủ các thông tin cá nhân bao gồm: Họ và tên, chức danh/chức vụ, điện thoại liên lạc hoặc địa chỉ, email (nếu có). Thông tin về người báo cáo sẽ được bảo mật. Các thông tin này giúp Trung tâm Thông tin thuốc và Theo dõi phản ứng có hại của thuốc liên hệ trong trường hợp cần thiết và để phản hồi thông tin thẩm định cho người báo cáo.</w:t>
      </w:r>
    </w:p>
    <w:p w:rsidR="000C2DE6" w:rsidRPr="00C471AF" w:rsidRDefault="000C2DE6" w:rsidP="000C2DE6">
      <w:pPr>
        <w:widowControl w:val="0"/>
        <w:autoSpaceDE w:val="0"/>
        <w:autoSpaceDN w:val="0"/>
        <w:adjustRightInd w:val="0"/>
        <w:spacing w:before="120"/>
        <w:jc w:val="both"/>
      </w:pPr>
      <w:r w:rsidRPr="00C471AF">
        <w:t>+ Mục 21: người báo cáo ký xác nhận.</w:t>
      </w:r>
    </w:p>
    <w:p w:rsidR="000C2DE6" w:rsidRPr="00C471AF" w:rsidRDefault="000C2DE6" w:rsidP="000C2DE6">
      <w:pPr>
        <w:widowControl w:val="0"/>
        <w:autoSpaceDE w:val="0"/>
        <w:autoSpaceDN w:val="0"/>
        <w:adjustRightInd w:val="0"/>
        <w:spacing w:before="120"/>
        <w:jc w:val="both"/>
      </w:pPr>
      <w:r w:rsidRPr="00C471AF">
        <w:t>+ Mục 22: khi có thêm thông tin bổ sung cho một ca báo cáo ADR đã gửi đi trước đó, người báo cáo nên điền vào một bản báo cáo ADR mới và ghi chú bằng cách đánh dấu (√) thích hợp vào nội dung số 22 (Dạng báo cáo: □ Lần đầu/□Bổ sung) trên mẫu báo cáo. Người báo cáo có thể ghi thêm chú thích trên bản báo cáo bổ sung hoặc thông báo qua điện thoại, fax, hoặc email cho Trung tâm về ngày báo cáo hoặc mã số của báo cáo lần đầu tương ứng.</w:t>
      </w:r>
    </w:p>
    <w:p w:rsidR="000C2DE6" w:rsidRPr="00C471AF" w:rsidRDefault="000C2DE6" w:rsidP="000C2DE6">
      <w:pPr>
        <w:widowControl w:val="0"/>
        <w:autoSpaceDE w:val="0"/>
        <w:autoSpaceDN w:val="0"/>
        <w:adjustRightInd w:val="0"/>
        <w:spacing w:before="120"/>
        <w:jc w:val="both"/>
      </w:pPr>
      <w:r w:rsidRPr="00C471AF">
        <w:t>+ Mục 23: điền ngày/tháng/năm làm báo cáo báo cáo.</w:t>
      </w:r>
    </w:p>
    <w:p w:rsidR="000C2DE6" w:rsidRPr="00C471AF" w:rsidRDefault="000C2DE6" w:rsidP="000C2DE6">
      <w:pPr>
        <w:widowControl w:val="0"/>
        <w:autoSpaceDE w:val="0"/>
        <w:autoSpaceDN w:val="0"/>
        <w:adjustRightInd w:val="0"/>
        <w:spacing w:before="120"/>
        <w:jc w:val="both"/>
      </w:pPr>
      <w:r w:rsidRPr="00C471AF">
        <w:rPr>
          <w:b/>
          <w:bCs/>
        </w:rPr>
        <w:lastRenderedPageBreak/>
        <w:t>3.4.5. Hình thức gửi báo cáo ADR</w:t>
      </w:r>
    </w:p>
    <w:p w:rsidR="000C2DE6" w:rsidRPr="00C471AF" w:rsidRDefault="000C2DE6" w:rsidP="000C2DE6">
      <w:pPr>
        <w:widowControl w:val="0"/>
        <w:autoSpaceDE w:val="0"/>
        <w:autoSpaceDN w:val="0"/>
        <w:adjustRightInd w:val="0"/>
        <w:spacing w:before="120"/>
        <w:jc w:val="both"/>
      </w:pPr>
      <w:r w:rsidRPr="00C471AF">
        <w:rPr>
          <w:b/>
          <w:bCs/>
          <w:i/>
          <w:iCs/>
        </w:rPr>
        <w:t>a) Với các cơ sở khám bệnh, chữa bệnh có Khoa Dược</w:t>
      </w:r>
    </w:p>
    <w:p w:rsidR="000C2DE6" w:rsidRPr="00C471AF" w:rsidRDefault="000C2DE6" w:rsidP="000C2DE6">
      <w:pPr>
        <w:widowControl w:val="0"/>
        <w:autoSpaceDE w:val="0"/>
        <w:autoSpaceDN w:val="0"/>
        <w:adjustRightInd w:val="0"/>
        <w:spacing w:before="120"/>
        <w:jc w:val="both"/>
      </w:pPr>
      <w:r w:rsidRPr="00C471AF">
        <w:t>Nhân viên y tế gửi báo cáo ADR tới Khoa Dược là đầu mối tập hợp báo cáo trong bệnh viện. Trong trường hợp cần thiết, có thể gửi báo cáo trực tiếp đến Trung tâm Quốc gia về Thông tin thuốc và Theo dõi phản ứng có hại của thuốc hoặc các Trung tâm khu vực, sau đó thông báo lại cho khoa Dược.</w:t>
      </w:r>
    </w:p>
    <w:p w:rsidR="000C2DE6" w:rsidRPr="00C471AF" w:rsidRDefault="000C2DE6" w:rsidP="000C2DE6">
      <w:pPr>
        <w:widowControl w:val="0"/>
        <w:autoSpaceDE w:val="0"/>
        <w:autoSpaceDN w:val="0"/>
        <w:adjustRightInd w:val="0"/>
        <w:spacing w:before="120"/>
        <w:jc w:val="both"/>
      </w:pPr>
      <w:r w:rsidRPr="00C471AF">
        <w:rPr>
          <w:b/>
          <w:bCs/>
          <w:i/>
          <w:iCs/>
        </w:rPr>
        <w:t>b) Với các cơ sở khám bệnh, chữa bệnh không tổ chức Khoa Dược</w:t>
      </w:r>
    </w:p>
    <w:p w:rsidR="000C2DE6" w:rsidRPr="00C471AF" w:rsidRDefault="000C2DE6" w:rsidP="000C2DE6">
      <w:pPr>
        <w:widowControl w:val="0"/>
        <w:autoSpaceDE w:val="0"/>
        <w:autoSpaceDN w:val="0"/>
        <w:adjustRightInd w:val="0"/>
        <w:spacing w:before="120"/>
        <w:jc w:val="both"/>
      </w:pPr>
      <w:r w:rsidRPr="00C471AF">
        <w:t>Nhân viên y tế gửi báo cáo đến bộ phận Dược lâm sàng là đầu mối tập hợp báo cáo tại đơn vị hoặc có thể gửi trực tiếp đến Trung tâm Quốc gia về Thông tin thuốc và Theo dõi phản ứng có hại của thuốc hoặc các Trung tâm khu vực.</w:t>
      </w:r>
    </w:p>
    <w:p w:rsidR="000C2DE6" w:rsidRPr="00C471AF" w:rsidRDefault="000C2DE6" w:rsidP="000C2DE6">
      <w:pPr>
        <w:widowControl w:val="0"/>
        <w:autoSpaceDE w:val="0"/>
        <w:autoSpaceDN w:val="0"/>
        <w:adjustRightInd w:val="0"/>
        <w:spacing w:before="120"/>
        <w:jc w:val="both"/>
      </w:pPr>
      <w:r w:rsidRPr="00C471AF">
        <w:rPr>
          <w:b/>
          <w:bCs/>
          <w:i/>
          <w:iCs/>
        </w:rPr>
        <w:t>c) Báo cáo ADR được điền vào mẫu báo cáo theo quy định và gửi về Trung tâm Quốc gia hoặc Trung tâm khu vực về Thông tin thuốc và Theo dõi phản ứng có hại của thuốc</w:t>
      </w:r>
    </w:p>
    <w:p w:rsidR="000C2DE6" w:rsidRPr="00C471AF" w:rsidRDefault="000C2DE6" w:rsidP="000C2DE6">
      <w:pPr>
        <w:widowControl w:val="0"/>
        <w:autoSpaceDE w:val="0"/>
        <w:autoSpaceDN w:val="0"/>
        <w:adjustRightInd w:val="0"/>
        <w:spacing w:before="120"/>
        <w:jc w:val="both"/>
      </w:pPr>
      <w:r w:rsidRPr="00C471AF">
        <w:t>Bằng một trong 4 hình thức sau:</w:t>
      </w:r>
    </w:p>
    <w:p w:rsidR="000C2DE6" w:rsidRPr="00C471AF" w:rsidRDefault="000C2DE6" w:rsidP="000C2DE6">
      <w:pPr>
        <w:widowControl w:val="0"/>
        <w:autoSpaceDE w:val="0"/>
        <w:autoSpaceDN w:val="0"/>
        <w:adjustRightInd w:val="0"/>
        <w:spacing w:before="120"/>
        <w:jc w:val="both"/>
      </w:pPr>
      <w:r w:rsidRPr="00C471AF">
        <w:rPr>
          <w:b/>
          <w:bCs/>
        </w:rPr>
        <w:t xml:space="preserve">- Cách 1: </w:t>
      </w:r>
      <w:r w:rsidRPr="00C471AF">
        <w:t>Gửi qua bưu điện</w:t>
      </w:r>
    </w:p>
    <w:p w:rsidR="000C2DE6" w:rsidRPr="00C471AF" w:rsidRDefault="000C2DE6" w:rsidP="000C2DE6">
      <w:pPr>
        <w:widowControl w:val="0"/>
        <w:autoSpaceDE w:val="0"/>
        <w:autoSpaceDN w:val="0"/>
        <w:adjustRightInd w:val="0"/>
        <w:spacing w:before="120"/>
        <w:jc w:val="both"/>
      </w:pPr>
      <w:r w:rsidRPr="00C471AF">
        <w:rPr>
          <w:b/>
          <w:bCs/>
        </w:rPr>
        <w:t xml:space="preserve">- Cách 2: </w:t>
      </w:r>
      <w:r w:rsidRPr="00C471AF">
        <w:t>Gửi qua thư điện tử (email)</w:t>
      </w:r>
    </w:p>
    <w:p w:rsidR="000C2DE6" w:rsidRPr="00C471AF" w:rsidRDefault="000C2DE6" w:rsidP="000C2DE6">
      <w:pPr>
        <w:widowControl w:val="0"/>
        <w:autoSpaceDE w:val="0"/>
        <w:autoSpaceDN w:val="0"/>
        <w:adjustRightInd w:val="0"/>
        <w:spacing w:before="120"/>
        <w:jc w:val="both"/>
      </w:pPr>
      <w:r w:rsidRPr="00C471AF">
        <w:rPr>
          <w:b/>
          <w:bCs/>
        </w:rPr>
        <w:t xml:space="preserve">- Cách 3: </w:t>
      </w:r>
      <w:r w:rsidRPr="00C471AF">
        <w:t>Báo cáo ADR trực tuyến</w:t>
      </w:r>
    </w:p>
    <w:p w:rsidR="000C2DE6" w:rsidRPr="00C471AF" w:rsidRDefault="000C2DE6" w:rsidP="000C2DE6">
      <w:pPr>
        <w:widowControl w:val="0"/>
        <w:autoSpaceDE w:val="0"/>
        <w:autoSpaceDN w:val="0"/>
        <w:adjustRightInd w:val="0"/>
        <w:spacing w:before="120"/>
        <w:jc w:val="both"/>
      </w:pPr>
      <w:r w:rsidRPr="00C471AF">
        <w:t xml:space="preserve">+ Truy cập vào trang web: </w:t>
      </w:r>
      <w:r w:rsidRPr="00C471AF">
        <w:rPr>
          <w:i/>
          <w:iCs/>
        </w:rPr>
        <w:t>http://canhgiacduoc.org.vn</w:t>
      </w:r>
      <w:r w:rsidRPr="00C471AF">
        <w:t>.</w:t>
      </w:r>
    </w:p>
    <w:p w:rsidR="000C2DE6" w:rsidRPr="00C471AF" w:rsidRDefault="000C2DE6" w:rsidP="000C2DE6">
      <w:pPr>
        <w:widowControl w:val="0"/>
        <w:autoSpaceDE w:val="0"/>
        <w:autoSpaceDN w:val="0"/>
        <w:adjustRightInd w:val="0"/>
        <w:spacing w:before="120"/>
        <w:jc w:val="both"/>
      </w:pPr>
      <w:r w:rsidRPr="00C471AF">
        <w:t>+ Đọc và làm theo hướng dẫn trên trang web.</w:t>
      </w:r>
    </w:p>
    <w:p w:rsidR="000C2DE6" w:rsidRPr="00C471AF" w:rsidRDefault="000C2DE6" w:rsidP="000C2DE6">
      <w:pPr>
        <w:widowControl w:val="0"/>
        <w:autoSpaceDE w:val="0"/>
        <w:autoSpaceDN w:val="0"/>
        <w:adjustRightInd w:val="0"/>
        <w:spacing w:before="120"/>
        <w:jc w:val="both"/>
      </w:pPr>
      <w:r w:rsidRPr="00C471AF">
        <w:rPr>
          <w:b/>
          <w:bCs/>
        </w:rPr>
        <w:t xml:space="preserve">- Cách 4: </w:t>
      </w:r>
      <w:r w:rsidRPr="00C471AF">
        <w:t>Điện thoại báo cáo trực tiếp cho Trung tâm trong trường hợp khẩn cấp. Thông tin sau đó cần được điền vào mẫu báo cáo và gửi về Trung tâm theo một trong ba cách nêu trên.</w:t>
      </w:r>
    </w:p>
    <w:p w:rsidR="000C2DE6" w:rsidRPr="00C471AF" w:rsidRDefault="000C2DE6" w:rsidP="000C2DE6">
      <w:pPr>
        <w:widowControl w:val="0"/>
        <w:autoSpaceDE w:val="0"/>
        <w:autoSpaceDN w:val="0"/>
        <w:adjustRightInd w:val="0"/>
        <w:spacing w:before="120"/>
        <w:jc w:val="both"/>
      </w:pPr>
      <w:r w:rsidRPr="00C471AF">
        <w:rPr>
          <w:b/>
          <w:bCs/>
        </w:rPr>
        <w:t>3.4.6. Nơi nhận báo cáo</w:t>
      </w:r>
    </w:p>
    <w:p w:rsidR="000C2DE6" w:rsidRPr="00C471AF" w:rsidRDefault="000C2DE6" w:rsidP="000C2DE6">
      <w:pPr>
        <w:widowControl w:val="0"/>
        <w:autoSpaceDE w:val="0"/>
        <w:autoSpaceDN w:val="0"/>
        <w:adjustRightInd w:val="0"/>
        <w:spacing w:before="120"/>
        <w:jc w:val="both"/>
      </w:pPr>
      <w:r w:rsidRPr="00C471AF">
        <w:t>Báo cáo có thể gửi về một trong hai địa chỉ sau:</w:t>
      </w:r>
    </w:p>
    <w:p w:rsidR="000C2DE6" w:rsidRPr="00C471AF" w:rsidRDefault="000C2DE6" w:rsidP="000C2DE6">
      <w:pPr>
        <w:widowControl w:val="0"/>
        <w:autoSpaceDE w:val="0"/>
        <w:autoSpaceDN w:val="0"/>
        <w:adjustRightInd w:val="0"/>
        <w:spacing w:before="120"/>
        <w:jc w:val="both"/>
      </w:pPr>
      <w:r w:rsidRPr="00C471AF">
        <w:rPr>
          <w:b/>
          <w:bCs/>
          <w:i/>
          <w:iCs/>
        </w:rPr>
        <w:t xml:space="preserve">a) Trung tâm Quốc gia về Thông tin thuốc và Theo dõi phản ứng có hại của thuốc </w:t>
      </w:r>
      <w:r w:rsidRPr="00C471AF">
        <w:rPr>
          <w:i/>
          <w:iCs/>
        </w:rPr>
        <w:t>(nhận báo cáo từ tất cả các tỉnh/thành phố trên phạm vi toàn quốc)</w:t>
      </w:r>
    </w:p>
    <w:p w:rsidR="000C2DE6" w:rsidRPr="00C471AF" w:rsidRDefault="000C2DE6" w:rsidP="000C2DE6">
      <w:pPr>
        <w:widowControl w:val="0"/>
        <w:autoSpaceDE w:val="0"/>
        <w:autoSpaceDN w:val="0"/>
        <w:adjustRightInd w:val="0"/>
        <w:spacing w:before="120"/>
        <w:jc w:val="both"/>
      </w:pPr>
      <w:r w:rsidRPr="00C471AF">
        <w:t>Địa chỉ: Trường Đại học Dược Hà Nội, 13-15 Lê Thánh Tông, Quận Hoàn Kiếm, Hà Nội</w:t>
      </w:r>
    </w:p>
    <w:p w:rsidR="000C2DE6" w:rsidRPr="00C471AF" w:rsidRDefault="000C2DE6" w:rsidP="000C2DE6">
      <w:pPr>
        <w:widowControl w:val="0"/>
        <w:autoSpaceDE w:val="0"/>
        <w:autoSpaceDN w:val="0"/>
        <w:adjustRightInd w:val="0"/>
        <w:spacing w:before="120"/>
        <w:jc w:val="both"/>
      </w:pPr>
      <w:r w:rsidRPr="00C471AF">
        <w:t>Điện thoại: (024) 3933 5618</w:t>
      </w:r>
    </w:p>
    <w:p w:rsidR="000C2DE6" w:rsidRPr="00C471AF" w:rsidRDefault="000C2DE6" w:rsidP="000C2DE6">
      <w:pPr>
        <w:widowControl w:val="0"/>
        <w:autoSpaceDE w:val="0"/>
        <w:autoSpaceDN w:val="0"/>
        <w:adjustRightInd w:val="0"/>
        <w:spacing w:before="120"/>
        <w:jc w:val="both"/>
      </w:pPr>
      <w:r w:rsidRPr="00C471AF">
        <w:t>E-mail: di.pvcenter@gmail.com</w:t>
      </w:r>
    </w:p>
    <w:p w:rsidR="000C2DE6" w:rsidRPr="00C471AF" w:rsidRDefault="000C2DE6" w:rsidP="000C2DE6">
      <w:pPr>
        <w:widowControl w:val="0"/>
        <w:autoSpaceDE w:val="0"/>
        <w:autoSpaceDN w:val="0"/>
        <w:adjustRightInd w:val="0"/>
        <w:spacing w:before="120"/>
        <w:jc w:val="both"/>
      </w:pPr>
      <w:r w:rsidRPr="00C471AF">
        <w:t>Trang thông tin điện tử: http://canhgiacduoc.org.vn</w:t>
      </w:r>
    </w:p>
    <w:p w:rsidR="000C2DE6" w:rsidRPr="00C471AF" w:rsidRDefault="000C2DE6" w:rsidP="000C2DE6">
      <w:pPr>
        <w:widowControl w:val="0"/>
        <w:autoSpaceDE w:val="0"/>
        <w:autoSpaceDN w:val="0"/>
        <w:adjustRightInd w:val="0"/>
        <w:spacing w:before="120"/>
        <w:jc w:val="both"/>
      </w:pPr>
      <w:r w:rsidRPr="00C471AF">
        <w:rPr>
          <w:b/>
          <w:bCs/>
          <w:i/>
          <w:iCs/>
        </w:rPr>
        <w:t xml:space="preserve">b) Trung tâm khu vực về Thông tin thuốc và Theo dõi phản ứng có hại của thuốc thành phố Hồ Chí Minh </w:t>
      </w:r>
      <w:r w:rsidRPr="00C471AF">
        <w:rPr>
          <w:i/>
          <w:iCs/>
        </w:rPr>
        <w:t>(nhận báo cáo của các tỉnh/thành phố từ Đà Nẵng trở vào)</w:t>
      </w:r>
    </w:p>
    <w:p w:rsidR="000C2DE6" w:rsidRPr="00C471AF" w:rsidRDefault="000C2DE6" w:rsidP="000C2DE6">
      <w:pPr>
        <w:widowControl w:val="0"/>
        <w:autoSpaceDE w:val="0"/>
        <w:autoSpaceDN w:val="0"/>
        <w:adjustRightInd w:val="0"/>
        <w:spacing w:before="120"/>
        <w:jc w:val="both"/>
      </w:pPr>
      <w:r w:rsidRPr="00C471AF">
        <w:t>Địa chỉ: Bệnh viện Chợ Rẫy, 201B Nguyễn Chí Thanh, Phường 12, Quận 5, Thành phố Hồ Chí Minh</w:t>
      </w:r>
    </w:p>
    <w:p w:rsidR="000C2DE6" w:rsidRPr="00C471AF" w:rsidRDefault="000C2DE6" w:rsidP="000C2DE6">
      <w:pPr>
        <w:widowControl w:val="0"/>
        <w:autoSpaceDE w:val="0"/>
        <w:autoSpaceDN w:val="0"/>
        <w:adjustRightInd w:val="0"/>
        <w:spacing w:before="120"/>
        <w:jc w:val="both"/>
      </w:pPr>
      <w:r w:rsidRPr="00C471AF">
        <w:t>Điện thoại: (028) 3855 4137- Ext: 794 hoặc (028) 3856 3537</w:t>
      </w:r>
    </w:p>
    <w:p w:rsidR="000C2DE6" w:rsidRPr="00C471AF" w:rsidRDefault="000C2DE6" w:rsidP="000C2DE6">
      <w:pPr>
        <w:widowControl w:val="0"/>
        <w:autoSpaceDE w:val="0"/>
        <w:autoSpaceDN w:val="0"/>
        <w:adjustRightInd w:val="0"/>
        <w:spacing w:before="120"/>
        <w:jc w:val="both"/>
      </w:pPr>
      <w:r w:rsidRPr="00C471AF">
        <w:t>E-mail: adrhcm@choray.vn</w:t>
      </w:r>
    </w:p>
    <w:p w:rsidR="000C2DE6" w:rsidRPr="00C471AF" w:rsidRDefault="000C2DE6" w:rsidP="000C2DE6">
      <w:pPr>
        <w:widowControl w:val="0"/>
        <w:autoSpaceDE w:val="0"/>
        <w:autoSpaceDN w:val="0"/>
        <w:adjustRightInd w:val="0"/>
        <w:spacing w:before="120"/>
        <w:jc w:val="both"/>
      </w:pPr>
      <w:r w:rsidRPr="00C471AF">
        <w:rPr>
          <w:b/>
          <w:bCs/>
        </w:rPr>
        <w:t>3.4.7. Phản hồi báo cáo từ phía Trung tâm Quốc gia và các Trung tâm Khu vực về Thông tin thuốc và Theo dõi phản ứng có hại của thuốc</w:t>
      </w:r>
    </w:p>
    <w:p w:rsidR="000C2DE6" w:rsidRPr="00C471AF" w:rsidRDefault="000C2DE6" w:rsidP="000C2DE6">
      <w:pPr>
        <w:widowControl w:val="0"/>
        <w:autoSpaceDE w:val="0"/>
        <w:autoSpaceDN w:val="0"/>
        <w:adjustRightInd w:val="0"/>
        <w:spacing w:before="120"/>
        <w:jc w:val="both"/>
      </w:pPr>
      <w:r w:rsidRPr="00C471AF">
        <w:t>- Khi nhận được báo cáo ADR, Trung tâm Quốc gia hoặc Trung tâm khu vực sẽ gửi thư xác nhận cảm ơn tới đơn vị/cá nhân đã gửi báo cáo.</w:t>
      </w:r>
    </w:p>
    <w:p w:rsidR="000C2DE6" w:rsidRPr="00C471AF" w:rsidRDefault="000C2DE6" w:rsidP="000C2DE6">
      <w:pPr>
        <w:widowControl w:val="0"/>
        <w:autoSpaceDE w:val="0"/>
        <w:autoSpaceDN w:val="0"/>
        <w:adjustRightInd w:val="0"/>
        <w:spacing w:before="120"/>
        <w:jc w:val="both"/>
      </w:pPr>
      <w:r w:rsidRPr="00C471AF">
        <w:lastRenderedPageBreak/>
        <w:t>- Các báo cáo ADR sẽ được Trung tâm Quốc gia hoặc Trung tâm khu vực thẩm định theo Quy trình xử lý báo cáo ADR của Trung tâm.</w:t>
      </w:r>
    </w:p>
    <w:p w:rsidR="000C2DE6" w:rsidRPr="00C471AF" w:rsidRDefault="000C2DE6" w:rsidP="000C2DE6">
      <w:pPr>
        <w:widowControl w:val="0"/>
        <w:autoSpaceDE w:val="0"/>
        <w:autoSpaceDN w:val="0"/>
        <w:adjustRightInd w:val="0"/>
        <w:spacing w:before="120"/>
        <w:jc w:val="both"/>
      </w:pPr>
      <w:r w:rsidRPr="00C471AF">
        <w:t>- Định kỳ hàng năm, Trung tâm Quốc gia tổ chức tổng kết, phân loại báo cáo ADR, gửi báo cáo tổng kết công tác báo cáo ADR về Bộ Y tế, Y tế Ngành, các Sở Y tế và các cơ sở khám bệnh, chữa bệnh.</w:t>
      </w:r>
    </w:p>
    <w:p w:rsidR="000C2DE6" w:rsidRPr="00C471AF" w:rsidRDefault="000C2DE6" w:rsidP="000C2DE6">
      <w:pPr>
        <w:widowControl w:val="0"/>
        <w:autoSpaceDE w:val="0"/>
        <w:autoSpaceDN w:val="0"/>
        <w:adjustRightInd w:val="0"/>
        <w:spacing w:before="120"/>
        <w:jc w:val="both"/>
      </w:pPr>
      <w:r w:rsidRPr="00C471AF">
        <w:t>- Trong trường hợp cần phản hồi nhanh, đặc biệt với các ADR nghiêm trọng, Trung tâm Quốc gia hoặc Trung tâm khu vực sẽ nhanh chóng tiến hành thu thập thông tin và thẩm định để gửi phản hồi cho nhân viên y tế, cơ sở khám bệnh, chữa bệnh đã gửi báo cáo.</w:t>
      </w:r>
    </w:p>
    <w:p w:rsidR="000C2DE6" w:rsidRPr="00C471AF" w:rsidRDefault="000C2DE6" w:rsidP="000C2DE6">
      <w:pPr>
        <w:widowControl w:val="0"/>
        <w:autoSpaceDE w:val="0"/>
        <w:autoSpaceDN w:val="0"/>
        <w:adjustRightInd w:val="0"/>
        <w:spacing w:before="120"/>
        <w:jc w:val="both"/>
      </w:pPr>
      <w:bookmarkStart w:id="4" w:name="dieu_3_5"/>
      <w:r w:rsidRPr="00C471AF">
        <w:rPr>
          <w:b/>
          <w:bCs/>
        </w:rPr>
        <w:t>3.5. Đánh giá ADR</w:t>
      </w:r>
      <w:bookmarkEnd w:id="4"/>
    </w:p>
    <w:p w:rsidR="000C2DE6" w:rsidRPr="00C471AF" w:rsidRDefault="000C2DE6" w:rsidP="000C2DE6">
      <w:pPr>
        <w:widowControl w:val="0"/>
        <w:autoSpaceDE w:val="0"/>
        <w:autoSpaceDN w:val="0"/>
        <w:adjustRightInd w:val="0"/>
        <w:spacing w:before="120"/>
        <w:jc w:val="both"/>
      </w:pPr>
      <w:r w:rsidRPr="00C471AF">
        <w:t>Trước khi quy kết biến cố bất lợi xảy ra có liên quan đến thuốc không, các hoạt động đánh giá sẽ dựa trên thông tin của biến cố bất lợi ghi nhận được. Khái niệm biến cố bất lợi được dùng thay cho ADR.</w:t>
      </w:r>
    </w:p>
    <w:p w:rsidR="000C2DE6" w:rsidRPr="00C471AF" w:rsidRDefault="000C2DE6" w:rsidP="000C2DE6">
      <w:pPr>
        <w:widowControl w:val="0"/>
        <w:autoSpaceDE w:val="0"/>
        <w:autoSpaceDN w:val="0"/>
        <w:adjustRightInd w:val="0"/>
        <w:spacing w:before="120"/>
        <w:jc w:val="both"/>
      </w:pPr>
      <w:r w:rsidRPr="00C471AF">
        <w:rPr>
          <w:b/>
          <w:bCs/>
        </w:rPr>
        <w:t>3.5.1. Đánh giá mức độ nghiêm trọng</w:t>
      </w:r>
    </w:p>
    <w:p w:rsidR="000C2DE6" w:rsidRPr="00C471AF" w:rsidRDefault="000C2DE6" w:rsidP="000C2DE6">
      <w:pPr>
        <w:widowControl w:val="0"/>
        <w:autoSpaceDE w:val="0"/>
        <w:autoSpaceDN w:val="0"/>
        <w:adjustRightInd w:val="0"/>
        <w:spacing w:before="120"/>
        <w:jc w:val="both"/>
      </w:pPr>
      <w:r w:rsidRPr="00C471AF">
        <w:t>Thông tin về mức độ nghiêm trọng của biến cố bất lợi phản ánh hậu quả gây ra trên người bệnh. Một biến cố bất lợi được đánh giá là nghiêm trọng (serious adverse event - SAE) nếu biến cố bất lợi đó xảy ra và dẫn đến một trong những hậu quả sau đây:</w:t>
      </w:r>
    </w:p>
    <w:p w:rsidR="000C2DE6" w:rsidRPr="00C471AF" w:rsidRDefault="000C2DE6" w:rsidP="000C2DE6">
      <w:pPr>
        <w:widowControl w:val="0"/>
        <w:autoSpaceDE w:val="0"/>
        <w:autoSpaceDN w:val="0"/>
        <w:adjustRightInd w:val="0"/>
        <w:spacing w:before="120"/>
        <w:jc w:val="both"/>
      </w:pPr>
      <w:r w:rsidRPr="00C471AF">
        <w:t>- Tử vong</w:t>
      </w:r>
    </w:p>
    <w:p w:rsidR="000C2DE6" w:rsidRPr="00C471AF" w:rsidRDefault="000C2DE6" w:rsidP="000C2DE6">
      <w:pPr>
        <w:widowControl w:val="0"/>
        <w:autoSpaceDE w:val="0"/>
        <w:autoSpaceDN w:val="0"/>
        <w:adjustRightInd w:val="0"/>
        <w:spacing w:before="120"/>
        <w:jc w:val="both"/>
      </w:pPr>
      <w:r w:rsidRPr="00C471AF">
        <w:t>- Đe dọa tính mạng</w:t>
      </w:r>
    </w:p>
    <w:p w:rsidR="000C2DE6" w:rsidRPr="00C471AF" w:rsidRDefault="000C2DE6" w:rsidP="000C2DE6">
      <w:pPr>
        <w:widowControl w:val="0"/>
        <w:autoSpaceDE w:val="0"/>
        <w:autoSpaceDN w:val="0"/>
        <w:adjustRightInd w:val="0"/>
        <w:spacing w:before="120"/>
        <w:jc w:val="both"/>
      </w:pPr>
      <w:r w:rsidRPr="00C471AF">
        <w:t>- Để lại di chứng</w:t>
      </w:r>
    </w:p>
    <w:p w:rsidR="000C2DE6" w:rsidRPr="00C471AF" w:rsidRDefault="000C2DE6" w:rsidP="000C2DE6">
      <w:pPr>
        <w:widowControl w:val="0"/>
        <w:autoSpaceDE w:val="0"/>
        <w:autoSpaceDN w:val="0"/>
        <w:adjustRightInd w:val="0"/>
        <w:spacing w:before="120"/>
        <w:jc w:val="both"/>
      </w:pPr>
      <w:r w:rsidRPr="00C471AF">
        <w:t>- Người bệnh cần phải nhập viện</w:t>
      </w:r>
    </w:p>
    <w:p w:rsidR="000C2DE6" w:rsidRPr="00C471AF" w:rsidRDefault="000C2DE6" w:rsidP="000C2DE6">
      <w:pPr>
        <w:widowControl w:val="0"/>
        <w:autoSpaceDE w:val="0"/>
        <w:autoSpaceDN w:val="0"/>
        <w:adjustRightInd w:val="0"/>
        <w:spacing w:before="120"/>
        <w:jc w:val="both"/>
      </w:pPr>
      <w:r w:rsidRPr="00C471AF">
        <w:t>- Kéo dài thời gian nằm viện</w:t>
      </w:r>
    </w:p>
    <w:p w:rsidR="000C2DE6" w:rsidRPr="00C471AF" w:rsidRDefault="000C2DE6" w:rsidP="000C2DE6">
      <w:pPr>
        <w:widowControl w:val="0"/>
        <w:autoSpaceDE w:val="0"/>
        <w:autoSpaceDN w:val="0"/>
        <w:adjustRightInd w:val="0"/>
        <w:spacing w:before="120"/>
        <w:jc w:val="both"/>
      </w:pPr>
      <w:r w:rsidRPr="00C471AF">
        <w:t>- Gây dị tật bẩm sinh ở thai nhi</w:t>
      </w:r>
    </w:p>
    <w:p w:rsidR="000C2DE6" w:rsidRPr="00C471AF" w:rsidRDefault="000C2DE6" w:rsidP="000C2DE6">
      <w:pPr>
        <w:widowControl w:val="0"/>
        <w:autoSpaceDE w:val="0"/>
        <w:autoSpaceDN w:val="0"/>
        <w:adjustRightInd w:val="0"/>
        <w:spacing w:before="120"/>
        <w:jc w:val="both"/>
      </w:pPr>
      <w:r w:rsidRPr="00C471AF">
        <w:t>- Các hậu quả khác được nhân viên y tế đánh giá là nghiêm trọng có ý nghĩa lâm sàng.</w:t>
      </w:r>
    </w:p>
    <w:p w:rsidR="000C2DE6" w:rsidRPr="00C471AF" w:rsidRDefault="000C2DE6" w:rsidP="000C2DE6">
      <w:pPr>
        <w:widowControl w:val="0"/>
        <w:autoSpaceDE w:val="0"/>
        <w:autoSpaceDN w:val="0"/>
        <w:adjustRightInd w:val="0"/>
        <w:spacing w:before="120"/>
        <w:jc w:val="both"/>
      </w:pPr>
      <w:r w:rsidRPr="00C471AF">
        <w:rPr>
          <w:b/>
          <w:bCs/>
        </w:rPr>
        <w:t>3.5.2. Đánh giá mức độ nặng</w:t>
      </w:r>
    </w:p>
    <w:p w:rsidR="000C2DE6" w:rsidRPr="00C471AF" w:rsidRDefault="000C2DE6" w:rsidP="000C2DE6">
      <w:pPr>
        <w:widowControl w:val="0"/>
        <w:autoSpaceDE w:val="0"/>
        <w:autoSpaceDN w:val="0"/>
        <w:adjustRightInd w:val="0"/>
        <w:spacing w:before="120"/>
        <w:jc w:val="both"/>
      </w:pPr>
      <w:r w:rsidRPr="00C471AF">
        <w:t>Việc đánh giá mức độ nặng của biến cố bất lợi sẽ giúp nhân viên y tế nhanh chóng đưa ra biện pháp xử trí, can thiệp phù hợp. Để đánh giá mức độ nặng của biến cố bất lợi có thể áp dụng thang phân loại của Viện Ung thư Quốc gia Hoa Kỳ (CTCAE), mức độ nặng của biến cố bất lợi được phân loại thành 5 mức độ như sau:</w:t>
      </w:r>
    </w:p>
    <w:p w:rsidR="000C2DE6" w:rsidRPr="00C471AF" w:rsidRDefault="000C2DE6" w:rsidP="000C2DE6">
      <w:pPr>
        <w:widowControl w:val="0"/>
        <w:autoSpaceDE w:val="0"/>
        <w:autoSpaceDN w:val="0"/>
        <w:adjustRightInd w:val="0"/>
        <w:spacing w:before="120"/>
        <w:jc w:val="both"/>
      </w:pPr>
      <w:r w:rsidRPr="00C471AF">
        <w:rPr>
          <w:b/>
          <w:bCs/>
        </w:rPr>
        <w:t xml:space="preserve">- Mức độ 1 (nhẹ): </w:t>
      </w:r>
      <w:r w:rsidRPr="00C471AF">
        <w:t>Không có triệu chứng hoặc triệu chứng nhẹ; chỉ biết được thông qua quan sát để chẩn đoán hoặc biểu hiện lâm sàng; không cần đến can thiệp.</w:t>
      </w:r>
    </w:p>
    <w:p w:rsidR="000C2DE6" w:rsidRPr="00C471AF" w:rsidRDefault="000C2DE6" w:rsidP="000C2DE6">
      <w:pPr>
        <w:widowControl w:val="0"/>
        <w:autoSpaceDE w:val="0"/>
        <w:autoSpaceDN w:val="0"/>
        <w:adjustRightInd w:val="0"/>
        <w:spacing w:before="120"/>
        <w:jc w:val="both"/>
      </w:pPr>
      <w:r w:rsidRPr="00C471AF">
        <w:rPr>
          <w:b/>
          <w:bCs/>
        </w:rPr>
        <w:t xml:space="preserve">- Mức độ 2 (trung bình): </w:t>
      </w:r>
      <w:r w:rsidRPr="00C471AF">
        <w:t>Cần đến can thiệp tối thiểu, tại chỗ hoặc không xâm lấn; ảnh hưởng đến một số chức năng vận động hoặc sinh hoạt thông thường</w:t>
      </w:r>
    </w:p>
    <w:p w:rsidR="000C2DE6" w:rsidRPr="00C471AF" w:rsidRDefault="000C2DE6" w:rsidP="000C2DE6">
      <w:pPr>
        <w:widowControl w:val="0"/>
        <w:autoSpaceDE w:val="0"/>
        <w:autoSpaceDN w:val="0"/>
        <w:adjustRightInd w:val="0"/>
        <w:spacing w:before="120"/>
        <w:jc w:val="both"/>
      </w:pPr>
      <w:r w:rsidRPr="00C471AF">
        <w:rPr>
          <w:b/>
          <w:bCs/>
        </w:rPr>
        <w:t xml:space="preserve">- Mức độ 3 (nặng): </w:t>
      </w:r>
      <w:r w:rsidRPr="00C471AF">
        <w:t>Ảnh hưởng đáng kể trên lâm sàng nhưng chưa đến mức đe dọa tính mạng; khiến người bệnh phải nhập viện hoặc kéo dài thời gian nằm viện; bị dị tật; giới hạn khả năng tự chăm sóc bản thân của người bệnh</w:t>
      </w:r>
    </w:p>
    <w:p w:rsidR="000C2DE6" w:rsidRPr="00C471AF" w:rsidRDefault="000C2DE6" w:rsidP="000C2DE6">
      <w:pPr>
        <w:widowControl w:val="0"/>
        <w:autoSpaceDE w:val="0"/>
        <w:autoSpaceDN w:val="0"/>
        <w:adjustRightInd w:val="0"/>
        <w:spacing w:before="120"/>
        <w:jc w:val="both"/>
      </w:pPr>
      <w:r w:rsidRPr="00C471AF">
        <w:rPr>
          <w:b/>
          <w:bCs/>
        </w:rPr>
        <w:t xml:space="preserve">- Mức độ 4 (đe dọa tính mạng): </w:t>
      </w:r>
      <w:r w:rsidRPr="00C471AF">
        <w:t>Gây ra hậu quả đe dọa tính mạng người bệnh; cần can thiệp khẩn cấp.</w:t>
      </w:r>
    </w:p>
    <w:p w:rsidR="000C2DE6" w:rsidRPr="00C471AF" w:rsidRDefault="000C2DE6" w:rsidP="000C2DE6">
      <w:pPr>
        <w:widowControl w:val="0"/>
        <w:autoSpaceDE w:val="0"/>
        <w:autoSpaceDN w:val="0"/>
        <w:adjustRightInd w:val="0"/>
        <w:spacing w:before="120"/>
        <w:jc w:val="both"/>
      </w:pPr>
      <w:r w:rsidRPr="00C471AF">
        <w:rPr>
          <w:b/>
          <w:bCs/>
        </w:rPr>
        <w:t xml:space="preserve">- Mức độ 5 (tử vong): </w:t>
      </w:r>
      <w:r w:rsidRPr="00C471AF">
        <w:t>Tử vong liên quan đến biến cố bất lợi.</w:t>
      </w:r>
    </w:p>
    <w:p w:rsidR="00C82955" w:rsidRPr="000C2DE6" w:rsidRDefault="00C82955" w:rsidP="000C2DE6"/>
    <w:sectPr w:rsidR="00C82955" w:rsidRPr="000C2DE6" w:rsidSect="00D84E72">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EFD"/>
    <w:rsid w:val="000C2DE6"/>
    <w:rsid w:val="007E1000"/>
    <w:rsid w:val="00A67EFD"/>
    <w:rsid w:val="00C82955"/>
    <w:rsid w:val="00D8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DF3CD7-231C-49D7-9790-299F77F73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7EFD"/>
    <w:pPr>
      <w:spacing w:before="0" w:after="0"/>
    </w:pPr>
    <w:rPr>
      <w:rFonts w:eastAsia="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1978</Words>
  <Characters>11278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THANHLONG</dc:creator>
  <cp:keywords/>
  <dc:description/>
  <cp:lastModifiedBy>THANHLONG</cp:lastModifiedBy>
  <cp:revision>2</cp:revision>
  <dcterms:created xsi:type="dcterms:W3CDTF">2025-10-06T12:42:00Z</dcterms:created>
  <dcterms:modified xsi:type="dcterms:W3CDTF">2025-10-06T12:48:00Z</dcterms:modified>
</cp:coreProperties>
</file>