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46"/>
        </w:rPr>
        <w:t>Stock &amp; Stir Current Build</w:t>
      </w:r>
    </w:p>
    <w:p>
      <w:pPr>
        <w:spacing w:after="240"/>
      </w:pPr>
      <w:r>
        <w:rPr>
          <w:rFonts w:ascii="Calibri" w:hAnsi="Calibri"/>
          <w:b w:val="0"/>
          <w:color w:val="667269"/>
          <w:sz w:val="24"/>
        </w:rPr>
        <w:t>Printable manual test checklist — build provenance, website/API flow, and planner regression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60"/>
        <w:gridCol w:w="1500"/>
        <w:gridCol w:w="744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Build ID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Git commit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</w:r>
          </w:p>
        </w:tc>
      </w:tr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Tester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Date / time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</w:r>
          </w:p>
        </w:tc>
      </w:tr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Environment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t>Browser / Streamlit / Render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Device + browser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</w:r>
          </w:p>
        </w:tc>
      </w:tr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Automated gate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t>PASS / FAIL / not run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API URL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C6923D"/>
          <w:sz w:val="20"/>
        </w:rPr>
        <w:t xml:space="preserve">TESTING RULE: </w:t>
      </w:r>
      <w:r>
        <w:rPr>
          <w:rFonts w:ascii="Calibri" w:hAnsi="Calibri"/>
          <w:b/>
          <w:color w:val="17211B"/>
          <w:sz w:val="20"/>
        </w:rPr>
        <w:t>Record the Build ID from the generated recipe before judging the result. If the Build ID changes during testing, begin a new execution sheet so defects never mix two builds.</w:t>
      </w:r>
    </w:p>
    <w:p>
      <w:pPr>
        <w:spacing w:after="160"/>
      </w:pPr>
      <w:r>
        <w:rPr>
          <w:rFonts w:ascii="Calibri" w:hAnsi="Calibri"/>
          <w:b w:val="0"/>
          <w:color w:val="667269"/>
          <w:sz w:val="18"/>
        </w:rPr>
        <w:t>This edition supersedes the V5 Beta 2C checklist. Automated tests remain the gate; this sheet is for human verification and handwritten defect notes.</w:t>
      </w:r>
    </w:p>
    <w:p>
      <w:pPr>
        <w:pStyle w:val="Heading1"/>
        <w:keepNext/>
      </w:pPr>
      <w:r>
        <w:t>A. Build identity and provenance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4200"/>
        <w:gridCol w:w="4050"/>
        <w:gridCol w:w="900"/>
        <w:gridCol w:w="4530"/>
      </w:tblGrid>
      <w:tr>
        <w:trPr>
          <w:tblHeader w:val="true"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to do</w:t>
            </w:r>
          </w:p>
        </w:tc>
        <w:tc>
          <w:tcPr>
            <w:tcW w:type="dxa" w:w="4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Result</w:t>
            </w:r>
          </w:p>
        </w:tc>
        <w:tc>
          <w:tcPr>
            <w:tcW w:type="dxa" w:w="45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Notes / defect ID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BP-01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Generate a recipe in the browser. Look beneath the recipe for the small Test provenance line.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A build ID in the form SNS-xxxxxxxxxxxx and a 12-character commit are visible without opening the details.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BP-02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Expand Test provenance on the generated recipe page.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The panel opens and shows Test configuration and Exact source files.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BP-03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Check the source-file list for app.py, api_service.py, recipe_engine.py, cooking_planner.py, ingredient_profiles.py, sauce_profiles.py, config.py, render.yaml, requirements.txt, recipe.html, sns-flow.js, and current imported/master CKB CSV files.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Each named file appears with its own 12-character fingerprint. No absolute computer paths are exposed.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BP-04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Compare the displayed test configuration with the meal request you just made.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Candidate, cooking method, energy, equipment, protein form/state, servings, and time limit match the actual request.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BP-05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Generate two different recipes without deploying new code. Record both build IDs and generation times.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Build IDs and commits match. Generation times and meal configuration may differ.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BP-06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After the next committed code/configuration change is deployed, generate the same test meal again.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The new result has a different build ID and the deployed commit is updated.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BP-07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Generate a recipe in the Streamlit engineering app and expand Exact build files and test configuration.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The Streamlit result shows the same provenance structure and records the engineering-app inputs.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BP-08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Capture a screenshot of a generated meal without expanding provenance.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The screenshot includes the unobtrusive build ID/commit line while the recipe remains readable.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B. Website and API meal flow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4200"/>
        <w:gridCol w:w="4050"/>
        <w:gridCol w:w="900"/>
        <w:gridCol w:w="4530"/>
      </w:tblGrid>
      <w:tr>
        <w:trPr>
          <w:tblHeader w:val="true"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to do</w:t>
            </w:r>
          </w:p>
        </w:tc>
        <w:tc>
          <w:tcPr>
            <w:tcW w:type="dxa" w:w="4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Result</w:t>
            </w:r>
          </w:p>
        </w:tc>
        <w:tc>
          <w:tcPr>
            <w:tcW w:type="dxa" w:w="45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Notes / defect ID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WF-01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Open My Kitchen. Enter exact quantities and units for items in more than one storage section, then save.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Quantities and units remain attached to the correct items and storage sections.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WF-02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Select several foods and at least two pieces of equipment, including a rice cooker or pressure cooker when available.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All selected foods and equipment are included in the kitchen request.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WF-03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Choose Make a Recipe from My Kitchen.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The choice page loads current trained meal concepts without a crash and does not present one identical ingredient bundle in many disguises.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WF-04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Open one meal from the choice page.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The browser requests that exact candidate and opens the generated recipe page.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WF-05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Review recipe title, summary, timing, ingredients, and cooking plan.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The page is complete, readable on the testing device, and contains numbered actions plus unnumbered information notes.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WF-06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Compare the generated ingredients with the chosen candidate and My Kitchen.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Only ingredients belonging to this meal are listed; unrelated available foods do not leak into the recipe.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WF-07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Check ingredient forms and useful quantities on the opened recipe.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Protein form/state and known seasoning quantities are explicit; duplicate ingredient names are absent.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WF-08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Use Back to My Kitchen, change one quantity or equipment selection, and generate again.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The new request uses the changed kitchen and the provenance configuration reflects the change.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C. Planner and cooking-language regression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4200"/>
        <w:gridCol w:w="4050"/>
        <w:gridCol w:w="900"/>
        <w:gridCol w:w="4530"/>
      </w:tblGrid>
      <w:tr>
        <w:trPr>
          <w:tblHeader w:val="true"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to do</w:t>
            </w:r>
          </w:p>
        </w:tc>
        <w:tc>
          <w:tcPr>
            <w:tcW w:type="dxa" w:w="4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Result</w:t>
            </w:r>
          </w:p>
        </w:tc>
        <w:tc>
          <w:tcPr>
            <w:tcW w:type="dxa" w:w="45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Notes / defect ID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PL-01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Test frozen raw chicken with rice and a vegetable.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The plan provides a safe thaw/cook path and never tells the tester to place frozen chicken directly into a skillet.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PL-02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Test frozen ground beef with microwave, pressure cooker, and skillet selected.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The plan thaws before skillet heat, uses doneness language, and never later refers to frozen ground beef as though it were still frozen.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PL-03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Generate a rice-foundation meal with a rice cooker or pressure cooker selected.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Rice is routed off-burner when the selected equipment supports it; the recipe does not pretend the equipment exists when it was not selected.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PL-04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Generate a meal with mushrooms plus a quick vegetable such as asparagus, spinach, or Swiss chard.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Mushrooms can brown early; the quick vegetable is staged later instead of cooking for the entire meal.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PL-05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Generate a cuisine-directed meal and inspect ingredients and later cooking steps.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Sauce/seasoning ingredients are explicit and the plan actually tells the cook when to use them.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PL-06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Inspect salt guidance in a meal containing packaged sauce, broth, canned soup, or a seasoning blend.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The plan tells the cook to taste before adding salt and avoids automatic double-salting.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PL-07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Read the plan from the beginning through the first heated action.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Ingredient Prep is completed before heat; the transition clearly says prep is complete and cooking begins.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PL-08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Generate a soup or stew with broth available.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Components cook in one pot unless a clearly optional flavor-building step is justified; the result is not a plate of separate sides.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PL-09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Scan the final recipe for engine placeholders.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The customer-facing plan does not say the foundation, long-lead component, ingredient prep is handled, or other internal planner jargon.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PL-10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Inspect the end of the plan.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Taste/seasoning happens before plating, the food is safely finished, and the closing message is brief and useful.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D. Streamlit engineering checks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4200"/>
        <w:gridCol w:w="4050"/>
        <w:gridCol w:w="900"/>
        <w:gridCol w:w="4530"/>
      </w:tblGrid>
      <w:tr>
        <w:trPr>
          <w:tblHeader w:val="true"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to do</w:t>
            </w:r>
          </w:p>
        </w:tc>
        <w:tc>
          <w:tcPr>
            <w:tcW w:type="dxa" w:w="4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Result</w:t>
            </w:r>
          </w:p>
        </w:tc>
        <w:tc>
          <w:tcPr>
            <w:tcW w:type="dxa" w:w="45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Notes / defect ID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EN-01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Launch the Streamlit app and open Build Recipe.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The app loads without a traceback and the existing database counts are visible.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EN-02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Generate options with a protein, multiple vegetables, a foundation, cuisine, energy, budget, time, servings, and protein form/state.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Options show meal shape, total/active/passive time, attention, effort, score, and why text.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EN-03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Generate the selected Streamlit recipe and open Developer Activity Debug and Developer Kitchen Lanes.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Activities and minute-by-minute lanes are present and consistent with the human instructions.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EN-04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Open Developer Opportunity Debug when opportunities exist.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Matched resources, category, confidence, and explanation are readable and do not change the cooking instructions incorrectly.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11B"/>
                <w:sz w:val="17"/>
              </w:rPr>
              <w:t>EN-05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Open Ingredients, Components, Admin Editor, and Data Browser after provenance changes.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Existing engineering/training screens still load and edit/select behavior is not broken.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11B"/>
                <w:sz w:val="17"/>
              </w:rPr>
              <w:t>P / F</w:t>
              <w:br/>
              <w:t>N/A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7"/>
              </w:rPr>
              <w:br/>
              <w:br/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E. Release decision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1800"/>
        <w:gridCol w:w="684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Overall result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t>PASS / FAIL / CONDITIONAL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Retest required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t>YES / NO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P0 defects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P1 defects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Approved by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Approval date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Decision / notes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</w:r>
          </w:p>
        </w:tc>
      </w:tr>
    </w:tbl>
    <w:p>
      <w:pPr>
        <w:pStyle w:val="Heading1"/>
        <w:keepNext/>
      </w:pPr>
      <w:r>
        <w:t>Defect / follow-up log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050"/>
        <w:gridCol w:w="1800"/>
        <w:gridCol w:w="5700"/>
        <w:gridCol w:w="1350"/>
        <w:gridCol w:w="330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Defect ID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Test ID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Build ID</w:t>
            </w:r>
          </w:p>
        </w:tc>
        <w:tc>
          <w:tcPr>
            <w:tcW w:type="dxa" w:w="5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Description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Severity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Disposition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1B"/>
                <w:sz w:val="18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20" w:bottom="792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7269"/>
        <w:sz w:val="16"/>
      </w:rPr>
      <w:t xml:space="preserve">SNS · Build provenance edition · 2026-07-15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269"/>
        <w:sz w:val="16"/>
      </w:rPr>
      <w:t>STOCK &amp; STIR  |  CURRENT MANUAL TEST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