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200"/>
        <w:jc w:val="center"/>
      </w:pPr>
      <w:r>
        <w:rPr>
          <w:b/>
          <w:bCs/>
          <w:i w:val="false"/>
          <w:iCs w:val="false"/>
          <w:color w:val="1A1A1A"/>
          <w:sz w:val="48"/>
          <w:szCs w:val="48"/>
        </w:rPr>
        <w:t xml:space="preserve">OO 1352.5, Transgender and Intersex Youth</w:t>
      </w:r>
    </w:p>
    <w:p>
      <w:pPr>
        <w:spacing w:after="300"/>
        <w:jc w:val="center"/>
      </w:pPr>
      <w:r>
        <w:rPr>
          <w:b w:val="false"/>
          <w:bCs w:val="false"/>
          <w:i w:val="false"/>
          <w:iCs w:val="false"/>
          <w:color w:val="595959"/>
          <w:sz w:val="32"/>
          <w:szCs w:val="32"/>
        </w:rPr>
        <w:t xml:space="preserve">Citations and required actions. This is not a redline and carries no tracked changes.</w:t>
      </w:r>
    </w:p>
    <w:p>
      <w:pPr>
        <w:spacing w:after="40"/>
        <w:jc w:val="center"/>
      </w:pPr>
      <w:r>
        <w:rPr>
          <w:b w:val="false"/>
          <w:bCs w:val="false"/>
          <w:i w:val="false"/>
          <w:iCs w:val="false"/>
          <w:color w:val="1A1A1A"/>
          <w:sz w:val="26"/>
          <w:szCs w:val="26"/>
        </w:rPr>
        <w:t xml:space="preserve">Sacramento County Probation Department, Youth Detention Facility</w:t>
      </w:r>
    </w:p>
    <w:p>
      <w:pPr>
        <w:spacing w:after="280"/>
        <w:jc w:val="center"/>
      </w:pPr>
      <w:r>
        <w:rPr>
          <w:b w:val="false"/>
          <w:bCs w:val="false"/>
          <w:i w:val="false"/>
          <w:iCs w:val="false"/>
          <w:color w:val="595959"/>
          <w:sz w:val="24"/>
          <w:szCs w:val="24"/>
        </w:rPr>
        <w:t xml:space="preserve">Effective 03/01/2019.</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This document is not the order and contains none of its words.</w:t>
            </w:r>
            <w:r>
              <w:rPr>
                <w:b w:val="false"/>
                <w:bCs w:val="false"/>
                <w:i w:val="false"/>
                <w:iCs w:val="false"/>
                <w:color w:val="1A1A1A"/>
                <w:sz w:val="24"/>
                <w:szCs w:val="24"/>
              </w:rPr>
              <w:t xml:space="preserve"> OO 1352.5 has never been produced to this review. Every provision below is described from the gap register, which traces to an earlier review that did read the order. No sentence in this document is a quotation from OO 1352.5, and no text is shown as struck or inserted, because showing a deletion of wording nobody captured would be inventing departmental policy and then marking it up.</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120" w:before="60" w:line="272"/>
            </w:pPr>
            <w:r>
              <w:rPr>
                <w:b w:val="false"/>
                <w:bCs w:val="false"/>
                <w:i w:val="false"/>
                <w:iCs w:val="false"/>
                <w:color w:val="1A1A1A"/>
                <w:sz w:val="24"/>
                <w:szCs w:val="24"/>
              </w:rPr>
              <w:t xml:space="preserve"/>
            </w:r>
            <w:r>
              <w:rPr>
                <w:b/>
                <w:bCs/>
                <w:i w:val="false"/>
                <w:iCs w:val="false"/>
                <w:color w:val="1A1A1A"/>
                <w:sz w:val="24"/>
                <w:szCs w:val="24"/>
              </w:rPr>
              <w:t xml:space="preserve">Two of the other order documents in this packet are redlines and this one is not.</w:t>
            </w:r>
            <w:r>
              <w:rPr>
                <w:b w:val="false"/>
                <w:bCs w:val="false"/>
                <w:i w:val="false"/>
                <w:iCs w:val="false"/>
                <w:color w:val="1A1A1A"/>
                <w:sz w:val="24"/>
                <w:szCs w:val="24"/>
              </w:rPr>
              <w:t xml:space="preserve"> OO 1453 and OO 1352 carry real Word revisions because their text was produced and read. This order was never produced, so what follows is a list of its provisions, what the register records each one as doing, and the action required. One provision needs amending. The replacement language for it is drafted here, and it is this review's language, not the department's.</w:t>
            </w:r>
          </w:p>
          <w:p>
            <w:pPr>
              <w:spacing w:after="60" w:line="272"/>
            </w:pPr>
            <w:r>
              <w:rPr>
                <w:b w:val="false"/>
                <w:bCs w:val="false"/>
                <w:i w:val="false"/>
                <w:iCs w:val="false"/>
                <w:color w:val="1A1A1A"/>
                <w:sz w:val="24"/>
                <w:szCs w:val="24"/>
              </w:rPr>
              <w:t xml:space="preserve">What this means in practice: the section numbers are reliable, having been carried in the register across eleven revisions, and the substance of each provision is reliable as a description. The exact wording is not held. Produce the order and this becomes a true tracked changes document on the same day, built the way the OO 1453 document in this packet is built.</w:t>
            </w:r>
          </w:p>
        </w:tc>
      </w:tr>
    </w:tbl>
    <w:p>
      <w:pPr>
        <w:spacing w:before="280" w:line="268"/>
        <w:jc w:val="center"/>
      </w:pPr>
      <w:r>
        <w:rPr>
          <w:b/>
          <w:bCs/>
          <w:i w:val="false"/>
          <w:iCs w:val="false"/>
          <w:color w:val="1A1A1A"/>
          <w:sz w:val="24"/>
          <w:szCs w:val="24"/>
        </w:rPr>
        <w:t xml:space="preserve">NOT LEGAL ADVICE. A working draft for departmental review. Route to County Counsel before adoption.</w:t>
      </w:r>
    </w:p>
    <w:p>
      <w:r>
        <w:br w:type="page"/>
      </w:r>
    </w:p>
    <w:p>
      <w:pPr>
        <w:pStyle w:val="Heading1"/>
      </w:pPr>
      <w:r>
        <w:t xml:space="preserve">The provisions at a glance</w:t>
      </w:r>
    </w:p>
    <w:p>
      <w:pPr>
        <w:spacing w:after="140" w:line="276"/>
      </w:pPr>
      <w:r>
        <w:rPr>
          <w:b w:val="false"/>
          <w:bCs w:val="false"/>
          <w:i w:val="false"/>
          <w:iCs w:val="false"/>
          <w:color w:val="1A1A1A"/>
          <w:sz w:val="24"/>
          <w:szCs w:val="24"/>
        </w:rPr>
        <w:t xml:space="preserve">Thirteen provisions of this order bear on PREA compliance. Twelve require no amendment and four of them exceed the federal standard. One provision, III.I, is the whole finding.</w:t>
      </w:r>
    </w:p>
    <w:p>
      <w:pPr>
        <w:spacing w:after="120" w:line="276"/>
      </w:pPr>
      <w:r>
        <w:rPr>
          <w:b/>
          <w:bCs/>
          <w:i w:val="false"/>
          <w:iCs w:val="false"/>
          <w:color w:val="1A1A1A"/>
          <w:sz w:val="24"/>
          <w:szCs w:val="24"/>
        </w:rPr>
        <w:t xml:space="preserve">II.A to II.D.  </w:t>
      </w:r>
      <w:r>
        <w:rPr>
          <w:b w:val="false"/>
          <w:bCs w:val="false"/>
          <w:i w:val="false"/>
          <w:iCs w:val="false"/>
          <w:color w:val="1A1A1A"/>
          <w:sz w:val="24"/>
          <w:szCs w:val="24"/>
        </w:rPr>
        <w:t xml:space="preserve">Treatment, name and pronoun, dress, medical access, privacy</w:t>
      </w:r>
      <w:r>
        <w:rPr>
          <w:b w:val="false"/>
          <w:bCs w:val="false"/>
          <w:i/>
          <w:iCs/>
          <w:color w:val="595959"/>
          <w:sz w:val="24"/>
          <w:szCs w:val="24"/>
        </w:rPr>
        <w:t xml:space="preserve">  Register row 75. No amendment required.</w:t>
      </w:r>
    </w:p>
    <w:p>
      <w:pPr>
        <w:spacing w:after="120" w:line="276"/>
      </w:pPr>
      <w:r>
        <w:rPr>
          <w:b/>
          <w:bCs/>
          <w:i w:val="false"/>
          <w:iCs w:val="false"/>
          <w:color w:val="1A1A1A"/>
          <w:sz w:val="24"/>
          <w:szCs w:val="24"/>
        </w:rPr>
        <w:t xml:space="preserve">III.A.  </w:t>
      </w:r>
      <w:r>
        <w:rPr>
          <w:b w:val="false"/>
          <w:bCs w:val="false"/>
          <w:i w:val="false"/>
          <w:iCs w:val="false"/>
          <w:color w:val="1A1A1A"/>
          <w:sz w:val="24"/>
          <w:szCs w:val="24"/>
        </w:rPr>
        <w:t xml:space="preserve">Individualized assessment at admission</w:t>
      </w:r>
      <w:r>
        <w:rPr>
          <w:b w:val="false"/>
          <w:bCs w:val="false"/>
          <w:i/>
          <w:iCs/>
          <w:color w:val="595959"/>
          <w:sz w:val="24"/>
          <w:szCs w:val="24"/>
        </w:rPr>
        <w:t xml:space="preserve">  Register rows 37, 75. No amendment required.</w:t>
      </w:r>
    </w:p>
    <w:p>
      <w:pPr>
        <w:spacing w:after="120" w:line="276"/>
      </w:pPr>
      <w:r>
        <w:rPr>
          <w:b/>
          <w:bCs/>
          <w:i w:val="false"/>
          <w:iCs w:val="false"/>
          <w:color w:val="1A1A1A"/>
          <w:sz w:val="24"/>
          <w:szCs w:val="24"/>
        </w:rPr>
        <w:t xml:space="preserve">III.B.  </w:t>
      </w:r>
      <w:r>
        <w:rPr>
          <w:b w:val="false"/>
          <w:bCs w:val="false"/>
          <w:i w:val="false"/>
          <w:iCs w:val="false"/>
          <w:color w:val="1A1A1A"/>
          <w:sz w:val="24"/>
          <w:szCs w:val="24"/>
        </w:rPr>
        <w:t xml:space="preserve">No automatic housing by external anatomy</w:t>
      </w:r>
      <w:r>
        <w:rPr>
          <w:b w:val="false"/>
          <w:bCs w:val="false"/>
          <w:i/>
          <w:iCs/>
          <w:color w:val="595959"/>
          <w:sz w:val="24"/>
          <w:szCs w:val="24"/>
        </w:rPr>
        <w:t xml:space="preserve">  Register rows 36, 37, 75. No amendment required.</w:t>
      </w:r>
    </w:p>
    <w:p>
      <w:pPr>
        <w:spacing w:after="120" w:line="276"/>
      </w:pPr>
      <w:r>
        <w:rPr>
          <w:b/>
          <w:bCs/>
          <w:i w:val="false"/>
          <w:iCs w:val="false"/>
          <w:color w:val="1A1A1A"/>
          <w:sz w:val="24"/>
          <w:szCs w:val="24"/>
        </w:rPr>
        <w:t xml:space="preserve">III.C.  </w:t>
      </w:r>
      <w:r>
        <w:rPr>
          <w:b w:val="false"/>
          <w:bCs w:val="false"/>
          <w:i w:val="false"/>
          <w:iCs w:val="false"/>
          <w:color w:val="1A1A1A"/>
          <w:sz w:val="24"/>
          <w:szCs w:val="24"/>
        </w:rPr>
        <w:t xml:space="preserve">Youth preference and provider recommendations</w:t>
      </w:r>
      <w:r>
        <w:rPr>
          <w:b w:val="false"/>
          <w:bCs w:val="false"/>
          <w:i/>
          <w:iCs/>
          <w:color w:val="595959"/>
          <w:sz w:val="24"/>
          <w:szCs w:val="24"/>
        </w:rPr>
        <w:t xml:space="preserve">  Register rows 37, 75. No amendment required.</w:t>
      </w:r>
    </w:p>
    <w:p>
      <w:pPr>
        <w:spacing w:after="120" w:line="276"/>
      </w:pPr>
      <w:r>
        <w:rPr>
          <w:b/>
          <w:bCs/>
          <w:i w:val="false"/>
          <w:iCs w:val="false"/>
          <w:color w:val="1A1A1A"/>
          <w:sz w:val="24"/>
          <w:szCs w:val="24"/>
        </w:rPr>
        <w:t xml:space="preserve">III.F.  </w:t>
      </w:r>
      <w:r>
        <w:rPr>
          <w:b w:val="false"/>
          <w:bCs w:val="false"/>
          <w:i w:val="false"/>
          <w:iCs w:val="false"/>
          <w:color w:val="1A1A1A"/>
          <w:sz w:val="24"/>
          <w:szCs w:val="24"/>
        </w:rPr>
        <w:t xml:space="preserve">The individualized housing determination</w:t>
      </w:r>
      <w:r>
        <w:rPr>
          <w:b w:val="false"/>
          <w:bCs w:val="false"/>
          <w:i/>
          <w:iCs/>
          <w:color w:val="595959"/>
          <w:sz w:val="24"/>
          <w:szCs w:val="24"/>
        </w:rPr>
        <w:t xml:space="preserve">  Register rows 36, 37, 75. No amendment required.</w:t>
      </w:r>
    </w:p>
    <w:p>
      <w:pPr>
        <w:spacing w:after="120" w:line="276"/>
      </w:pPr>
      <w:r>
        <w:rPr>
          <w:b/>
          <w:bCs/>
          <w:i w:val="false"/>
          <w:iCs w:val="false"/>
          <w:color w:val="1A1A1A"/>
          <w:sz w:val="24"/>
          <w:szCs w:val="24"/>
        </w:rPr>
        <w:t xml:space="preserve">III.G.  </w:t>
      </w:r>
      <w:r>
        <w:rPr>
          <w:b w:val="false"/>
          <w:bCs w:val="false"/>
          <w:i w:val="false"/>
          <w:iCs w:val="false"/>
          <w:color w:val="1A1A1A"/>
          <w:sz w:val="24"/>
          <w:szCs w:val="24"/>
        </w:rPr>
        <w:t xml:space="preserve">Monthly reassessment</w:t>
      </w:r>
      <w:r>
        <w:rPr>
          <w:b w:val="false"/>
          <w:bCs w:val="false"/>
          <w:i/>
          <w:iCs/>
          <w:color w:val="595959"/>
          <w:sz w:val="24"/>
          <w:szCs w:val="24"/>
        </w:rPr>
        <w:t xml:space="preserve">  Register row 37. No amendment required.</w:t>
      </w:r>
    </w:p>
    <w:p>
      <w:pPr>
        <w:spacing w:after="120" w:line="276"/>
      </w:pPr>
      <w:r>
        <w:rPr>
          <w:b/>
          <w:bCs/>
          <w:i w:val="false"/>
          <w:iCs w:val="false"/>
          <w:color w:val="1A1A1A"/>
          <w:sz w:val="24"/>
          <w:szCs w:val="24"/>
        </w:rPr>
        <w:t xml:space="preserve">III.H.  </w:t>
      </w:r>
      <w:r>
        <w:rPr>
          <w:b w:val="false"/>
          <w:bCs w:val="false"/>
          <w:i w:val="false"/>
          <w:iCs w:val="false"/>
          <w:color w:val="1A1A1A"/>
          <w:sz w:val="24"/>
          <w:szCs w:val="24"/>
        </w:rPr>
        <w:t xml:space="preserve">No isolation or program denial by orientation or identity</w:t>
      </w:r>
      <w:r>
        <w:rPr>
          <w:b w:val="false"/>
          <w:bCs w:val="false"/>
          <w:i/>
          <w:iCs/>
          <w:color w:val="595959"/>
          <w:sz w:val="24"/>
          <w:szCs w:val="24"/>
        </w:rPr>
        <w:t xml:space="preserve">  Register rows 36, 37. No amendment required.</w:t>
      </w:r>
    </w:p>
    <w:p>
      <w:pPr>
        <w:spacing w:after="120" w:line="276"/>
      </w:pPr>
      <w:r>
        <w:rPr>
          <w:b/>
          <w:bCs/>
          <w:i w:val="false"/>
          <w:iCs w:val="false"/>
          <w:color w:val="1A1A1A"/>
          <w:sz w:val="24"/>
          <w:szCs w:val="24"/>
        </w:rPr>
        <w:t xml:space="preserve">III.I.  </w:t>
      </w:r>
      <w:r>
        <w:rPr>
          <w:b w:val="false"/>
          <w:bCs w:val="false"/>
          <w:i w:val="false"/>
          <w:iCs w:val="false"/>
          <w:color w:val="1A1A1A"/>
          <w:sz w:val="24"/>
          <w:szCs w:val="24"/>
        </w:rPr>
        <w:t xml:space="preserve">Change 2. Convert the single room rule to a presumptive, documented outcome</w:t>
      </w:r>
      <w:r>
        <w:rPr>
          <w:b w:val="false"/>
          <w:bCs w:val="false"/>
          <w:i/>
          <w:iCs/>
          <w:color w:val="595959"/>
          <w:sz w:val="24"/>
          <w:szCs w:val="24"/>
        </w:rPr>
        <w:t xml:space="preserve">  Register rows 36, 37, 75. Amendment required, change 2.</w:t>
      </w:r>
    </w:p>
    <w:p>
      <w:pPr>
        <w:spacing w:after="120" w:line="276"/>
      </w:pPr>
      <w:r>
        <w:rPr>
          <w:b/>
          <w:bCs/>
          <w:i w:val="false"/>
          <w:iCs w:val="false"/>
          <w:color w:val="1A1A1A"/>
          <w:sz w:val="24"/>
          <w:szCs w:val="24"/>
        </w:rPr>
        <w:t xml:space="preserve">III.J.  </w:t>
      </w:r>
      <w:r>
        <w:rPr>
          <w:b w:val="false"/>
          <w:bCs w:val="false"/>
          <w:i w:val="false"/>
          <w:iCs w:val="false"/>
          <w:color w:val="1A1A1A"/>
          <w:sz w:val="24"/>
          <w:szCs w:val="24"/>
        </w:rPr>
        <w:t xml:space="preserve">Private showers</w:t>
      </w:r>
      <w:r>
        <w:rPr>
          <w:b w:val="false"/>
          <w:bCs w:val="false"/>
          <w:i/>
          <w:iCs/>
          <w:color w:val="595959"/>
          <w:sz w:val="24"/>
          <w:szCs w:val="24"/>
        </w:rPr>
        <w:t xml:space="preserve">  Register row 37. No amendment required.</w:t>
      </w:r>
    </w:p>
    <w:p>
      <w:pPr>
        <w:spacing w:after="120" w:line="276"/>
      </w:pPr>
      <w:r>
        <w:rPr>
          <w:b/>
          <w:bCs/>
          <w:i w:val="false"/>
          <w:iCs w:val="false"/>
          <w:color w:val="1A1A1A"/>
          <w:sz w:val="24"/>
          <w:szCs w:val="24"/>
        </w:rPr>
        <w:t xml:space="preserve">III.K.  </w:t>
      </w:r>
      <w:r>
        <w:rPr>
          <w:b w:val="false"/>
          <w:bCs w:val="false"/>
          <w:i w:val="false"/>
          <w:iCs w:val="false"/>
          <w:color w:val="1A1A1A"/>
          <w:sz w:val="24"/>
          <w:szCs w:val="24"/>
        </w:rPr>
        <w:t xml:space="preserve">Program access preserved</w:t>
      </w:r>
      <w:r>
        <w:rPr>
          <w:b w:val="false"/>
          <w:bCs w:val="false"/>
          <w:i/>
          <w:iCs/>
          <w:color w:val="595959"/>
          <w:sz w:val="24"/>
          <w:szCs w:val="24"/>
        </w:rPr>
        <w:t xml:space="preserve">  Register row 37. No amendment required.</w:t>
      </w:r>
    </w:p>
    <w:p>
      <w:pPr>
        <w:spacing w:after="120" w:line="276"/>
      </w:pPr>
      <w:r>
        <w:rPr>
          <w:b/>
          <w:bCs/>
          <w:i w:val="false"/>
          <w:iCs w:val="false"/>
          <w:color w:val="1A1A1A"/>
          <w:sz w:val="24"/>
          <w:szCs w:val="24"/>
        </w:rPr>
        <w:t xml:space="preserve">IV.A.1.  </w:t>
      </w:r>
      <w:r>
        <w:rPr>
          <w:b w:val="false"/>
          <w:bCs w:val="false"/>
          <w:i w:val="false"/>
          <w:iCs w:val="false"/>
          <w:color w:val="1A1A1A"/>
          <w:sz w:val="24"/>
          <w:szCs w:val="24"/>
        </w:rPr>
        <w:t xml:space="preserve">No physical search to determine anatomical sex</w:t>
      </w:r>
      <w:r>
        <w:rPr>
          <w:b w:val="false"/>
          <w:bCs w:val="false"/>
          <w:i/>
          <w:iCs/>
          <w:color w:val="595959"/>
          <w:sz w:val="24"/>
          <w:szCs w:val="24"/>
        </w:rPr>
        <w:t xml:space="preserve">  Register row 11. No amendment required.</w:t>
      </w:r>
    </w:p>
    <w:p>
      <w:pPr>
        <w:spacing w:after="120" w:line="276"/>
      </w:pPr>
      <w:r>
        <w:rPr>
          <w:b/>
          <w:bCs/>
          <w:i w:val="false"/>
          <w:iCs w:val="false"/>
          <w:color w:val="1A1A1A"/>
          <w:sz w:val="24"/>
          <w:szCs w:val="24"/>
        </w:rPr>
        <w:t xml:space="preserve">IV.A.2.  </w:t>
      </w:r>
      <w:r>
        <w:rPr>
          <w:b w:val="false"/>
          <w:bCs w:val="false"/>
          <w:i w:val="false"/>
          <w:iCs w:val="false"/>
          <w:color w:val="1A1A1A"/>
          <w:sz w:val="24"/>
          <w:szCs w:val="24"/>
        </w:rPr>
        <w:t xml:space="preserve">Genital status determined by conversation or records</w:t>
      </w:r>
      <w:r>
        <w:rPr>
          <w:b w:val="false"/>
          <w:bCs w:val="false"/>
          <w:i/>
          <w:iCs/>
          <w:color w:val="595959"/>
          <w:sz w:val="24"/>
          <w:szCs w:val="24"/>
        </w:rPr>
        <w:t xml:space="preserve">  Register row 11. No amendment required.</w:t>
      </w:r>
    </w:p>
    <w:p>
      <w:pPr>
        <w:spacing w:after="120" w:line="276"/>
      </w:pPr>
      <w:r>
        <w:rPr>
          <w:b/>
          <w:bCs/>
          <w:i w:val="false"/>
          <w:iCs w:val="false"/>
          <w:color w:val="1A1A1A"/>
          <w:sz w:val="24"/>
          <w:szCs w:val="24"/>
        </w:rPr>
        <w:t xml:space="preserve">IV.A.3, with IV.A.3.a to IV.A.3.c.  </w:t>
      </w:r>
      <w:r>
        <w:rPr>
          <w:b w:val="false"/>
          <w:bCs w:val="false"/>
          <w:i w:val="false"/>
          <w:iCs w:val="false"/>
          <w:color w:val="1A1A1A"/>
          <w:sz w:val="24"/>
          <w:szCs w:val="24"/>
        </w:rPr>
        <w:t xml:space="preserve">Searching staff gender, preference form, two staff procedure</w:t>
      </w:r>
      <w:r>
        <w:rPr>
          <w:b w:val="false"/>
          <w:bCs w:val="false"/>
          <w:i/>
          <w:iCs/>
          <w:color w:val="595959"/>
          <w:sz w:val="24"/>
          <w:szCs w:val="24"/>
        </w:rPr>
        <w:t xml:space="preserve">  Register row 11. No amendment required.</w:t>
      </w:r>
    </w:p>
    <w:p>
      <w:r>
        <w:br w:type="page"/>
      </w:r>
    </w:p>
    <w:p>
      <w:pPr>
        <w:pStyle w:val="Heading1"/>
      </w:pPr>
      <w:r>
        <w:t xml:space="preserve">Provision by provision</w:t>
      </w:r>
    </w:p>
    <w:p>
      <w:pPr>
        <w:pStyle w:val="Heading2"/>
      </w:pPr>
      <w:r>
        <w:rPr>
          <w:b/>
          <w:bCs/>
          <w:i w:val="false"/>
          <w:iCs w:val="false"/>
          <w:color w:val="1A1A1A"/>
          <w:sz w:val="30"/>
          <w:szCs w:val="30"/>
        </w:rPr>
        <w:t xml:space="preserve">II.A to II.D</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Treatment, name and pronoun, dress, medical access, privacy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Respect for gender identity and preferred pronoun, with documented exceptions for gang or slang names (II.A). Dress and undergarments consistent with gender identity (II.B). Access to qualified medical and behavioral health providers (II.C). Safety and privacy for bathroom, shower and dressing (II.D).</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required. These provisions implement 15 CCR 1352.5 and are recorded in the register as closing the written policy requirement at row 75. They are listed here so that the department can see the amendment below is one provision out of thirteen rather than a criticism of the order.</w:t>
            </w:r>
          </w:p>
        </w:tc>
      </w:tr>
    </w:tbl>
    <w:p>
      <w:pPr>
        <w:spacing w:after="200"/>
      </w:pPr>
    </w:p>
    <w:p>
      <w:pPr>
        <w:pStyle w:val="Heading2"/>
      </w:pPr>
      <w:r>
        <w:rPr>
          <w:b/>
          <w:bCs/>
          <w:i w:val="false"/>
          <w:iCs w:val="false"/>
          <w:color w:val="1A1A1A"/>
          <w:sz w:val="30"/>
          <w:szCs w:val="30"/>
        </w:rPr>
        <w:t xml:space="preserve">III.A</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Individualized assessment at admission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An individualized assessment at admission, using an Identity Preference Form.</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required. This is the front end of the determination that the amended III.I defers to.</w:t>
            </w:r>
          </w:p>
        </w:tc>
      </w:tr>
    </w:tbl>
    <w:p>
      <w:pPr>
        <w:spacing w:after="200"/>
      </w:pPr>
    </w:p>
    <w:p>
      <w:pPr>
        <w:pStyle w:val="Heading2"/>
      </w:pPr>
      <w:r>
        <w:rPr>
          <w:b/>
          <w:bCs/>
          <w:i w:val="false"/>
          <w:iCs w:val="false"/>
          <w:color w:val="1A1A1A"/>
          <w:sz w:val="30"/>
          <w:szCs w:val="30"/>
        </w:rPr>
        <w:t xml:space="preserve">III.B</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No automatic housing by external anatomy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No automatic housing by external anatomy, and documented reasons for any placement that does not match the youth's gender identity.</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required, and this provision is the reason the finding below exists. III.B states the correct rule. III.I states the opposite rule. The register records III.I as contradicting this provision, III.F and III.H inside the same order.</w:t>
            </w:r>
          </w:p>
        </w:tc>
      </w:tr>
    </w:tbl>
    <w:p>
      <w:pPr>
        <w:spacing w:after="200"/>
      </w:pPr>
    </w:p>
    <w:p>
      <w:pPr>
        <w:pStyle w:val="Heading2"/>
      </w:pPr>
      <w:r>
        <w:rPr>
          <w:b/>
          <w:bCs/>
          <w:i w:val="false"/>
          <w:iCs w:val="false"/>
          <w:color w:val="1A1A1A"/>
          <w:sz w:val="30"/>
          <w:szCs w:val="30"/>
        </w:rPr>
        <w:t xml:space="preserve">III.C</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Youth preference and provider recommendations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Consideration of the youth's own preferences and of provider recommendations.</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required. The register records this provision as closing 28 CFR 115.342(f) and as tracking 15 CCR 1352.5(c), which requires the same two considerations.</w:t>
            </w:r>
          </w:p>
        </w:tc>
      </w:tr>
    </w:tbl>
    <w:p>
      <w:pPr>
        <w:spacing w:after="200"/>
      </w:pPr>
    </w:p>
    <w:p>
      <w:pPr>
        <w:pStyle w:val="Heading2"/>
      </w:pPr>
      <w:r>
        <w:rPr>
          <w:b/>
          <w:bCs/>
          <w:i w:val="false"/>
          <w:iCs w:val="false"/>
          <w:color w:val="1A1A1A"/>
          <w:sz w:val="30"/>
          <w:szCs w:val="30"/>
        </w:rPr>
        <w:t xml:space="preserve">III.F</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The individualized housing determination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Housing based on individualized needs, prioritizing emotional and physical safety, considering the youth's own perception of where the youth will be most secure, documented in JPIP classification comments with the date and the justification.</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required, and this is the single most important provision in the order for this packet. It is the determination that 28 CFR 115.342(c) and 15 CCR 1352(e) require, it already exists, and it already requires documentation. The amendment to III.I works by pointing at this provision rather than by creating anything new.</w:t>
            </w:r>
          </w:p>
        </w:tc>
      </w:tr>
    </w:tbl>
    <w:p>
      <w:pPr>
        <w:spacing w:after="200"/>
      </w:pPr>
    </w:p>
    <w:p>
      <w:pPr>
        <w:pStyle w:val="Heading2"/>
      </w:pPr>
      <w:r>
        <w:rPr>
          <w:b/>
          <w:bCs/>
          <w:i w:val="false"/>
          <w:iCs w:val="false"/>
          <w:color w:val="1A1A1A"/>
          <w:sz w:val="30"/>
          <w:szCs w:val="30"/>
        </w:rPr>
        <w:t xml:space="preserve">III.G</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Monthly reassessment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Reassessment of placement and program assignment monthly or as needed.</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required. This exceeds the federal standard: 28 CFR 115.342(e) sets a twice yearly minimum and the order reassesses monthly. Worth stating in the room, because the department gets no credit for it anywhere else in this packet.</w:t>
            </w:r>
          </w:p>
        </w:tc>
      </w:tr>
    </w:tbl>
    <w:p>
      <w:pPr>
        <w:spacing w:after="200"/>
      </w:pPr>
    </w:p>
    <w:p>
      <w:pPr>
        <w:pStyle w:val="Heading2"/>
      </w:pPr>
      <w:r>
        <w:rPr>
          <w:b/>
          <w:bCs/>
          <w:i w:val="false"/>
          <w:iCs w:val="false"/>
          <w:color w:val="1A1A1A"/>
          <w:sz w:val="30"/>
          <w:szCs w:val="30"/>
        </w:rPr>
        <w:t xml:space="preserve">III.H</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No isolation or program denial by orientation or identity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Staff shall not consider a youth's sexual orientation or gender identity as a reason to isolate the youth or to withhold program options.</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required, and this provision does work beyond this order. It is one of the authorities the register uses against the S-8 classification in OO 1352, because this order took effect 03/01/2019 and OO 1352 created S-8 on 12/09/2019. The department adopted the correct rule first and the opposite rule afterward, which is recorded at register row 36.</w:t>
            </w:r>
          </w:p>
        </w:tc>
      </w:tr>
    </w:tbl>
    <w:p>
      <w:pPr>
        <w:spacing w:after="200"/>
      </w:pPr>
    </w:p>
    <w:p>
      <w:pPr>
        <w:pStyle w:val="Heading2"/>
      </w:pPr>
      <w:r>
        <w:rPr>
          <w:b/>
          <w:bCs/>
          <w:i w:val="false"/>
          <w:iCs w:val="false"/>
          <w:color w:val="1A1A1A"/>
          <w:sz w:val="30"/>
          <w:szCs w:val="30"/>
        </w:rPr>
        <w:t xml:space="preserve">III.I</w:t>
      </w:r>
      <w:r>
        <w:rPr>
          <w:b w:val="false"/>
          <w:bCs w:val="false"/>
          <w:i w:val="false"/>
          <w:iCs w:val="false"/>
          <w:color w:val="595959"/>
          <w:sz w:val="24"/>
          <w:szCs w:val="24"/>
        </w:rPr>
        <w:t xml:space="preserve">   Change 2</w:t>
      </w:r>
    </w:p>
    <w:p>
      <w:pPr>
        <w:spacing w:after="140" w:line="268"/>
      </w:pPr>
      <w:r>
        <w:rPr>
          <w:b w:val="false"/>
          <w:bCs w:val="false"/>
          <w:i/>
          <w:iCs/>
          <w:color w:val="1A1A1A"/>
          <w:sz w:val="24"/>
          <w:szCs w:val="24"/>
        </w:rPr>
        <w:t xml:space="preserve">Change 2. Convert the single room rule to a presumptive, documented outcome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The register records III.I as providing that all transgender and intersex youth shall be provided a single room.</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The problem.</w:t>
            </w:r>
            <w:r>
              <w:rPr>
                <w:b w:val="false"/>
                <w:bCs w:val="false"/>
                <w:i w:val="false"/>
                <w:iCs w:val="false"/>
                <w:color w:val="1A1A1A"/>
                <w:sz w:val="24"/>
                <w:szCs w:val="24"/>
              </w:rPr>
              <w:t xml:space="preserve"> That is a categorical housing outcome assigned by status, which is what 28 CFR 115.342(c) and 15 CCR 1352(e) prohibit, and it contradicts III.B, III.F and III.H inside this same order. This version is more defensible than the S-8 mandate in OO 1352, because it is limited to transgender and intersex youth, states a privacy and safety rationale, and preserves program access at III.K. Categorical is still categorical. Revision 8 added the context that makes it bite: the department houses girls separately from boys, so a transgender or intersex youth is the case the housing system has no default for, and III.I resolves that case by status rather than by the determination III.B and III.F require.</w:t>
            </w:r>
          </w:p>
        </w:tc>
      </w:tr>
    </w:tbl>
    <w:p>
      <w:pPr>
        <w:spacing w:after="100"/>
      </w:pPr>
    </w:p>
    <w:p>
      <w:pPr>
        <w:spacing w:after="80" w:before="60"/>
      </w:pPr>
      <w:r>
        <w:rPr>
          <w:b/>
          <w:bCs/>
          <w:i w:val="false"/>
          <w:iCs w:val="false"/>
          <w:color w:val="1A1A1A"/>
          <w:sz w:val="24"/>
          <w:szCs w:val="24"/>
        </w:rPr>
        <w:t xml:space="preserve">Authority</w:t>
      </w:r>
    </w:p>
    <w:p>
      <w:pPr>
        <w:pStyle w:val="ListParagraph"/>
        <w:numPr>
          <w:ilvl w:val="0"/>
          <w:numId w:val="1"/>
        </w:numPr>
        <w:spacing w:after="80" w:line="272"/>
      </w:pPr>
      <w:r>
        <w:rPr>
          <w:b w:val="false"/>
          <w:bCs w:val="false"/>
          <w:i w:val="false"/>
          <w:iCs w:val="false"/>
          <w:color w:val="1A1A1A"/>
          <w:sz w:val="24"/>
          <w:szCs w:val="24"/>
        </w:rPr>
        <w:t xml:space="preserve">28 CFR 115.342(c), and (d) to (g)</w:t>
      </w:r>
    </w:p>
    <w:p>
      <w:pPr>
        <w:pStyle w:val="ListParagraph"/>
        <w:numPr>
          <w:ilvl w:val="0"/>
          <w:numId w:val="1"/>
        </w:numPr>
        <w:spacing w:after="80" w:line="272"/>
      </w:pPr>
      <w:r>
        <w:rPr>
          <w:b w:val="false"/>
          <w:bCs w:val="false"/>
          <w:i w:val="false"/>
          <w:iCs w:val="false"/>
          <w:color w:val="1A1A1A"/>
          <w:sz w:val="24"/>
          <w:szCs w:val="24"/>
        </w:rPr>
        <w:t xml:space="preserve">15 CCR 1352(e), verified against the edition effective 04/01/2014 and unchanged in the edition effective 01/01/2019</w:t>
      </w:r>
    </w:p>
    <w:p>
      <w:pPr>
        <w:pStyle w:val="ListParagraph"/>
        <w:numPr>
          <w:ilvl w:val="0"/>
          <w:numId w:val="1"/>
        </w:numPr>
        <w:spacing w:after="80" w:line="272"/>
      </w:pPr>
      <w:r>
        <w:rPr>
          <w:b w:val="false"/>
          <w:bCs w:val="false"/>
          <w:i w:val="false"/>
          <w:iCs w:val="false"/>
          <w:color w:val="1A1A1A"/>
          <w:sz w:val="24"/>
          <w:szCs w:val="24"/>
        </w:rPr>
        <w:t xml:space="preserve">15 CCR 1352.5(c), verified in Revision 6 against the edition effective 01/01/2019: staff shall house youth in the unit or room that best meets their individual needs, may not automatically house youth according to their external anatomy, shall document reasons for any placement not matching gender identity, and shall consider the youth's preferences and provider recommendations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Replace III.I with the language below. The replacement makes single occupancy the presumptive result of the III.F determination instead of an automatic consequence of status. Confirm the numbering and the current wording against the order before adoption.</w:t>
            </w:r>
          </w:p>
        </w:tc>
      </w:tr>
    </w:tbl>
    <w:p>
      <w:pPr>
        <w:spacing w:after="140"/>
      </w:pPr>
    </w:p>
    <w:p>
      <w:pPr>
        <w:spacing w:after="100" w:line="272"/>
      </w:pPr>
      <w:r>
        <w:rPr>
          <w:b/>
          <w:bCs/>
          <w:i w:val="false"/>
          <w:iCs w:val="false"/>
          <w:color w:val="1A1A1A"/>
          <w:sz w:val="24"/>
          <w:szCs w:val="24"/>
        </w:rPr>
        <w:t xml:space="preserve">Proposed replacement language.</w:t>
      </w:r>
      <w:r>
        <w:rPr>
          <w:b w:val="false"/>
          <w:bCs w:val="false"/>
          <w:i/>
          <w:iCs/>
          <w:color w:val="595959"/>
          <w:sz w:val="24"/>
          <w:szCs w:val="24"/>
        </w:rPr>
        <w:t xml:space="preserve">  Drafted by this review. These are not the order's words and are not presented as an edit to its text.</w:t>
      </w:r>
    </w:p>
    <w:p>
      <w:pPr>
        <w:spacing w:after="100"/>
        <w:ind w:left="420"/>
      </w:pPr>
      <w:r>
        <w:rPr>
          <w:b/>
          <w:bCs/>
          <w:i w:val="false"/>
          <w:iCs w:val="false"/>
          <w:color w:val="1A1A1A"/>
          <w:sz w:val="24"/>
          <w:szCs w:val="24"/>
        </w:rPr>
        <w:t xml:space="preserve">III.I  Room assignment</w:t>
      </w:r>
    </w:p>
    <w:p>
      <w:pPr>
        <w:spacing w:after="100" w:line="276"/>
        <w:ind w:left="420"/>
      </w:pPr>
      <w:r>
        <w:rPr>
          <w:b w:val="false"/>
          <w:bCs w:val="false"/>
          <w:i w:val="false"/>
          <w:iCs w:val="false"/>
          <w:color w:val="1A1A1A"/>
          <w:sz w:val="24"/>
          <w:szCs w:val="24"/>
        </w:rPr>
        <w:t xml:space="preserve">1. The room assignment of a transgender or intersex youth shall be determined individually under III.B and III.F. It shall not be determined by the youth's status as transgender or intersex.</w:t>
      </w:r>
    </w:p>
    <w:p>
      <w:pPr>
        <w:spacing w:after="100" w:line="276"/>
        <w:ind w:left="420"/>
      </w:pPr>
      <w:r>
        <w:rPr>
          <w:b w:val="false"/>
          <w:bCs w:val="false"/>
          <w:i w:val="false"/>
          <w:iCs w:val="false"/>
          <w:color w:val="1A1A1A"/>
          <w:sz w:val="24"/>
          <w:szCs w:val="24"/>
        </w:rPr>
        <w:t xml:space="preserve">2. Single occupancy housing is the presumptive outcome of that determination, and the presumption is overcome where the individualized determination supports shared housing consistent with the youth's own perception of where the youth will be most secure. The determination shall be revisited at each reassessment required by III.G.</w:t>
      </w:r>
    </w:p>
    <w:p>
      <w:pPr>
        <w:spacing w:after="100" w:line="276"/>
        <w:ind w:left="420"/>
      </w:pPr>
      <w:r>
        <w:rPr>
          <w:b w:val="false"/>
          <w:bCs w:val="false"/>
          <w:i w:val="false"/>
          <w:iCs w:val="false"/>
          <w:color w:val="1A1A1A"/>
          <w:sz w:val="24"/>
          <w:szCs w:val="24"/>
        </w:rPr>
        <w:t xml:space="preserve">3. Whether the determination results in single occupancy or shared housing, the reasons shall be documented in the JPIP classification comments with the date and justification required by III.F, including the youth's stated preference and, where the assignment departs from that preference, the reason it does.</w:t>
      </w:r>
    </w:p>
    <w:p>
      <w:pPr>
        <w:spacing w:after="100" w:line="276"/>
        <w:ind w:left="420"/>
      </w:pPr>
      <w:r>
        <w:rPr>
          <w:b w:val="false"/>
          <w:bCs w:val="false"/>
          <w:i w:val="false"/>
          <w:iCs w:val="false"/>
          <w:color w:val="1A1A1A"/>
          <w:sz w:val="24"/>
          <w:szCs w:val="24"/>
        </w:rPr>
        <w:t xml:space="preserve">4. A single occupancy assignment made under this section shall not reduce the youth's access to programming, education, recreation, visiting, or any other activity, as III.K requires.</w:t>
      </w:r>
    </w:p>
    <w:p>
      <w:pPr>
        <w:spacing w:after="100" w:line="276"/>
        <w:ind w:left="420"/>
      </w:pPr>
      <w:r>
        <w:rPr>
          <w:b w:val="false"/>
          <w:bCs w:val="false"/>
          <w:i w:val="false"/>
          <w:iCs w:val="false"/>
          <w:color w:val="1A1A1A"/>
          <w:sz w:val="24"/>
          <w:szCs w:val="24"/>
        </w:rPr>
        <w:t xml:space="preserve">5. Nothing in this section limits a youth's right to request single occupancy housing. A request shall be documented under III.F and honored where operationally feasible.</w:t>
      </w:r>
    </w:p>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Watch this.</w:t>
            </w:r>
            <w:r>
              <w:rPr>
                <w:b w:val="false"/>
                <w:bCs w:val="false"/>
                <w:i w:val="false"/>
                <w:iCs w:val="false"/>
                <w:color w:val="1A1A1A"/>
                <w:sz w:val="24"/>
                <w:szCs w:val="24"/>
              </w:rPr>
              <w:t xml:space="preserve"> A presumption applied without a real determination is the same defect in better clothes. The JPIP documentation required by paragraph 3 is what makes this a determination rather than the old rule in different words, so audit those entries after adoption.</w:t>
            </w:r>
          </w:p>
        </w:tc>
      </w:tr>
    </w:tbl>
    <w:p>
      <w:pPr>
        <w:spacing w:after="200"/>
      </w:pPr>
    </w:p>
    <w:p>
      <w:pPr>
        <w:pStyle w:val="Heading2"/>
      </w:pPr>
      <w:r>
        <w:rPr>
          <w:b/>
          <w:bCs/>
          <w:i w:val="false"/>
          <w:iCs w:val="false"/>
          <w:color w:val="1A1A1A"/>
          <w:sz w:val="30"/>
          <w:szCs w:val="30"/>
        </w:rPr>
        <w:t xml:space="preserve">III.J</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Private showers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Private showers for all youth.</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required. The register records this provision as closing 28 CFR 115.342(g).</w:t>
            </w:r>
          </w:p>
        </w:tc>
      </w:tr>
    </w:tbl>
    <w:p>
      <w:pPr>
        <w:spacing w:after="200"/>
      </w:pPr>
    </w:p>
    <w:p>
      <w:pPr>
        <w:pStyle w:val="Heading2"/>
      </w:pPr>
      <w:r>
        <w:rPr>
          <w:b/>
          <w:bCs/>
          <w:i w:val="false"/>
          <w:iCs w:val="false"/>
          <w:color w:val="1A1A1A"/>
          <w:sz w:val="30"/>
          <w:szCs w:val="30"/>
        </w:rPr>
        <w:t xml:space="preserve">III.K</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Program access preserved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Preservation of program participation despite private accommodations.</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required, and paragraph 4 of the proposed III.I language points at this provision rather than restating it.</w:t>
            </w:r>
          </w:p>
        </w:tc>
      </w:tr>
    </w:tbl>
    <w:p>
      <w:pPr>
        <w:spacing w:after="200"/>
      </w:pPr>
    </w:p>
    <w:p>
      <w:pPr>
        <w:pStyle w:val="Heading2"/>
      </w:pPr>
      <w:r>
        <w:rPr>
          <w:b/>
          <w:bCs/>
          <w:i w:val="false"/>
          <w:iCs w:val="false"/>
          <w:color w:val="1A1A1A"/>
          <w:sz w:val="30"/>
          <w:szCs w:val="30"/>
        </w:rPr>
        <w:t xml:space="preserve">IV.A.1</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No physical search to determine anatomical sex</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A prohibition on physically searching a youth to determine anatomical sex.</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required. The register records 28 CFR 115.315(e) as closed by this provision and in places exceeded by the IV.A series.</w:t>
            </w:r>
          </w:p>
        </w:tc>
      </w:tr>
    </w:tbl>
    <w:p>
      <w:pPr>
        <w:spacing w:after="200"/>
      </w:pPr>
    </w:p>
    <w:p>
      <w:pPr>
        <w:pStyle w:val="Heading2"/>
      </w:pPr>
      <w:r>
        <w:rPr>
          <w:b/>
          <w:bCs/>
          <w:i w:val="false"/>
          <w:iCs w:val="false"/>
          <w:color w:val="1A1A1A"/>
          <w:sz w:val="30"/>
          <w:szCs w:val="30"/>
        </w:rPr>
        <w:t xml:space="preserve">IV.A.2</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Genital status determined by conversation or records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Where genital status is unknown, it is determined through conversation with the youth or review of medical records.</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to this order. The required action runs the other way: the register records this provision as better than PREA Policy VIII.B, which contemplates a private physical examination, and recommends that the PREA Policy be conformed to this order rather than the reverse. That is a PREA Policy amendment and it is blocked until the PREA Policy is produced.</w:t>
            </w:r>
          </w:p>
        </w:tc>
      </w:tr>
    </w:tbl>
    <w:p>
      <w:pPr>
        <w:spacing w:after="200"/>
      </w:pPr>
    </w:p>
    <w:p>
      <w:pPr>
        <w:pStyle w:val="Heading2"/>
      </w:pPr>
      <w:r>
        <w:rPr>
          <w:b/>
          <w:bCs/>
          <w:i w:val="false"/>
          <w:iCs w:val="false"/>
          <w:color w:val="1A1A1A"/>
          <w:sz w:val="30"/>
          <w:szCs w:val="30"/>
        </w:rPr>
        <w:t xml:space="preserve">IV.A.3, with IV.A.3.a to IV.A.3.c</w:t>
      </w:r>
      <w:r>
        <w:rPr>
          <w:b w:val="false"/>
          <w:bCs w:val="false"/>
          <w:i w:val="false"/>
          <w:iCs w:val="false"/>
          <w:color w:val="595959"/>
          <w:sz w:val="24"/>
          <w:szCs w:val="24"/>
        </w:rPr>
        <w:t xml:space="preserve">   No amendment required</w:t>
      </w:r>
    </w:p>
    <w:p>
      <w:pPr>
        <w:spacing w:after="140" w:line="268"/>
      </w:pPr>
      <w:r>
        <w:rPr>
          <w:b w:val="false"/>
          <w:bCs w:val="false"/>
          <w:i/>
          <w:iCs/>
          <w:color w:val="1A1A1A"/>
          <w:sz w:val="24"/>
          <w:szCs w:val="24"/>
        </w:rPr>
        <w:t xml:space="preserve">Searching staff gender, preference form, two staff procedure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DF1F7"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What the register records this provision as doing.</w:t>
            </w:r>
            <w:r>
              <w:rPr>
                <w:b w:val="false"/>
                <w:bCs w:val="false"/>
                <w:i w:val="false"/>
                <w:iCs w:val="false"/>
                <w:color w:val="1A1A1A"/>
                <w:sz w:val="24"/>
                <w:szCs w:val="24"/>
              </w:rPr>
              <w:t xml:space="preserve"> Respect for the youth's preference as to the gender of searching staff whenever feasible (IV.A.3). An Identification Preference Form for all youth at intake, supervisor review of any preference request, a direct meeting between the supervisor and the youth before authorizing, and documentation of the request, the rationale and who conducted the search in the youth's file, in JPIP and on the Strip Search Authorization Application (IV.A.3.a). Two staff procedures for strip and pat down searches, with the preferred gender staff conducting and the second staff within hearing but out of view (IV.A.3.b and IV.A.3.c).</w:t>
            </w:r>
          </w:p>
        </w:tc>
      </w:tr>
    </w:tbl>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AF1EA"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Action required.</w:t>
            </w:r>
            <w:r>
              <w:rPr>
                <w:b w:val="false"/>
                <w:bCs w:val="false"/>
                <w:i w:val="false"/>
                <w:iCs w:val="false"/>
                <w:color w:val="1A1A1A"/>
                <w:sz w:val="24"/>
                <w:szCs w:val="24"/>
              </w:rPr>
              <w:t xml:space="preserve"> No amendment to this order. One conforming amendment elsewhere: OO 1360 should carry an explicit cross reference to IV.A.3.b, because these two orders do reconcile and a reader of OO 1360 alone would not know it. Revision 2 of this review recorded a conflict between them and withdrew it on reading this provision. The cross reference is listed as a conforming item under change 2 and costs one sentence.</w:t>
            </w:r>
          </w:p>
        </w:tc>
      </w:tr>
    </w:tbl>
    <w:p>
      <w:r>
        <w:br w:type="page"/>
      </w:r>
    </w:p>
    <w:p>
      <w:pPr>
        <w:pStyle w:val="Heading1"/>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OO 1352.5 has never been produced to this review.</w:t>
            </w:r>
            <w:r>
              <w:rPr>
                <w:b w:val="false"/>
                <w:bCs w:val="false"/>
                <w:i w:val="false"/>
                <w:iCs w:val="false"/>
                <w:color w:val="1A1A1A"/>
                <w:sz w:val="24"/>
                <w:szCs w:val="24"/>
              </w:rPr>
              <w:t xml:space="preserve"> Confirm the III.I numbering and the current wording against the order before adopting the replacement language. Everything in this document is a description drawn from the register, not a quotation.</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The 15 CCR 1352.5 citation in the authority line is </w:t>
            </w:r>
            <w:r>
              <w:rPr>
                <w:b/>
                <w:bCs/>
                <w:i w:val="false"/>
                <w:iCs w:val="false"/>
                <w:color w:val="1A1A1A"/>
                <w:sz w:val="24"/>
                <w:szCs w:val="24"/>
              </w:rPr>
              <w:t xml:space="preserve">verified</w:t>
            </w:r>
            <w:r>
              <w:rPr>
                <w:b w:val="false"/>
                <w:bCs w:val="false"/>
                <w:i w:val="false"/>
                <w:iCs w:val="false"/>
                <w:color w:val="1A1A1A"/>
                <w:sz w:val="24"/>
                <w:szCs w:val="24"/>
              </w:rPr>
              <w:t xml:space="preserve">. It was carried as unconfirmed through Revision 5 because it is absent from the 04/01/2014 edition of Title 15, and Revision 6 confirmed it against the edition effective 01/01/2019, where it runs (a) to (e). The edition effective 01/01/2019 is the operative one. The January 2023 revision is a pending proposal and must not be relied on.</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The register records III.I as contradicting III.B, III.F and III.H. That assessment rests on the earlier review's reading of the order. Confirm the three cross references survive in the current version before the amendment relies on them.</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This order is one of three the recommended amendments touch that have never been produced to this review. The other two are the PREA Policy and the Internal Affairs policy. Producing this order moves change 2 from a description onto the order's real words.</w:t>
            </w:r>
          </w:p>
        </w:tc>
      </w:tr>
    </w:tbl>
    <w:p>
      <w:pPr>
        <w:spacing w:after="120"/>
      </w:pPr>
    </w:p>
    <w:p>
      <w:pPr>
        <w:spacing w:before="200" w:line="268"/>
      </w:pPr>
      <w:r>
        <w:rPr>
          <w:b w:val="false"/>
          <w:bCs w:val="false"/>
          <w:i/>
          <w:iCs/>
          <w:color w:val="595959"/>
          <w:sz w:val="24"/>
          <w:szCs w:val="24"/>
        </w:rPr>
        <w:t xml:space="preserve">Drawn from gap register Revision 11. This copy is regenerated from source; edits made here are not carried forward.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OO 1352.5, Transgender and Intersex Youth, citations and required actions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A1A1A"/>
      <w:sz w:val="34"/>
      <w:szCs w:val="34"/>
    </w:rPr>
  </w:style>
  <w:style w:type="paragraph" w:styleId="Heading2">
    <w:name w:val="Heading 2"/>
    <w:basedOn w:val="Normal"/>
    <w:next w:val="Normal"/>
    <w:qFormat/>
    <w:pPr>
      <w:spacing w:after="100" w:before="280"/>
    </w:pPr>
    <w:rPr>
      <w:rFonts w:ascii="Calibri" w:cs="Calibri" w:eastAsia="Calibri" w:hAnsi="Calibri"/>
      <w:b/>
      <w:bCs/>
      <w:color w:val="1A1A1A"/>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2026-10-30T19:54:27.400Z</dcterms:created>
  <dcterms:modified xsi:type="dcterms:W3CDTF">2026-10-30T19:54:27.400Z</dcterms:modified>
</cp:coreProperties>
</file>

<file path=docProps/custom.xml><?xml version="1.0" encoding="utf-8"?>
<Properties xmlns="http://schemas.openxmlformats.org/officeDocument/2006/custom-properties" xmlns:vt="http://schemas.openxmlformats.org/officeDocument/2006/docPropsVTypes"/>
</file>