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11.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 625.6(c) excepts questioning where the officer reasonably believes the information is necessary to protect life or property from an imminent threat and the questions are limited to what is reasonably necessary. 625.6(d) provides that subdivision (a) does not apply to a probation officer acting in the normal performance of duties under WIC 625, 627.5 or 628. Separately, WIC 625.7, effective 07/01/2024, bars threats, physical harm, deception and psychologically manipulative tactics in the custodial interrogation of a youth 17 or younger.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CORRECTED IN REVISION 11, AND THE CORRECTION RUNS PARTLY IN THE DEPARTMENT'S FAVOUR. Revision 10 recorded this conflict without 625.6(c) or 625.6(d), because the statute was summarised rather than read to the end. 625.6(d) is the one that matters: a duty supervisor is a probation officer, and if taking this statement is normal performance of duties under WIC 625, 627.5 or 628 then the consultation requirement does not reach it at all. Those three sections concern taking a minor into temporary custody, advising a minor on delivery to a probation officer, and the decision to release or detain, none of which obviously covers questioning a resident about a new offence alleged to have occurred inside the facility. The finding survives on the better reading, and it is materially more contestable than Revision 10 recorded. This review found no case deciding it, and it is the first argument the department or opposing counsel would raise. It is the gating question for County Counsel, and the status is held at Conflict pending the answer rather than lowered, because the order is silent on a statute that on the better reading applies to it and silence is not an exemption. WIC 625.7 is a second statute the same paragraph predates and also omits. First recorded in Revision 10, on reading OO 1453.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Drafted in Revision 11 as recommended change 8, and available as a tracked changes copy of the order built from its own words. The amendment splits the victim statement from the suspect statement, adds the 625.6 consultation, writes the 625.6(c) exception narrowly and requires it to be documented, adds the 625.7 prohibition, and states where the supervisor stops and a trained investigator starts. Until adopted,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the gap register.</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625.6(a), (c) and (d) (as amended by SB 203, eff. 01/01/2021); WIC 625.7 (eff. 07/01/2024);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The gap register remains the working record. This document is generated from it, so it is a view rather than a second source of truth. When a finding changes, the register is edited, what changed is recorded in its change log using the convention already in use, and this document is regenerated.</w:t>
      </w:r>
    </w:p>
    <w:p>
      <w:pPr>
        <w:spacing w:after="120" w:line="276"/>
      </w:pPr>
      <w:r>
        <w:rPr>
          <w:color w:val="1A1A1A"/>
        </w:rPr>
        <w:t xml:space="preserve">The owner, target date, and disposition columns of the register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11</dc:description>
  <cp:lastModifiedBy>Un-named</cp:lastModifiedBy>
  <cp:revision>1</cp:revision>
  <dcterms:created xsi:type="dcterms:W3CDTF">2026-10-30T17:31:00.843Z</dcterms:created>
  <dcterms:modified xsi:type="dcterms:W3CDTF">2026-10-30T17:31:00.844Z</dcterms:modified>
</cp:coreProperties>
</file>

<file path=docProps/custom.xml><?xml version="1.0" encoding="utf-8"?>
<Properties xmlns="http://schemas.openxmlformats.org/officeDocument/2006/custom-properties" xmlns:vt="http://schemas.openxmlformats.org/officeDocument/2006/docPropsVTypes"/>
</file>