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p>
            <w:pPr>
              <w:pStyle w:val="ListParagraph"/>
              <w:numPr>
                <w:ilvl w:val="0"/>
                <w:numId w:val="1"/>
              </w:numPr>
              <w:spacing w:after="60" w:before="40" w:line="264"/>
            </w:pPr>
            <w:r>
              <w:rPr>
                <w:color w:val="1A1A1A"/>
              </w:rPr>
              <w:t xml:space="preserve">**Penal Code 261.5, 288.5 and 289.6 in the S-4A offence list are the drafter's judgment**, not sections the order enumerates and not sections this review has verified as the right additions. Only 287 and 289 are confirmed omissions, recorded against the order's own enumeration at II.G.1 and II.G.3. Confirm all three with County Counsel, or strike them and keep the successor-statute catch-all, which is what stops the next renumbering reopening the gap that 287 left. **The same caveat appears on the tracked changes copy of OO 1352, and the two say the same thing on purpose.**</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2026-10-30T17:52:58.561Z</dcterms:created>
  <dcterms:modified xsi:type="dcterms:W3CDTF">2026-10-30T17:52:58.561Z</dcterms:modified>
</cp:coreProperties>
</file>

<file path=docProps/custom.xml><?xml version="1.0" encoding="utf-8"?>
<Properties xmlns="http://schemas.openxmlformats.org/officeDocument/2006/custom-properties" xmlns:vt="http://schemas.openxmlformats.org/officeDocument/2006/docPropsVTypes"/>
</file>