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9. 90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90</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24"/>
          <w:szCs w:val="24"/>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1452 and 1453 confirmed against source. REVISED in 7: 1452 and 1453 re-verified against the 2019 edition, unchanged.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24"/>
          <w:szCs w:val="24"/>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24"/>
          <w:szCs w:val="24"/>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24"/>
          <w:szCs w:val="24"/>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24"/>
          <w:szCs w:val="24"/>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24"/>
          <w:szCs w:val="24"/>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24"/>
          <w:szCs w:val="24"/>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1453 confirmed against source. REVISED in 7: 1453 re-verified against the 2019 edition, unchanged.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90.</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9.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9</dc:description>
  <cp:lastModifiedBy>Un-named</cp:lastModifiedBy>
  <cp:revision>1</cp:revision>
  <dcterms:created xsi:type="dcterms:W3CDTF">2026-10-29T20:41:08.449Z</dcterms:created>
  <dcterms:modified xsi:type="dcterms:W3CDTF">2026-10-29T20:41:08.450Z</dcterms:modified>
</cp:coreProperties>
</file>

<file path=docProps/custom.xml><?xml version="1.0" encoding="utf-8"?>
<Properties xmlns="http://schemas.openxmlformats.org/officeDocument/2006/custom-properties" xmlns:vt="http://schemas.openxmlformats.org/officeDocument/2006/docPropsVTypes"/>
</file>