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b/>
          <w:bCs/>
          <w:i w:val="false"/>
          <w:iCs w:val="false"/>
          <w:color w:val="1A1A1A"/>
          <w:sz w:val="48"/>
          <w:szCs w:val="48"/>
        </w:rPr>
        <w:t xml:space="preserve">PREA Incident Classification Card</w:t>
      </w:r>
    </w:p>
    <w:p>
      <w:pPr>
        <w:spacing w:after="320"/>
        <w:jc w:val="center"/>
      </w:pPr>
      <w:r>
        <w:rPr>
          <w:b w:val="false"/>
          <w:bCs w:val="false"/>
          <w:i w:val="false"/>
          <w:iCs w:val="false"/>
          <w:color w:val="595959"/>
          <w:sz w:val="32"/>
          <w:szCs w:val="32"/>
        </w:rPr>
        <w:t xml:space="preserve">Supervisor field version. Five steps, then write it down.</w:t>
      </w:r>
    </w:p>
    <w:p>
      <w:pPr>
        <w:spacing w:after="40"/>
        <w:jc w:val="center"/>
      </w:pPr>
      <w:r>
        <w:rPr>
          <w:b w:val="false"/>
          <w:bCs w:val="false"/>
          <w:i w:val="false"/>
          <w:iCs w:val="false"/>
          <w:color w:val="1A1A1A"/>
          <w:sz w:val="26"/>
          <w:szCs w:val="26"/>
        </w:rPr>
        <w:t xml:space="preserve">Sacramento County Probation Department</w:t>
      </w:r>
    </w:p>
    <w:p>
      <w:pPr>
        <w:spacing w:after="320"/>
        <w:jc w:val="center"/>
      </w:pPr>
      <w:r>
        <w:rPr>
          <w:b w:val="false"/>
          <w:bCs w:val="false"/>
          <w:i w:val="false"/>
          <w:iCs w:val="false"/>
          <w:color w:val="1A1A1A"/>
          <w:sz w:val="26"/>
          <w:szCs w:val="26"/>
        </w:rPr>
        <w:t xml:space="preserve">Youth Detention Facility</w:t>
      </w:r>
    </w:p>
    <w:p>
      <w:pPr>
        <w:spacing w:after="320"/>
        <w:jc w:val="center"/>
      </w:pPr>
      <w:r>
        <w:rPr>
          <w:b/>
          <w:bCs/>
          <w:i w:val="false"/>
          <w:iCs w:val="false"/>
          <w:color w:val="1A1A1A"/>
          <w:sz w:val="32"/>
          <w:szCs w:val="32"/>
        </w:rPr>
        <w:t xml:space="preserve">DRAFT FOR COUNTY COUNSEL REVIEW. Not for issuance to supervisors until the CANRA column is confirmed.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64"/>
            </w:pPr>
            <w:r>
              <w:rPr>
                <w:b w:val="false"/>
                <w:bCs w:val="false"/>
                <w:i w:val="false"/>
                <w:iCs w:val="false"/>
                <w:color w:val="1A1A1A"/>
                <w:sz w:val="24"/>
                <w:szCs w:val="24"/>
              </w:rPr>
              <w:t xml:space="preserve">Use this to classify an incident and act on it. It is the short form of the Supervisor Decision Guide, which carries the statutory text, the authority and the reasoning behind every answer here. When an answer on this card surprises you, or someone challenges it, go to the full guide. </w:t>
            </w:r>
            <w:r>
              <w:rPr>
                <w:b/>
                <w:bCs/>
                <w:i w:val="false"/>
                <w:iCs w:val="false"/>
                <w:color w:val="1A1A1A"/>
                <w:sz w:val="24"/>
                <w:szCs w:val="24"/>
              </w:rPr>
              <w:t xml:space="preserve">This card is youth-on-youth only.</w:t>
            </w:r>
            <w:r>
              <w:rPr>
                <w:b w:val="false"/>
                <w:bCs w:val="false"/>
                <w:i w:val="false"/>
                <w:iCs w:val="false"/>
                <w:color w:val="1A1A1A"/>
                <w:sz w:val="24"/>
                <w:szCs w:val="24"/>
              </w:rPr>
              <w:t xml:space="preserve"> If any staff member is involved in any way, stop and use the staff track in the full guide instead.</w:t>
            </w:r>
          </w:p>
        </w:tc>
      </w:tr>
    </w:tbl>
    <w:p>
      <w:r>
        <w:br w:type="page"/>
      </w:r>
    </w:p>
    <w:p>
      <w:pPr>
        <w:pStyle w:val="Heading1"/>
        <w:spacing w:after="160" w:before="320"/>
      </w:pPr>
      <w:r>
        <w:rPr>
          <w:b/>
          <w:bCs/>
          <w:i w:val="false"/>
          <w:iCs w:val="false"/>
          <w:color w:val="1A1A1A"/>
          <w:sz w:val="34"/>
          <w:szCs w:val="34"/>
        </w:rPr>
        <w:t xml:space="preserve">Step 1.  </w:t>
      </w:r>
      <w:r>
        <w:rPr>
          <w:b/>
          <w:bCs/>
          <w:i w:val="false"/>
          <w:iCs w:val="false"/>
          <w:color w:val="1A1A1A"/>
          <w:sz w:val="34"/>
          <w:szCs w:val="34"/>
        </w:rPr>
        <w:t xml:space="preserve">Ages, before anything else</w:t>
      </w:r>
    </w:p>
    <w:p>
      <w:pPr>
        <w:spacing w:after="120" w:line="276"/>
      </w:pPr>
      <w:r>
        <w:rPr>
          <w:b w:val="false"/>
          <w:bCs w:val="false"/>
          <w:i w:val="false"/>
          <w:iCs w:val="false"/>
          <w:color w:val="1A1A1A"/>
          <w:sz w:val="24"/>
          <w:szCs w:val="24"/>
        </w:rPr>
        <w:t xml:space="preserve">Age decides the CPS column. Settle it first, because it changes the answer before you even look at the conduct. Residents 18 and over are not children for CANRA, whatever the court jurisdiction, and the department does not treat them as dependent adults.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6680"/>
      </w:tblGrid>
      <w:tr>
        <w:trPr>
          <w:tblHeader/>
        </w:trPr>
        <w:tc>
          <w:tcPr>
            <w:tcW w:type="dxa" w:w="340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Who is involved</w:t>
            </w:r>
          </w:p>
        </w:tc>
        <w:tc>
          <w:tcPr>
            <w:tcW w:type="dxa" w:w="668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What happens to the CPS column</w:t>
            </w:r>
          </w:p>
        </w:tc>
      </w:tr>
      <w:tr>
        <w:tc>
          <w:tcPr>
            <w:tcW w:type="dxa" w:w="34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Both under 18</w:t>
            </w:r>
          </w:p>
        </w:tc>
        <w:tc>
          <w:tcPr>
            <w:tcW w:type="dxa" w:w="668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Use the chart as written.</w:t>
            </w:r>
          </w:p>
        </w:tc>
      </w:tr>
      <w:tr>
        <w:tc>
          <w:tcPr>
            <w:tcW w:type="dxa" w:w="34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One under 18, one over</w:t>
            </w:r>
          </w:p>
        </w:tc>
        <w:tc>
          <w:tcPr>
            <w:tcW w:type="dxa" w:w="668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Still reports</w:t>
            </w:r>
            <w:r>
              <w:rPr>
                <w:b w:val="false"/>
                <w:bCs w:val="false"/>
                <w:i w:val="false"/>
                <w:iCs w:val="false"/>
                <w:color w:val="1A1A1A"/>
                <w:sz w:val="24"/>
                <w:szCs w:val="24"/>
              </w:rPr>
              <w:t xml:space="preserve">, on every tier the chart says YES. </w:t>
            </w:r>
            <w:r>
              <w:rPr>
                <w:b/>
                <w:bCs/>
                <w:i w:val="false"/>
                <w:iCs w:val="false"/>
                <w:color w:val="1A1A1A"/>
                <w:sz w:val="24"/>
                <w:szCs w:val="24"/>
              </w:rPr>
              <w:t xml:space="preserve">Never run consent analysis.</w:t>
            </w:r>
            <w:r>
              <w:rPr>
                <w:b w:val="false"/>
                <w:bCs w:val="false"/>
                <w:i w:val="false"/>
                <w:iCs w:val="false"/>
                <w:color w:val="1A1A1A"/>
                <w:sz w:val="24"/>
                <w:szCs w:val="24"/>
              </w:rPr>
              <w:t xml:space="preserve"> A minor cannot lawfully consent with an adult, so apparent willingness changes nothing.</w:t>
            </w:r>
          </w:p>
        </w:tc>
      </w:tr>
      <w:tr>
        <w:tc>
          <w:tcPr>
            <w:tcW w:type="dxa" w:w="34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Both 18 or over</w:t>
            </w:r>
          </w:p>
        </w:tc>
        <w:tc>
          <w:tcPr>
            <w:tcW w:type="dxa" w:w="668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No CPS report on any tier.</w:t>
            </w:r>
            <w:r>
              <w:rPr>
                <w:b w:val="false"/>
                <w:bCs w:val="false"/>
                <w:i w:val="false"/>
                <w:iCs w:val="false"/>
                <w:color w:val="1A1A1A"/>
                <w:sz w:val="24"/>
                <w:szCs w:val="24"/>
              </w:rPr>
              <w:t xml:space="preserve"> No child, so no CANRA. PREA is unchanged. The external report goes to the </w:t>
            </w:r>
            <w:r>
              <w:rPr>
                <w:b/>
                <w:bCs/>
                <w:i w:val="false"/>
                <w:iCs w:val="false"/>
                <w:color w:val="1A1A1A"/>
                <w:sz w:val="24"/>
                <w:szCs w:val="24"/>
              </w:rPr>
              <w:t xml:space="preserve">Sheriff</w:t>
            </w:r>
            <w:r>
              <w:rPr>
                <w:b w:val="false"/>
                <w:bCs w:val="false"/>
                <w:i w:val="false"/>
                <w:iCs w:val="false"/>
                <w:color w:val="1A1A1A"/>
                <w:sz w:val="24"/>
                <w:szCs w:val="24"/>
              </w:rPr>
              <w:t xml:space="preserve">, not CPS, and only for sexual assault.</w:t>
            </w:r>
          </w:p>
        </w:tc>
      </w:tr>
    </w:tbl>
    <w:p>
      <w:r>
        <w:br w:type="page"/>
      </w:r>
    </w:p>
    <w:p>
      <w:pPr>
        <w:pStyle w:val="Heading1"/>
        <w:spacing w:after="160" w:before="320"/>
      </w:pPr>
      <w:r>
        <w:rPr>
          <w:b/>
          <w:bCs/>
          <w:i w:val="false"/>
          <w:iCs w:val="false"/>
          <w:color w:val="1A1A1A"/>
          <w:sz w:val="34"/>
          <w:szCs w:val="34"/>
        </w:rPr>
        <w:t xml:space="preserve">Step 2.  </w:t>
      </w:r>
      <w:r>
        <w:rPr>
          <w:b/>
          <w:bCs/>
          <w:i w:val="false"/>
          <w:iCs w:val="false"/>
          <w:color w:val="1A1A1A"/>
          <w:sz w:val="34"/>
          <w:szCs w:val="34"/>
        </w:rPr>
        <w:t xml:space="preserve">Find the conduct</w:t>
      </w:r>
    </w:p>
    <w:p>
      <w:pPr>
        <w:spacing w:after="120" w:line="276"/>
      </w:pPr>
      <w:r>
        <w:rPr>
          <w:b w:val="false"/>
          <w:bCs w:val="false"/>
          <w:i w:val="false"/>
          <w:iCs w:val="false"/>
          <w:color w:val="1A1A1A"/>
          <w:sz w:val="24"/>
          <w:szCs w:val="24"/>
        </w:rPr>
        <w:t xml:space="preserve">Two separate tests. They line up on touching and come apart everywhere else. Answering one never answers the other.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760"/>
        <w:gridCol w:w="4120"/>
        <w:gridCol w:w="2500"/>
        <w:gridCol w:w="2700"/>
      </w:tblGrid>
      <w:tr>
        <w:trPr>
          <w:tblHeader/>
        </w:trPr>
        <w:tc>
          <w:tcPr>
            <w:tcW w:type="dxa" w:w="76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Tier</w:t>
            </w:r>
          </w:p>
        </w:tc>
        <w:tc>
          <w:tcPr>
            <w:tcW w:type="dxa" w:w="412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What happened</w:t>
            </w:r>
          </w:p>
        </w:tc>
        <w:tc>
          <w:tcPr>
            <w:tcW w:type="dxa" w:w="250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Is it PREA?</w:t>
            </w:r>
          </w:p>
        </w:tc>
        <w:tc>
          <w:tcPr>
            <w:tcW w:type="dxa" w:w="270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CPS report?</w:t>
            </w:r>
          </w:p>
        </w:tc>
      </w:tr>
      <w:tr>
        <w:tc>
          <w:tcPr>
            <w:tcW w:type="dxa" w:w="76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1</w:t>
            </w:r>
          </w:p>
        </w:tc>
        <w:tc>
          <w:tcPr>
            <w:tcW w:type="dxa" w:w="412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One sexualized comment. No contact, no exposure, no threat.</w:t>
            </w:r>
          </w:p>
        </w:tc>
        <w:tc>
          <w:tcPr>
            <w:tcW w:type="dxa" w:w="25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Not PREA</w:t>
            </w:r>
          </w:p>
        </w:tc>
        <w:tc>
          <w:tcPr>
            <w:tcW w:type="dxa" w:w="27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No</w:t>
            </w:r>
          </w:p>
        </w:tc>
      </w:tr>
      <w:tr>
        <w:tc>
          <w:tcPr>
            <w:tcW w:type="dxa" w:w="76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2</w:t>
            </w:r>
          </w:p>
        </w:tc>
        <w:tc>
          <w:tcPr>
            <w:tcW w:type="dxa" w:w="412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Sexualized comments or gestures, repeated and unwelcome, at the same youth.</w:t>
            </w:r>
          </w:p>
        </w:tc>
        <w:tc>
          <w:tcPr>
            <w:tcW w:type="dxa" w:w="25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PREA sexual harassment</w:t>
            </w:r>
          </w:p>
        </w:tc>
        <w:tc>
          <w:tcPr>
            <w:tcW w:type="dxa" w:w="27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No</w:t>
            </w:r>
          </w:p>
        </w:tc>
      </w:tr>
      <w:tr>
        <w:tc>
          <w:tcPr>
            <w:tcW w:type="dxa" w:w="76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3</w:t>
            </w:r>
          </w:p>
        </w:tc>
        <w:tc>
          <w:tcPr>
            <w:tcW w:type="dxa" w:w="412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Exposes genitals. No masturbation, no contact.</w:t>
            </w:r>
          </w:p>
        </w:tc>
        <w:tc>
          <w:tcPr>
            <w:tcW w:type="dxa" w:w="25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Harassment only if repeated</w:t>
            </w:r>
          </w:p>
        </w:tc>
        <w:tc>
          <w:tcPr>
            <w:tcW w:type="dxa" w:w="27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No. Read tier 4 first</w:t>
            </w:r>
          </w:p>
        </w:tc>
      </w:tr>
      <w:tr>
        <w:tc>
          <w:tcPr>
            <w:tcW w:type="dxa" w:w="760"/>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4</w:t>
            </w:r>
          </w:p>
        </w:tc>
        <w:tc>
          <w:tcPr>
            <w:tcW w:type="dxa" w:w="412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Masturbates in view of another youth.</w:t>
            </w:r>
          </w:p>
        </w:tc>
        <w:tc>
          <w:tcPr>
            <w:tcW w:type="dxa" w:w="25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Harassment only if repeated</w:t>
            </w:r>
          </w:p>
        </w:tc>
        <w:tc>
          <w:tcPr>
            <w:tcW w:type="dxa" w:w="27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YES if the youth who saw it is under 18</w:t>
            </w:r>
          </w:p>
        </w:tc>
      </w:tr>
      <w:tr>
        <w:tc>
          <w:tcPr>
            <w:tcW w:type="dxa" w:w="760"/>
            <w:shd w:fill="F7DDDD"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5</w:t>
            </w:r>
          </w:p>
        </w:tc>
        <w:tc>
          <w:tcPr>
            <w:tcW w:type="dxa" w:w="4120"/>
            <w:shd w:fill="F7DDD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Touches genitals, anus, groin, breast, inner thigh or buttocks. Through clothing counts.</w:t>
            </w:r>
          </w:p>
        </w:tc>
        <w:tc>
          <w:tcPr>
            <w:tcW w:type="dxa" w:w="2500"/>
            <w:shd w:fill="F7DDD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PREA SEXUAL ABUSE</w:t>
            </w:r>
          </w:p>
        </w:tc>
        <w:tc>
          <w:tcPr>
            <w:tcW w:type="dxa" w:w="2700"/>
            <w:shd w:fill="F7DDD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YES if either resident is under 18</w:t>
            </w:r>
          </w:p>
        </w:tc>
      </w:tr>
      <w:tr>
        <w:tc>
          <w:tcPr>
            <w:tcW w:type="dxa" w:w="760"/>
            <w:shd w:fill="F7DDDD" w:color="auto" w:val="clear"/>
            <w:tcMar>
              <w:top w:type="dxa" w:w="60"/>
              <w:left w:type="dxa" w:w="100"/>
              <w:bottom w:type="dxa" w:w="60"/>
              <w:right w:type="dxa" w:w="100"/>
            </w:tcMar>
          </w:tcPr>
          <w:p>
            <w:pPr>
              <w:spacing w:after="40" w:before="40" w:line="240"/>
              <w:jc w:val="center"/>
            </w:pPr>
            <w:r>
              <w:rPr>
                <w:b w:val="false"/>
                <w:bCs w:val="false"/>
                <w:i w:val="false"/>
                <w:iCs w:val="false"/>
                <w:color w:val="1A1A1A"/>
                <w:sz w:val="24"/>
                <w:szCs w:val="24"/>
              </w:rPr>
              <w:t xml:space="preserve">6</w:t>
            </w:r>
          </w:p>
        </w:tc>
        <w:tc>
          <w:tcPr>
            <w:tcW w:type="dxa" w:w="4120"/>
            <w:shd w:fill="F7DDD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Oral, anal or penetrative contact, attempted or completed. Or anything above by force, threat or coercion.</w:t>
            </w:r>
          </w:p>
        </w:tc>
        <w:tc>
          <w:tcPr>
            <w:tcW w:type="dxa" w:w="2500"/>
            <w:shd w:fill="F7DDD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PREA SEXUAL ABUSE</w:t>
            </w:r>
          </w:p>
        </w:tc>
        <w:tc>
          <w:tcPr>
            <w:tcW w:type="dxa" w:w="2700"/>
            <w:shd w:fill="F7DDD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YES if either resident is under 18</w:t>
            </w:r>
          </w:p>
        </w:tc>
      </w:tr>
    </w:tbl>
    <w:p>
      <w:pPr>
        <w:pStyle w:val="Heading1"/>
        <w:spacing w:after="160" w:before="320"/>
      </w:pPr>
      <w:r>
        <w:rPr>
          <w:b/>
          <w:bCs/>
          <w:i w:val="false"/>
          <w:iCs w:val="false"/>
          <w:color w:val="1A1A1A"/>
          <w:sz w:val="34"/>
          <w:szCs w:val="34"/>
        </w:rPr>
        <w:t xml:space="preserve">Step 3.  </w:t>
      </w:r>
      <w:r>
        <w:rPr>
          <w:b/>
          <w:bCs/>
          <w:i w:val="false"/>
          <w:iCs w:val="false"/>
          <w:color w:val="1A1A1A"/>
          <w:sz w:val="34"/>
          <w:szCs w:val="34"/>
        </w:rPr>
        <w:t xml:space="preserve">Check for a flip</w:t>
      </w:r>
    </w:p>
    <w:p>
      <w:pPr>
        <w:spacing w:after="120" w:line="276"/>
      </w:pPr>
      <w:r>
        <w:rPr>
          <w:b w:val="false"/>
          <w:bCs w:val="false"/>
          <w:i w:val="false"/>
          <w:iCs w:val="false"/>
          <w:color w:val="1A1A1A"/>
          <w:sz w:val="24"/>
          <w:szCs w:val="24"/>
        </w:rPr>
        <w:t xml:space="preserve">Any one of these moves the incident up and forces a deliberate CPS call, whatever tier the conduct looked like.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b w:val="false"/>
                <w:bCs w:val="false"/>
                <w:i w:val="false"/>
                <w:iCs w:val="false"/>
                <w:color w:val="1A1A1A"/>
                <w:sz w:val="24"/>
                <w:szCs w:val="24"/>
              </w:rPr>
              <w:t xml:space="preserve">Force, threat, coercion or leverage of any kind, including debt, protection or commissary.</w:t>
            </w:r>
          </w:p>
          <w:p>
            <w:pPr>
              <w:pStyle w:val="ListParagraph"/>
              <w:numPr>
                <w:ilvl w:val="0"/>
                <w:numId w:val="1"/>
              </w:numPr>
              <w:spacing w:after="60" w:before="40" w:line="264"/>
            </w:pPr>
            <w:r>
              <w:rPr>
                <w:b w:val="false"/>
                <w:bCs w:val="false"/>
                <w:i w:val="false"/>
                <w:iCs w:val="false"/>
                <w:color w:val="1A1A1A"/>
                <w:sz w:val="24"/>
                <w:szCs w:val="24"/>
              </w:rPr>
              <w:t xml:space="preserve">Any sign it happened before, reported or not.</w:t>
            </w:r>
          </w:p>
          <w:p>
            <w:pPr>
              <w:pStyle w:val="ListParagraph"/>
              <w:numPr>
                <w:ilvl w:val="0"/>
                <w:numId w:val="1"/>
              </w:numPr>
              <w:spacing w:after="60" w:before="40" w:line="264"/>
            </w:pPr>
            <w:r>
              <w:rPr>
                <w:b w:val="false"/>
                <w:bCs w:val="false"/>
                <w:i w:val="false"/>
                <w:iCs w:val="false"/>
                <w:color w:val="1A1A1A"/>
                <w:sz w:val="24"/>
                <w:szCs w:val="24"/>
              </w:rPr>
              <w:t xml:space="preserve">The target is under 14.</w:t>
            </w:r>
          </w:p>
          <w:p>
            <w:pPr>
              <w:pStyle w:val="ListParagraph"/>
              <w:numPr>
                <w:ilvl w:val="0"/>
                <w:numId w:val="1"/>
              </w:numPr>
              <w:spacing w:after="60" w:before="40" w:line="264"/>
            </w:pPr>
            <w:r>
              <w:rPr>
                <w:b w:val="false"/>
                <w:bCs w:val="false"/>
                <w:i w:val="false"/>
                <w:iCs w:val="false"/>
                <w:color w:val="1A1A1A"/>
                <w:sz w:val="24"/>
                <w:szCs w:val="24"/>
              </w:rPr>
              <w:t xml:space="preserve">A significant age, size, developmental or cognitive gap between the two.</w:t>
            </w:r>
          </w:p>
          <w:p>
            <w:pPr>
              <w:pStyle w:val="ListParagraph"/>
              <w:numPr>
                <w:ilvl w:val="0"/>
                <w:numId w:val="1"/>
              </w:numPr>
              <w:spacing w:after="60" w:before="40" w:line="264"/>
            </w:pPr>
            <w:r>
              <w:rPr>
                <w:b w:val="false"/>
                <w:bCs w:val="false"/>
                <w:i w:val="false"/>
                <w:iCs w:val="false"/>
                <w:color w:val="1A1A1A"/>
                <w:sz w:val="24"/>
                <w:szCs w:val="24"/>
              </w:rPr>
              <w:t xml:space="preserve">The target discloses prior sexual abuse, inside or outside the facility.</w:t>
            </w:r>
          </w:p>
          <w:p>
            <w:pPr>
              <w:pStyle w:val="ListParagraph"/>
              <w:numPr>
                <w:ilvl w:val="0"/>
                <w:numId w:val="1"/>
              </w:numPr>
              <w:spacing w:after="60" w:before="40" w:line="264"/>
            </w:pPr>
            <w:r>
              <w:rPr>
                <w:b w:val="false"/>
                <w:bCs w:val="false"/>
                <w:i w:val="false"/>
                <w:iCs w:val="false"/>
                <w:color w:val="1A1A1A"/>
                <w:sz w:val="24"/>
                <w:szCs w:val="24"/>
              </w:rPr>
              <w:t xml:space="preserve">Reason to suspect the youth who acted has himself been abused. That is a separate report about a different child.</w:t>
            </w:r>
          </w:p>
          <w:p>
            <w:pPr>
              <w:pStyle w:val="ListParagraph"/>
              <w:numPr>
                <w:ilvl w:val="0"/>
                <w:numId w:val="1"/>
              </w:numPr>
              <w:spacing w:after="60" w:before="40" w:line="264"/>
            </w:pPr>
            <w:r>
              <w:rPr>
                <w:b w:val="false"/>
                <w:bCs w:val="false"/>
                <w:i w:val="false"/>
                <w:iCs w:val="false"/>
                <w:color w:val="1A1A1A"/>
                <w:sz w:val="24"/>
                <w:szCs w:val="24"/>
              </w:rPr>
              <w:t xml:space="preserve">A pattern by the same youth toward more than one target.</w:t>
            </w:r>
          </w:p>
          <w:p>
            <w:pPr>
              <w:pStyle w:val="ListParagraph"/>
              <w:numPr>
                <w:ilvl w:val="0"/>
                <w:numId w:val="1"/>
              </w:numPr>
              <w:spacing w:after="60" w:before="40" w:line="264"/>
            </w:pPr>
            <w:r>
              <w:rPr>
                <w:b w:val="false"/>
                <w:bCs w:val="false"/>
                <w:i w:val="false"/>
                <w:iCs w:val="false"/>
                <w:color w:val="1A1A1A"/>
                <w:sz w:val="24"/>
                <w:szCs w:val="24"/>
              </w:rPr>
              <w:t xml:space="preserve"/>
            </w:r>
            <w:r>
              <w:rPr>
                <w:b/>
                <w:bCs/>
                <w:i w:val="false"/>
                <w:iCs w:val="false"/>
                <w:color w:val="1A1A1A"/>
                <w:sz w:val="24"/>
                <w:szCs w:val="24"/>
              </w:rPr>
              <w:t xml:space="preserve">Any staff involvement at all.</w:t>
            </w:r>
            <w:r>
              <w:rPr>
                <w:b w:val="false"/>
                <w:bCs w:val="false"/>
                <w:i w:val="false"/>
                <w:iCs w:val="false"/>
                <w:color w:val="1A1A1A"/>
                <w:sz w:val="24"/>
                <w:szCs w:val="24"/>
              </w:rPr>
              <w:t xml:space="preserve"> Off this chart entirely, and it reports regardless of tier.</w:t>
            </w:r>
          </w:p>
        </w:tc>
      </w:tr>
    </w:tbl>
    <w:p>
      <w:r>
        <w:br w:type="page"/>
      </w:r>
    </w:p>
    <w:p>
      <w:pPr>
        <w:pStyle w:val="Heading1"/>
        <w:spacing w:after="160" w:before="320"/>
      </w:pPr>
      <w:r>
        <w:rPr>
          <w:b/>
          <w:bCs/>
          <w:i w:val="false"/>
          <w:iCs w:val="false"/>
          <w:color w:val="1A1A1A"/>
          <w:sz w:val="34"/>
          <w:szCs w:val="34"/>
        </w:rPr>
        <w:t xml:space="preserve">Step 4.  </w:t>
      </w:r>
      <w:r>
        <w:rPr>
          <w:b/>
          <w:bCs/>
          <w:i w:val="false"/>
          <w:iCs w:val="false"/>
          <w:color w:val="1A1A1A"/>
          <w:sz w:val="34"/>
          <w:szCs w:val="34"/>
        </w:rPr>
        <w:t xml:space="preserve">Act</w:t>
      </w:r>
    </w:p>
    <w:p>
      <w:pPr>
        <w:spacing w:after="120" w:line="276"/>
      </w:pPr>
      <w:r>
        <w:rPr>
          <w:b w:val="false"/>
          <w:bCs w:val="false"/>
          <w:i w:val="false"/>
          <w:iCs w:val="false"/>
          <w:color w:val="1A1A1A"/>
          <w:sz w:val="24"/>
          <w:szCs w:val="24"/>
        </w:rPr>
        <w:t xml:space="preserve">Cumulative. Each block adds to the one above it.</w:t>
      </w:r>
    </w:p>
    <w:p>
      <w:pPr>
        <w:pStyle w:val="Heading2"/>
      </w:pPr>
      <w:r>
        <w:t xml:space="preserve">Every tier, including tier 1</w:t>
      </w:r>
    </w:p>
    <w:p>
      <w:pPr>
        <w:pStyle w:val="ListParagraph"/>
        <w:numPr>
          <w:ilvl w:val="0"/>
          <w:numId w:val="1"/>
        </w:numPr>
        <w:spacing w:after="70" w:line="264"/>
      </w:pPr>
      <w:r>
        <w:rPr>
          <w:b w:val="false"/>
          <w:bCs w:val="false"/>
          <w:i w:val="false"/>
          <w:iCs w:val="false"/>
          <w:color w:val="1A1A1A"/>
          <w:sz w:val="24"/>
          <w:szCs w:val="24"/>
        </w:rPr>
        <w:t xml:space="preserve">Separate the youth. Check the target is safe.</w:t>
      </w:r>
    </w:p>
    <w:p>
      <w:pPr>
        <w:pStyle w:val="ListParagraph"/>
        <w:numPr>
          <w:ilvl w:val="0"/>
          <w:numId w:val="1"/>
        </w:numPr>
        <w:spacing w:after="70" w:line="264"/>
      </w:pPr>
      <w:r>
        <w:rPr>
          <w:b w:val="false"/>
          <w:bCs w:val="false"/>
          <w:i w:val="false"/>
          <w:iCs w:val="false"/>
          <w:color w:val="1A1A1A"/>
          <w:sz w:val="24"/>
          <w:szCs w:val="24"/>
        </w:rPr>
        <w:t xml:space="preserve">Staff tells the Duty Supervisor immediately.</w:t>
      </w:r>
    </w:p>
    <w:p>
      <w:pPr>
        <w:pStyle w:val="ListParagraph"/>
        <w:numPr>
          <w:ilvl w:val="0"/>
          <w:numId w:val="1"/>
        </w:numPr>
        <w:spacing w:after="70" w:line="264"/>
      </w:pPr>
      <w:r>
        <w:rPr>
          <w:b w:val="false"/>
          <w:bCs w:val="false"/>
          <w:i w:val="false"/>
          <w:iCs w:val="false"/>
          <w:color w:val="1A1A1A"/>
          <w:sz w:val="24"/>
          <w:szCs w:val="24"/>
        </w:rPr>
        <w:t xml:space="preserve">Incident report naming both youth, </w:t>
      </w:r>
      <w:r>
        <w:rPr>
          <w:b/>
          <w:bCs/>
          <w:i w:val="false"/>
          <w:iCs w:val="false"/>
          <w:color w:val="1A1A1A"/>
          <w:sz w:val="24"/>
          <w:szCs w:val="24"/>
        </w:rPr>
        <w:t xml:space="preserve">the words used verbatim</w:t>
      </w:r>
      <w:r>
        <w:rPr>
          <w:b w:val="false"/>
          <w:bCs w:val="false"/>
          <w:i w:val="false"/>
          <w:iCs w:val="false"/>
          <w:color w:val="1A1A1A"/>
          <w:sz w:val="24"/>
          <w:szCs w:val="24"/>
        </w:rPr>
        <w:t xml:space="preserve"> and the target's response verbatim.</w:t>
      </w:r>
    </w:p>
    <w:p>
      <w:pPr>
        <w:pStyle w:val="ListParagraph"/>
        <w:numPr>
          <w:ilvl w:val="0"/>
          <w:numId w:val="1"/>
        </w:numPr>
        <w:spacing w:after="70" w:line="264"/>
      </w:pPr>
      <w:r>
        <w:rPr>
          <w:b w:val="false"/>
          <w:bCs w:val="false"/>
          <w:i w:val="false"/>
          <w:iCs w:val="false"/>
          <w:color w:val="1A1A1A"/>
          <w:sz w:val="24"/>
          <w:szCs w:val="24"/>
        </w:rPr>
        <w:t xml:space="preserve">Record your classification and the reason, including a decision not to make a CPS report.</w:t>
      </w:r>
    </w:p>
    <w:p>
      <w:pPr>
        <w:pStyle w:val="ListParagraph"/>
        <w:numPr>
          <w:ilvl w:val="0"/>
          <w:numId w:val="1"/>
        </w:numPr>
        <w:spacing w:after="70" w:line="264"/>
      </w:pPr>
      <w:r>
        <w:rPr>
          <w:b w:val="false"/>
          <w:bCs w:val="false"/>
          <w:i w:val="false"/>
          <w:iCs w:val="false"/>
          <w:color w:val="1A1A1A"/>
          <w:sz w:val="24"/>
          <w:szCs w:val="24"/>
        </w:rPr>
        <w:t xml:space="preserve">Treat it as classification information on both youth, and check the target's history for a repeat.</w:t>
      </w:r>
    </w:p>
    <w:p>
      <w:pPr>
        <w:pStyle w:val="Heading2"/>
      </w:pPr>
      <w:r>
        <w:t xml:space="preserve">Add at tier 2 and above</w:t>
      </w:r>
    </w:p>
    <w:p>
      <w:pPr>
        <w:pStyle w:val="ListParagraph"/>
        <w:numPr>
          <w:ilvl w:val="0"/>
          <w:numId w:val="1"/>
        </w:numPr>
        <w:spacing w:after="70" w:line="264"/>
      </w:pPr>
      <w:r>
        <w:rPr>
          <w:b w:val="false"/>
          <w:bCs w:val="false"/>
          <w:i w:val="false"/>
          <w:iCs w:val="false"/>
          <w:color w:val="1A1A1A"/>
          <w:sz w:val="24"/>
          <w:szCs w:val="24"/>
        </w:rPr>
        <w:t xml:space="preserve">Log it as a PREA incident.</w:t>
      </w:r>
    </w:p>
    <w:p>
      <w:pPr>
        <w:pStyle w:val="ListParagraph"/>
        <w:numPr>
          <w:ilvl w:val="0"/>
          <w:numId w:val="1"/>
        </w:numPr>
        <w:spacing w:after="70" w:line="264"/>
      </w:pPr>
      <w:r>
        <w:rPr>
          <w:b w:val="false"/>
          <w:bCs w:val="false"/>
          <w:i w:val="false"/>
          <w:iCs w:val="false"/>
          <w:color w:val="1A1A1A"/>
          <w:sz w:val="24"/>
          <w:szCs w:val="24"/>
        </w:rPr>
        <w:t xml:space="preserve">Decide whether the target is at substantial risk of imminent sexual abuse. If yes, act to protect now, separately from any investigation.</w:t>
      </w:r>
    </w:p>
    <w:p>
      <w:pPr>
        <w:pStyle w:val="ListParagraph"/>
        <w:numPr>
          <w:ilvl w:val="0"/>
          <w:numId w:val="1"/>
        </w:numPr>
        <w:spacing w:after="70" w:line="264"/>
      </w:pPr>
      <w:r>
        <w:rPr>
          <w:b w:val="false"/>
          <w:bCs w:val="false"/>
          <w:i w:val="false"/>
          <w:iCs w:val="false"/>
          <w:color w:val="1A1A1A"/>
          <w:sz w:val="24"/>
          <w:szCs w:val="24"/>
        </w:rPr>
        <w:t xml:space="preserve">Reassess classification and housing for both youth.</w:t>
      </w:r>
    </w:p>
    <w:p>
      <w:pPr>
        <w:pStyle w:val="ListParagraph"/>
        <w:numPr>
          <w:ilvl w:val="0"/>
          <w:numId w:val="1"/>
        </w:numPr>
        <w:spacing w:after="70" w:line="264"/>
      </w:pPr>
      <w:r>
        <w:rPr>
          <w:b w:val="false"/>
          <w:bCs w:val="false"/>
          <w:i w:val="false"/>
          <w:iCs w:val="false"/>
          <w:color w:val="1A1A1A"/>
          <w:sz w:val="24"/>
          <w:szCs w:val="24"/>
        </w:rPr>
        <w:t xml:space="preserve">If anyone reported it, start retaliation monitoring: at least 90 days, with checks.</w:t>
      </w:r>
    </w:p>
    <w:p>
      <w:pPr>
        <w:pStyle w:val="Heading2"/>
      </w:pPr>
      <w:r>
        <w:t xml:space="preserve">Add at tier 4, where a CPS report is due</w:t>
      </w:r>
    </w:p>
    <w:p>
      <w:pPr>
        <w:pStyle w:val="ListParagraph"/>
        <w:numPr>
          <w:ilvl w:val="0"/>
          <w:numId w:val="1"/>
        </w:numPr>
        <w:spacing w:after="70" w:line="264"/>
      </w:pPr>
      <w:r>
        <w:rPr>
          <w:b w:val="false"/>
          <w:bCs w:val="false"/>
          <w:i w:val="false"/>
          <w:iCs w:val="false"/>
          <w:color w:val="1A1A1A"/>
          <w:sz w:val="24"/>
          <w:szCs w:val="24"/>
        </w:rPr>
        <w:t xml:space="preserve"/>
      </w:r>
      <w:r>
        <w:rPr>
          <w:b/>
          <w:bCs/>
          <w:i w:val="false"/>
          <w:iCs w:val="false"/>
          <w:color w:val="1A1A1A"/>
          <w:sz w:val="24"/>
          <w:szCs w:val="24"/>
        </w:rPr>
        <w:t xml:space="preserve">Telephone the mandated report immediately</w:t>
      </w:r>
      <w:r>
        <w:rPr>
          <w:b w:val="false"/>
          <w:bCs w:val="false"/>
          <w:i w:val="false"/>
          <w:iCs w:val="false"/>
          <w:color w:val="1A1A1A"/>
          <w:sz w:val="24"/>
          <w:szCs w:val="24"/>
        </w:rPr>
        <w:t xml:space="preserve">, or as soon as practicably possible. Written report on form SS 8572 within 36 hours.</w:t>
      </w:r>
    </w:p>
    <w:p>
      <w:pPr>
        <w:pStyle w:val="ListParagraph"/>
        <w:numPr>
          <w:ilvl w:val="0"/>
          <w:numId w:val="1"/>
        </w:numPr>
        <w:spacing w:after="70" w:line="264"/>
      </w:pPr>
      <w:r>
        <w:rPr>
          <w:b w:val="false"/>
          <w:bCs w:val="false"/>
          <w:i w:val="false"/>
          <w:iCs w:val="false"/>
          <w:color w:val="1A1A1A"/>
          <w:sz w:val="24"/>
          <w:szCs w:val="24"/>
        </w:rPr>
        <w:t xml:space="preserve">Do not wait for the investigation, the end of shift, or anyone's approval.</w:t>
      </w:r>
    </w:p>
    <w:p>
      <w:pPr>
        <w:pStyle w:val="ListParagraph"/>
        <w:numPr>
          <w:ilvl w:val="0"/>
          <w:numId w:val="1"/>
        </w:numPr>
        <w:spacing w:after="70" w:line="264"/>
      </w:pPr>
      <w:r>
        <w:rPr>
          <w:b w:val="false"/>
          <w:bCs w:val="false"/>
          <w:i w:val="false"/>
          <w:iCs w:val="false"/>
          <w:color w:val="1A1A1A"/>
          <w:sz w:val="24"/>
          <w:szCs w:val="24"/>
        </w:rPr>
        <w:t xml:space="preserve">The duty belongs to the employee who formed the suspicion. Telling you does not discharge it, and no supervisor may impede it.</w:t>
      </w:r>
    </w:p>
    <w:p>
      <w:pPr>
        <w:pStyle w:val="Heading2"/>
      </w:pPr>
      <w:r>
        <w:t xml:space="preserve">Add at tiers 5 and 6</w:t>
      </w:r>
    </w:p>
    <w:p>
      <w:pPr>
        <w:pStyle w:val="ListParagraph"/>
        <w:numPr>
          <w:ilvl w:val="0"/>
          <w:numId w:val="1"/>
        </w:numPr>
        <w:spacing w:after="70" w:line="264"/>
      </w:pPr>
      <w:r>
        <w:rPr>
          <w:b w:val="false"/>
          <w:bCs w:val="false"/>
          <w:i w:val="false"/>
          <w:iCs w:val="false"/>
          <w:color w:val="1A1A1A"/>
          <w:sz w:val="24"/>
          <w:szCs w:val="24"/>
        </w:rPr>
        <w:t xml:space="preserve">Treat it as a sexual abuse allegation from the first moment.</w:t>
      </w:r>
    </w:p>
    <w:p>
      <w:pPr>
        <w:pStyle w:val="ListParagraph"/>
        <w:numPr>
          <w:ilvl w:val="0"/>
          <w:numId w:val="1"/>
        </w:numPr>
        <w:spacing w:after="70" w:line="264"/>
      </w:pPr>
      <w:r>
        <w:rPr>
          <w:b w:val="false"/>
          <w:bCs w:val="false"/>
          <w:i w:val="false"/>
          <w:iCs w:val="false"/>
          <w:color w:val="1A1A1A"/>
          <w:sz w:val="24"/>
          <w:szCs w:val="24"/>
        </w:rPr>
        <w:t xml:space="preserve"/>
      </w:r>
      <w:r>
        <w:rPr>
          <w:b/>
          <w:bCs/>
          <w:i w:val="false"/>
          <w:iCs w:val="false"/>
          <w:color w:val="1A1A1A"/>
          <w:sz w:val="24"/>
          <w:szCs w:val="24"/>
        </w:rPr>
        <w:t xml:space="preserve">Preserve evidence.</w:t>
      </w:r>
      <w:r>
        <w:rPr>
          <w:b w:val="false"/>
          <w:bCs w:val="false"/>
          <w:i w:val="false"/>
          <w:iCs w:val="false"/>
          <w:color w:val="1A1A1A"/>
          <w:sz w:val="24"/>
          <w:szCs w:val="24"/>
        </w:rPr>
        <w:t xml:space="preserve"> No showering, changing or cleaning up. Secure the area.</w:t>
      </w:r>
    </w:p>
    <w:p>
      <w:pPr>
        <w:pStyle w:val="ListParagraph"/>
        <w:numPr>
          <w:ilvl w:val="0"/>
          <w:numId w:val="1"/>
        </w:numPr>
        <w:spacing w:after="70" w:line="264"/>
      </w:pPr>
      <w:r>
        <w:rPr>
          <w:b w:val="false"/>
          <w:bCs w:val="false"/>
          <w:i w:val="false"/>
          <w:iCs w:val="false"/>
          <w:color w:val="1A1A1A"/>
          <w:sz w:val="24"/>
          <w:szCs w:val="24"/>
        </w:rPr>
        <w:t xml:space="preserve">Refer for investigation. Every allegation gets one. There is no discretion to decide one is unnecessary.</w:t>
      </w:r>
    </w:p>
    <w:p>
      <w:pPr>
        <w:pStyle w:val="ListParagraph"/>
        <w:numPr>
          <w:ilvl w:val="0"/>
          <w:numId w:val="1"/>
        </w:numPr>
        <w:spacing w:after="70" w:line="264"/>
      </w:pPr>
      <w:r>
        <w:rPr>
          <w:b w:val="false"/>
          <w:bCs w:val="false"/>
          <w:i w:val="false"/>
          <w:iCs w:val="false"/>
          <w:color w:val="1A1A1A"/>
          <w:sz w:val="24"/>
          <w:szCs w:val="24"/>
        </w:rPr>
        <w:t xml:space="preserve">Tier 6 adds: law enforcement notification, forensic exam off site, and notice to the parent or guardian and counsel.</w:t>
      </w:r>
    </w:p>
    <w:p>
      <w:r>
        <w:br w:type="page"/>
      </w:r>
    </w:p>
    <w:p>
      <w:pPr>
        <w:pStyle w:val="Heading1"/>
        <w:spacing w:after="160" w:before="320"/>
      </w:pPr>
      <w:r>
        <w:rPr>
          <w:b/>
          <w:bCs/>
          <w:i w:val="false"/>
          <w:iCs w:val="false"/>
          <w:color w:val="1A1A1A"/>
          <w:sz w:val="34"/>
          <w:szCs w:val="34"/>
        </w:rPr>
        <w:t xml:space="preserve">Step 5.  </w:t>
      </w:r>
      <w:r>
        <w:rPr>
          <w:b/>
          <w:bCs/>
          <w:i w:val="false"/>
          <w:iCs w:val="false"/>
          <w:color w:val="1A1A1A"/>
          <w:sz w:val="34"/>
          <w:szCs w:val="34"/>
        </w:rPr>
        <w:t xml:space="preserve">Write the classification down</w:t>
      </w:r>
    </w:p>
    <w:p>
      <w:pPr>
        <w:spacing w:after="120" w:line="276"/>
      </w:pPr>
      <w:r>
        <w:rPr>
          <w:b w:val="false"/>
          <w:bCs w:val="false"/>
          <w:i w:val="false"/>
          <w:iCs w:val="false"/>
          <w:color w:val="1A1A1A"/>
          <w:sz w:val="24"/>
          <w:szCs w:val="24"/>
        </w:rPr>
        <w:t xml:space="preserve">Put this block in the incident report every time, including when you decide it is nothing. PREA sexual harassment requires conduct that is repeated, and repetition only exists if the first one was written down.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EF6" w:color="auto" w:val="clear"/>
            <w:tcMar>
              <w:top w:type="dxa" w:w="60"/>
              <w:left w:type="dxa" w:w="100"/>
              <w:bottom w:type="dxa" w:w="60"/>
              <w:right w:type="dxa" w:w="100"/>
            </w:tcMar>
          </w:tcPr>
          <w:p>
            <w:pPr>
              <w:spacing w:after="60" w:before="60" w:line="264"/>
            </w:pPr>
            <w:r>
              <w:rPr>
                <w:b w:val="false"/>
                <w:bCs w:val="false"/>
                <w:i w:val="false"/>
                <w:iCs w:val="false"/>
                <w:color w:val="1A1A1A"/>
                <w:sz w:val="24"/>
                <w:szCs w:val="24"/>
              </w:rPr>
              <w:t xml:space="preserve">Tier: ____    Conduct in one line: ______________________________</w:t>
            </w:r>
          </w:p>
          <w:p>
            <w:pPr>
              <w:spacing w:after="60" w:before="90" w:line="264"/>
            </w:pPr>
            <w:r>
              <w:rPr>
                <w:b w:val="false"/>
                <w:bCs w:val="false"/>
                <w:i w:val="false"/>
                <w:iCs w:val="false"/>
                <w:color w:val="1A1A1A"/>
                <w:sz w:val="24"/>
                <w:szCs w:val="24"/>
              </w:rPr>
              <w:t xml:space="preserve">Ages: both under 18 / one under one over / both 18 or over</w:t>
            </w:r>
          </w:p>
          <w:p>
            <w:pPr>
              <w:spacing w:after="60" w:before="90" w:line="264"/>
            </w:pPr>
            <w:r>
              <w:rPr>
                <w:b w:val="false"/>
                <w:bCs w:val="false"/>
                <w:i w:val="false"/>
                <w:iCs w:val="false"/>
                <w:color w:val="1A1A1A"/>
                <w:sz w:val="24"/>
                <w:szCs w:val="24"/>
              </w:rPr>
              <w:t xml:space="preserve">PREA call: Not PREA  /  Sexual harassment  /  SEXUAL ABUSE</w:t>
            </w:r>
          </w:p>
          <w:p>
            <w:pPr>
              <w:spacing w:after="60" w:before="90" w:line="264"/>
            </w:pPr>
            <w:r>
              <w:rPr>
                <w:b w:val="false"/>
                <w:bCs w:val="false"/>
                <w:i w:val="false"/>
                <w:iCs w:val="false"/>
                <w:color w:val="1A1A1A"/>
                <w:sz w:val="24"/>
                <w:szCs w:val="24"/>
              </w:rPr>
              <w:t xml:space="preserve">Flip factors present: none / ____________________________________</w:t>
            </w:r>
          </w:p>
          <w:p>
            <w:pPr>
              <w:spacing w:after="60" w:before="90" w:line="264"/>
            </w:pPr>
            <w:r>
              <w:rPr>
                <w:b w:val="false"/>
                <w:bCs w:val="false"/>
                <w:i w:val="false"/>
                <w:iCs w:val="false"/>
                <w:color w:val="1A1A1A"/>
                <w:sz w:val="24"/>
                <w:szCs w:val="24"/>
              </w:rPr>
              <w:t xml:space="preserve">CPS report: made at ______ by ______  /  not made, because ______</w:t>
            </w:r>
          </w:p>
          <w:p>
            <w:pPr>
              <w:spacing w:after="60" w:before="90" w:line="264"/>
            </w:pPr>
            <w:r>
              <w:rPr>
                <w:b w:val="false"/>
                <w:bCs w:val="false"/>
                <w:i w:val="false"/>
                <w:iCs w:val="false"/>
                <w:color w:val="1A1A1A"/>
                <w:sz w:val="24"/>
                <w:szCs w:val="24"/>
              </w:rPr>
              <w:t xml:space="preserve">Protection and housing action taken: ____________________________</w:t>
            </w:r>
          </w:p>
          <w:p>
            <w:pPr>
              <w:spacing w:after="60" w:before="90" w:line="264"/>
            </w:pPr>
            <w:r>
              <w:rPr>
                <w:b w:val="false"/>
                <w:bCs w:val="false"/>
                <w:i w:val="false"/>
                <w:iCs w:val="false"/>
                <w:color w:val="1A1A1A"/>
                <w:sz w:val="24"/>
                <w:szCs w:val="24"/>
              </w:rPr>
              <w:t xml:space="preserve">Retaliation monitoring started: yes / no / not applicable</w:t>
            </w:r>
          </w:p>
          <w:p>
            <w:pPr>
              <w:spacing w:after="60" w:before="90" w:line="264"/>
            </w:pPr>
            <w:r>
              <w:rPr>
                <w:b w:val="false"/>
                <w:bCs w:val="false"/>
                <w:i w:val="false"/>
                <w:iCs w:val="false"/>
                <w:color w:val="1A1A1A"/>
                <w:sz w:val="24"/>
                <w:szCs w:val="24"/>
              </w:rPr>
              <w:t xml:space="preserve">Supervisor: ______________________  Date and time: ______________</w:t>
            </w:r>
          </w:p>
        </w:tc>
      </w:tr>
    </w:tbl>
    <w:p>
      <w:r>
        <w:br w:type="page"/>
      </w:r>
    </w:p>
    <w:p>
      <w:pPr>
        <w:pStyle w:val="Heading1"/>
        <w:spacing w:after="160" w:before="320"/>
      </w:pPr>
      <w:r>
        <w:rPr>
          <w:b/>
          <w:bCs/>
          <w:i w:val="false"/>
          <w:iCs w:val="false"/>
          <w:color w:val="1A1A1A"/>
          <w:sz w:val="34"/>
          <w:szCs w:val="34"/>
        </w:rPr>
        <w:t xml:space="preserve">Step 6.  </w:t>
      </w:r>
      <w:r>
        <w:rPr>
          <w:b/>
          <w:bCs/>
          <w:i w:val="false"/>
          <w:iCs w:val="false"/>
          <w:color w:val="1A1A1A"/>
          <w:sz w:val="34"/>
          <w:szCs w:val="34"/>
        </w:rPr>
        <w:t xml:space="preserve">What happens after you call it PREA</w:t>
      </w:r>
    </w:p>
    <w:p>
      <w:pPr>
        <w:spacing w:after="120" w:line="276"/>
      </w:pPr>
      <w:r>
        <w:rPr>
          <w:b w:val="false"/>
          <w:bCs w:val="false"/>
          <w:i w:val="false"/>
          <w:iCs w:val="false"/>
          <w:color w:val="1A1A1A"/>
          <w:sz w:val="24"/>
          <w:szCs w:val="24"/>
        </w:rPr>
        <w:t xml:space="preserve">Classifying it is the start, not the end. This is the sequence OO 1453 and the PREA Policy set out, in order. Provenance: OO 1453 has never been produced to this review, so these section numbers and their content trace to the gap register, which traces to the earlier review that did read the order. Confirm against the order before relying on a number.</w:t>
      </w:r>
    </w:p>
    <w:p>
      <w:pPr>
        <w:pStyle w:val="Heading2"/>
      </w:pPr>
      <w:r>
        <w:t xml:space="preserve">1. First response, immediately</w:t>
      </w:r>
    </w:p>
    <w:p>
      <w:pPr>
        <w:spacing w:after="90"/>
      </w:pPr>
      <w:r>
        <w:rPr>
          <w:b w:val="false"/>
          <w:bCs w:val="false"/>
          <w:i/>
          <w:iCs/>
          <w:color w:val="595959"/>
          <w:sz w:val="24"/>
          <w:szCs w:val="24"/>
        </w:rPr>
        <w:t xml:space="preserve">OO 1453 I.A.1, I.A.3 to I.A.5</w:t>
      </w:r>
    </w:p>
    <w:p>
      <w:pPr>
        <w:pStyle w:val="ListParagraph"/>
        <w:numPr>
          <w:ilvl w:val="0"/>
          <w:numId w:val="1"/>
        </w:numPr>
        <w:spacing w:after="70" w:line="264"/>
      </w:pPr>
      <w:r>
        <w:rPr>
          <w:b w:val="false"/>
          <w:bCs w:val="false"/>
          <w:i w:val="false"/>
          <w:iCs w:val="false"/>
          <w:color w:val="1A1A1A"/>
          <w:sz w:val="24"/>
          <w:szCs w:val="24"/>
        </w:rPr>
        <w:t xml:space="preserve">Separate victim and suspect. </w:t>
      </w:r>
      <w:r>
        <w:rPr>
          <w:b/>
          <w:bCs/>
          <w:i w:val="false"/>
          <w:iCs w:val="false"/>
          <w:color w:val="1A1A1A"/>
          <w:sz w:val="24"/>
          <w:szCs w:val="24"/>
        </w:rPr>
        <w:t xml:space="preserve">No contact between them.</w:t>
      </w:r>
      <w:r>
        <w:rPr>
          <w:b w:val="false"/>
          <w:bCs w:val="false"/>
          <w:i w:val="false"/>
          <w:iCs w:val="false"/>
          <w:color w:val="1A1A1A"/>
          <w:sz w:val="24"/>
          <w:szCs w:val="24"/>
        </w:rPr>
        <w:t xml:space="preserve"/>
      </w:r>
    </w:p>
    <w:p>
      <w:pPr>
        <w:pStyle w:val="ListParagraph"/>
        <w:numPr>
          <w:ilvl w:val="0"/>
          <w:numId w:val="1"/>
        </w:numPr>
        <w:spacing w:after="70" w:line="264"/>
      </w:pPr>
      <w:r>
        <w:rPr>
          <w:b w:val="false"/>
          <w:bCs w:val="false"/>
          <w:i w:val="false"/>
          <w:iCs w:val="false"/>
          <w:color w:val="1A1A1A"/>
          <w:sz w:val="24"/>
          <w:szCs w:val="24"/>
        </w:rPr>
        <w:t xml:space="preserve">Protect the crime scene: the youth's room, the shower area, the laundry room. Seal it off and deny access to other staff and youth.</w:t>
      </w:r>
    </w:p>
    <w:p>
      <w:pPr>
        <w:pStyle w:val="ListParagraph"/>
        <w:numPr>
          <w:ilvl w:val="0"/>
          <w:numId w:val="1"/>
        </w:numPr>
        <w:spacing w:after="70" w:line="264"/>
      </w:pPr>
      <w:r>
        <w:rPr>
          <w:b w:val="false"/>
          <w:bCs w:val="false"/>
          <w:i w:val="false"/>
          <w:iCs w:val="false"/>
          <w:color w:val="1A1A1A"/>
          <w:sz w:val="24"/>
          <w:szCs w:val="24"/>
        </w:rPr>
        <w:t xml:space="preserve"/>
      </w:r>
      <w:r>
        <w:rPr>
          <w:b/>
          <w:bCs/>
          <w:i w:val="false"/>
          <w:iCs w:val="false"/>
          <w:color w:val="1A1A1A"/>
          <w:sz w:val="24"/>
          <w:szCs w:val="24"/>
        </w:rPr>
        <w:t xml:space="preserve">Neither youth showers, changes or cleans up.</w:t>
      </w:r>
      <w:r>
        <w:rPr>
          <w:b w:val="false"/>
          <w:bCs w:val="false"/>
          <w:i w:val="false"/>
          <w:iCs w:val="false"/>
          <w:color w:val="1A1A1A"/>
          <w:sz w:val="24"/>
          <w:szCs w:val="24"/>
        </w:rPr>
        <w:t xml:space="preserve"/>
      </w:r>
    </w:p>
    <w:p>
      <w:pPr>
        <w:pStyle w:val="ListParagraph"/>
        <w:numPr>
          <w:ilvl w:val="0"/>
          <w:numId w:val="1"/>
        </w:numPr>
        <w:spacing w:after="70" w:line="264"/>
      </w:pPr>
      <w:r>
        <w:rPr>
          <w:b w:val="false"/>
          <w:bCs w:val="false"/>
          <w:i w:val="false"/>
          <w:iCs w:val="false"/>
          <w:color w:val="1A1A1A"/>
          <w:sz w:val="24"/>
          <w:szCs w:val="24"/>
        </w:rPr>
        <w:t xml:space="preserve">Keep both out of the bathroom where you can. If one is used, collect the toilet tissue as evidence.</w:t>
      </w:r>
    </w:p>
    <w:p>
      <w:pPr>
        <w:pStyle w:val="Heading2"/>
      </w:pPr>
      <w:r>
        <w:t xml:space="preserve">2. Notify, immediately</w:t>
      </w:r>
    </w:p>
    <w:p>
      <w:pPr>
        <w:spacing w:after="90"/>
      </w:pPr>
      <w:r>
        <w:rPr>
          <w:b w:val="false"/>
          <w:bCs w:val="false"/>
          <w:i/>
          <w:iCs/>
          <w:color w:val="595959"/>
          <w:sz w:val="24"/>
          <w:szCs w:val="24"/>
        </w:rPr>
        <w:t xml:space="preserve">OO 1453 I.A.8 to I.A.10; PC 11166(a)</w:t>
      </w:r>
    </w:p>
    <w:p>
      <w:pPr>
        <w:pStyle w:val="ListParagraph"/>
        <w:numPr>
          <w:ilvl w:val="0"/>
          <w:numId w:val="1"/>
        </w:numPr>
        <w:spacing w:after="70" w:line="264"/>
      </w:pPr>
      <w:r>
        <w:rPr>
          <w:b w:val="false"/>
          <w:bCs w:val="false"/>
          <w:i w:val="false"/>
          <w:iCs w:val="false"/>
          <w:color w:val="1A1A1A"/>
          <w:sz w:val="24"/>
          <w:szCs w:val="24"/>
        </w:rPr>
        <w:t xml:space="preserve"/>
      </w:r>
      <w:r>
        <w:rPr>
          <w:b/>
          <w:bCs/>
          <w:i w:val="false"/>
          <w:iCs w:val="false"/>
          <w:color w:val="1A1A1A"/>
          <w:sz w:val="24"/>
          <w:szCs w:val="24"/>
        </w:rPr>
        <w:t xml:space="preserve">Duty Supervisor notifies the Sheriff's Department immediately</w:t>
      </w:r>
      <w:r>
        <w:rPr>
          <w:b w:val="false"/>
          <w:bCs w:val="false"/>
          <w:i w:val="false"/>
          <w:iCs w:val="false"/>
          <w:color w:val="1A1A1A"/>
          <w:sz w:val="24"/>
          <w:szCs w:val="24"/>
        </w:rPr>
        <w:t xml:space="preserve"> once it is believed a sexual assault occurred.</w:t>
      </w:r>
    </w:p>
    <w:p>
      <w:pPr>
        <w:pStyle w:val="ListParagraph"/>
        <w:numPr>
          <w:ilvl w:val="0"/>
          <w:numId w:val="1"/>
        </w:numPr>
        <w:spacing w:after="70" w:line="264"/>
      </w:pPr>
      <w:r>
        <w:rPr>
          <w:b w:val="false"/>
          <w:bCs w:val="false"/>
          <w:i w:val="false"/>
          <w:iCs w:val="false"/>
          <w:color w:val="1A1A1A"/>
          <w:sz w:val="24"/>
          <w:szCs w:val="24"/>
        </w:rPr>
        <w:t xml:space="preserve"/>
      </w:r>
      <w:r>
        <w:rPr>
          <w:b/>
          <w:bCs/>
          <w:i w:val="false"/>
          <w:iCs w:val="false"/>
          <w:color w:val="1A1A1A"/>
          <w:sz w:val="24"/>
          <w:szCs w:val="24"/>
        </w:rPr>
        <w:t xml:space="preserve">CPS by telephone immediately</w:t>
      </w:r>
      <w:r>
        <w:rPr>
          <w:b w:val="false"/>
          <w:bCs w:val="false"/>
          <w:i w:val="false"/>
          <w:iCs w:val="false"/>
          <w:color w:val="1A1A1A"/>
          <w:sz w:val="24"/>
          <w:szCs w:val="24"/>
        </w:rPr>
        <w:t xml:space="preserve">, where the age chart says a report is due. Written report on SS 8572 within 36 hours. Note: PREA Policy V.A.4 and OO 1453 I.A.9 both say 24 hours. </w:t>
      </w:r>
      <w:r>
        <w:rPr>
          <w:b/>
          <w:bCs/>
          <w:i w:val="false"/>
          <w:iCs w:val="false"/>
          <w:color w:val="1A1A1A"/>
          <w:sz w:val="24"/>
          <w:szCs w:val="24"/>
        </w:rPr>
        <w:t xml:space="preserve">That is wrong and the law controls.</w:t>
      </w:r>
      <w:r>
        <w:rPr>
          <w:b w:val="false"/>
          <w:bCs w:val="false"/>
          <w:i w:val="false"/>
          <w:iCs w:val="false"/>
          <w:color w:val="1A1A1A"/>
          <w:sz w:val="24"/>
          <w:szCs w:val="24"/>
        </w:rPr>
        <w:t xml:space="preserve"/>
      </w:r>
    </w:p>
    <w:p>
      <w:pPr>
        <w:pStyle w:val="ListParagraph"/>
        <w:numPr>
          <w:ilvl w:val="0"/>
          <w:numId w:val="1"/>
        </w:numPr>
        <w:spacing w:after="70" w:line="264"/>
      </w:pPr>
      <w:r>
        <w:rPr>
          <w:b w:val="false"/>
          <w:bCs w:val="false"/>
          <w:i w:val="false"/>
          <w:iCs w:val="false"/>
          <w:color w:val="1A1A1A"/>
          <w:sz w:val="24"/>
          <w:szCs w:val="24"/>
        </w:rPr>
        <w:t xml:space="preserve">The reporting or investigating officer briefs the responding Sheriff's officers and provides an interview room.</w:t>
      </w:r>
    </w:p>
    <w:p>
      <w:pPr>
        <w:pStyle w:val="Heading2"/>
      </w:pPr>
      <w:r>
        <w:t xml:space="preserve">3. Evidence, if the Sheriff cannot respond at once</w:t>
      </w:r>
    </w:p>
    <w:p>
      <w:pPr>
        <w:spacing w:after="90"/>
      </w:pPr>
      <w:r>
        <w:rPr>
          <w:b w:val="false"/>
          <w:bCs w:val="false"/>
          <w:i/>
          <w:iCs/>
          <w:color w:val="595959"/>
          <w:sz w:val="24"/>
          <w:szCs w:val="24"/>
        </w:rPr>
        <w:t xml:space="preserve">OO 1453 I.A.11</w:t>
      </w:r>
    </w:p>
    <w:p>
      <w:pPr>
        <w:pStyle w:val="ListParagraph"/>
        <w:numPr>
          <w:ilvl w:val="0"/>
          <w:numId w:val="1"/>
        </w:numPr>
        <w:spacing w:after="70" w:line="264"/>
      </w:pPr>
      <w:r>
        <w:rPr>
          <w:b w:val="false"/>
          <w:bCs w:val="false"/>
          <w:i w:val="false"/>
          <w:iCs w:val="false"/>
          <w:color w:val="1A1A1A"/>
          <w:sz w:val="24"/>
          <w:szCs w:val="24"/>
        </w:rPr>
        <w:t xml:space="preserve">Duty Supervisor photographs the scene, gloves up, collects and marks each item with date, time, location, ownership and description.</w:t>
      </w:r>
    </w:p>
    <w:p>
      <w:pPr>
        <w:pStyle w:val="ListParagraph"/>
        <w:numPr>
          <w:ilvl w:val="0"/>
          <w:numId w:val="1"/>
        </w:numPr>
        <w:spacing w:after="70" w:line="264"/>
      </w:pPr>
      <w:r>
        <w:rPr>
          <w:b w:val="false"/>
          <w:bCs w:val="false"/>
          <w:i w:val="false"/>
          <w:iCs w:val="false"/>
          <w:color w:val="1A1A1A"/>
          <w:sz w:val="24"/>
          <w:szCs w:val="24"/>
        </w:rPr>
        <w:t xml:space="preserve">Seal it, log it, place it in the evidence locker at Intake and Booking.</w:t>
      </w:r>
    </w:p>
    <w:p>
      <w:pPr>
        <w:pStyle w:val="Heading2"/>
      </w:pPr>
      <w:r>
        <w:t xml:space="preserve">4. Medical and advocate</w:t>
      </w:r>
    </w:p>
    <w:p>
      <w:pPr>
        <w:spacing w:after="90"/>
      </w:pPr>
      <w:r>
        <w:rPr>
          <w:b w:val="false"/>
          <w:bCs w:val="false"/>
          <w:i/>
          <w:iCs/>
          <w:color w:val="595959"/>
          <w:sz w:val="24"/>
          <w:szCs w:val="24"/>
        </w:rPr>
        <w:t xml:space="preserve">OO 1453 I.A.13; PREA Policy VIII.A and XV.A; PC 264.2, PC 679.04</w:t>
      </w:r>
    </w:p>
    <w:p>
      <w:pPr>
        <w:pStyle w:val="ListParagraph"/>
        <w:numPr>
          <w:ilvl w:val="0"/>
          <w:numId w:val="1"/>
        </w:numPr>
        <w:spacing w:after="70" w:line="264"/>
      </w:pPr>
      <w:r>
        <w:rPr>
          <w:b w:val="false"/>
          <w:bCs w:val="false"/>
          <w:i w:val="false"/>
          <w:iCs w:val="false"/>
          <w:color w:val="1A1A1A"/>
          <w:sz w:val="24"/>
          <w:szCs w:val="24"/>
        </w:rPr>
        <w:t xml:space="preserve"/>
      </w:r>
      <w:r>
        <w:rPr>
          <w:b/>
          <w:bCs/>
          <w:i w:val="false"/>
          <w:iCs w:val="false"/>
          <w:color w:val="1A1A1A"/>
          <w:sz w:val="24"/>
          <w:szCs w:val="24"/>
        </w:rPr>
        <w:t xml:space="preserve">Evidentiary examination happens off site</w:t>
      </w:r>
      <w:r>
        <w:rPr>
          <w:b w:val="false"/>
          <w:bCs w:val="false"/>
          <w:i w:val="false"/>
          <w:iCs w:val="false"/>
          <w:color w:val="1A1A1A"/>
          <w:sz w:val="24"/>
          <w:szCs w:val="24"/>
        </w:rPr>
        <w:t xml:space="preserve">, at a health facility separate from the custodial facility.</w:t>
      </w:r>
    </w:p>
    <w:p>
      <w:pPr>
        <w:pStyle w:val="ListParagraph"/>
        <w:numPr>
          <w:ilvl w:val="0"/>
          <w:numId w:val="1"/>
        </w:numPr>
        <w:spacing w:after="70" w:line="264"/>
      </w:pPr>
      <w:r>
        <w:rPr>
          <w:b w:val="false"/>
          <w:bCs w:val="false"/>
          <w:i w:val="false"/>
          <w:iCs w:val="false"/>
          <w:color w:val="1A1A1A"/>
          <w:sz w:val="24"/>
          <w:szCs w:val="24"/>
        </w:rPr>
        <w:t xml:space="preserve">Victim advocate, in most cases from a local Rape Crisis Center. The youth has a right to an advocate or support person during the medical examination and during investigatory interviews.</w:t>
      </w:r>
    </w:p>
    <w:p>
      <w:pPr>
        <w:pStyle w:val="ListParagraph"/>
        <w:numPr>
          <w:ilvl w:val="0"/>
          <w:numId w:val="1"/>
        </w:numPr>
        <w:spacing w:after="70" w:line="264"/>
      </w:pPr>
      <w:r>
        <w:rPr>
          <w:b w:val="false"/>
          <w:bCs w:val="false"/>
          <w:i w:val="false"/>
          <w:iCs w:val="false"/>
          <w:color w:val="1A1A1A"/>
          <w:sz w:val="24"/>
          <w:szCs w:val="24"/>
        </w:rPr>
        <w:t xml:space="preserve">Crisis counseling.</w:t>
      </w:r>
    </w:p>
    <w:p>
      <w:pPr>
        <w:pStyle w:val="Heading2"/>
      </w:pPr>
      <w:r>
        <w:t xml:space="preserve">5. Investigation</w:t>
      </w:r>
    </w:p>
    <w:p>
      <w:pPr>
        <w:spacing w:after="90"/>
      </w:pPr>
      <w:r>
        <w:rPr>
          <w:b w:val="false"/>
          <w:bCs w:val="false"/>
          <w:i/>
          <w:iCs/>
          <w:color w:val="595959"/>
          <w:sz w:val="24"/>
          <w:szCs w:val="24"/>
        </w:rPr>
        <w:t xml:space="preserve">28 CFR 115.371(a); OO 1453 I.A.14</w:t>
      </w:r>
    </w:p>
    <w:p>
      <w:pPr>
        <w:pStyle w:val="ListParagraph"/>
        <w:numPr>
          <w:ilvl w:val="0"/>
          <w:numId w:val="1"/>
        </w:numPr>
        <w:spacing w:after="70" w:line="264"/>
      </w:pPr>
      <w:r>
        <w:rPr>
          <w:b w:val="false"/>
          <w:bCs w:val="false"/>
          <w:i w:val="false"/>
          <w:iCs w:val="false"/>
          <w:color w:val="1A1A1A"/>
          <w:sz w:val="24"/>
          <w:szCs w:val="24"/>
        </w:rPr>
        <w:t xml:space="preserve"/>
      </w:r>
      <w:r>
        <w:rPr>
          <w:b/>
          <w:bCs/>
          <w:i w:val="false"/>
          <w:iCs w:val="false"/>
          <w:color w:val="1A1A1A"/>
          <w:sz w:val="24"/>
          <w:szCs w:val="24"/>
        </w:rPr>
        <w:t xml:space="preserve">Every allegation gets an administrative or criminal investigation.</w:t>
      </w:r>
      <w:r>
        <w:rPr>
          <w:b w:val="false"/>
          <w:bCs w:val="false"/>
          <w:i w:val="false"/>
          <w:iCs w:val="false"/>
          <w:color w:val="1A1A1A"/>
          <w:sz w:val="24"/>
          <w:szCs w:val="24"/>
        </w:rPr>
        <w:t xml:space="preserve"> There is no threshold of plausibility and no discretion to decide one is unnecessary.</w:t>
      </w:r>
    </w:p>
    <w:p>
      <w:pPr>
        <w:pStyle w:val="ListParagraph"/>
        <w:numPr>
          <w:ilvl w:val="0"/>
          <w:numId w:val="1"/>
        </w:numPr>
        <w:spacing w:after="70" w:line="264"/>
      </w:pPr>
      <w:r>
        <w:rPr>
          <w:b w:val="false"/>
          <w:bCs w:val="false"/>
          <w:i w:val="false"/>
          <w:iCs w:val="false"/>
          <w:color w:val="1A1A1A"/>
          <w:sz w:val="24"/>
          <w:szCs w:val="24"/>
        </w:rPr>
        <w:t xml:space="preserve">Investigative reports route to the Supervising District Attorney and the Sheriff's Sexual Assaults Unit.</w:t>
      </w:r>
    </w:p>
    <w:p>
      <w:pPr>
        <w:pStyle w:val="Heading2"/>
      </w:pPr>
      <w:r>
        <w:t xml:space="preserve">6. Incident review, at the conclusion</w:t>
      </w:r>
    </w:p>
    <w:p>
      <w:pPr>
        <w:spacing w:after="90"/>
      </w:pPr>
      <w:r>
        <w:rPr>
          <w:b w:val="false"/>
          <w:bCs w:val="false"/>
          <w:i/>
          <w:iCs/>
          <w:color w:val="595959"/>
          <w:sz w:val="24"/>
          <w:szCs w:val="24"/>
        </w:rPr>
        <w:t xml:space="preserve">OO 1453 I.A.15; PREA Policy V.A.8; 28 CFR 115.386</w:t>
      </w:r>
    </w:p>
    <w:p>
      <w:pPr>
        <w:pStyle w:val="ListParagraph"/>
        <w:numPr>
          <w:ilvl w:val="0"/>
          <w:numId w:val="1"/>
        </w:numPr>
        <w:spacing w:after="70" w:line="264"/>
      </w:pPr>
      <w:r>
        <w:rPr>
          <w:b w:val="false"/>
          <w:bCs w:val="false"/>
          <w:i w:val="false"/>
          <w:iCs w:val="false"/>
          <w:color w:val="1A1A1A"/>
          <w:sz w:val="24"/>
          <w:szCs w:val="24"/>
        </w:rPr>
        <w:t xml:space="preserve">Upper management conducts a review, with input from supervisors, investigators and medical or mental health staff.</w:t>
      </w:r>
    </w:p>
    <w:p>
      <w:pPr>
        <w:pStyle w:val="ListParagraph"/>
        <w:numPr>
          <w:ilvl w:val="0"/>
          <w:numId w:val="1"/>
        </w:numPr>
        <w:spacing w:after="70" w:line="264"/>
      </w:pPr>
      <w:r>
        <w:rPr>
          <w:b w:val="false"/>
          <w:bCs w:val="false"/>
          <w:i w:val="false"/>
          <w:iCs w:val="false"/>
          <w:color w:val="1A1A1A"/>
          <w:sz w:val="24"/>
          <w:szCs w:val="24"/>
        </w:rPr>
        <w:t xml:space="preserve">A written report is generated and forwarded to the Department Chief.</w:t>
      </w:r>
    </w:p>
    <w:p>
      <w:pPr>
        <w:pStyle w:val="ListParagraph"/>
        <w:numPr>
          <w:ilvl w:val="0"/>
          <w:numId w:val="1"/>
        </w:numPr>
        <w:spacing w:after="70" w:line="264"/>
      </w:pPr>
      <w:r>
        <w:rPr>
          <w:b w:val="false"/>
          <w:bCs w:val="false"/>
          <w:i w:val="false"/>
          <w:iCs w:val="false"/>
          <w:color w:val="1A1A1A"/>
          <w:sz w:val="24"/>
          <w:szCs w:val="24"/>
        </w:rPr>
        <w:t xml:space="preserve">The review is required for </w:t>
      </w:r>
      <w:r>
        <w:rPr>
          <w:b/>
          <w:bCs/>
          <w:i w:val="false"/>
          <w:iCs w:val="false"/>
          <w:color w:val="1A1A1A"/>
          <w:sz w:val="24"/>
          <w:szCs w:val="24"/>
        </w:rPr>
        <w:t xml:space="preserve">unsubstantiated</w:t>
      </w:r>
      <w:r>
        <w:rPr>
          <w:b w:val="false"/>
          <w:bCs w:val="false"/>
          <w:i w:val="false"/>
          <w:iCs w:val="false"/>
          <w:color w:val="1A1A1A"/>
          <w:sz w:val="24"/>
          <w:szCs w:val="24"/>
        </w:rPr>
        <w:t xml:space="preserve"> allegations too. Only an </w:t>
      </w:r>
      <w:r>
        <w:rPr>
          <w:b/>
          <w:bCs/>
          <w:i w:val="false"/>
          <w:iCs w:val="false"/>
          <w:color w:val="1A1A1A"/>
          <w:sz w:val="24"/>
          <w:szCs w:val="24"/>
        </w:rPr>
        <w:t xml:space="preserve">unfounded</w:t>
      </w:r>
      <w:r>
        <w:rPr>
          <w:b w:val="false"/>
          <w:bCs w:val="false"/>
          <w:i w:val="false"/>
          <w:iCs w:val="false"/>
          <w:color w:val="1A1A1A"/>
          <w:sz w:val="24"/>
          <w:szCs w:val="24"/>
        </w:rPr>
        <w:t xml:space="preserve"> finding switches it off.</w:t>
      </w:r>
    </w:p>
    <w:p>
      <w:pPr>
        <w:pStyle w:val="Heading2"/>
      </w:pPr>
      <w:r>
        <w:t xml:space="preserve">7. Ongoing, and the part most often missed</w:t>
      </w:r>
    </w:p>
    <w:p>
      <w:pPr>
        <w:spacing w:after="90"/>
      </w:pPr>
      <w:r>
        <w:rPr>
          <w:b w:val="false"/>
          <w:bCs w:val="false"/>
          <w:i/>
          <w:iCs/>
          <w:color w:val="595959"/>
          <w:sz w:val="24"/>
          <w:szCs w:val="24"/>
        </w:rPr>
        <w:t xml:space="preserve">28 CFR 115.362, 115.367; PREA Policy XVIII.B</w:t>
      </w:r>
    </w:p>
    <w:p>
      <w:pPr>
        <w:pStyle w:val="ListParagraph"/>
        <w:numPr>
          <w:ilvl w:val="0"/>
          <w:numId w:val="1"/>
        </w:numPr>
        <w:spacing w:after="70" w:line="264"/>
      </w:pPr>
      <w:r>
        <w:rPr>
          <w:b w:val="false"/>
          <w:bCs w:val="false"/>
          <w:i w:val="false"/>
          <w:iCs w:val="false"/>
          <w:color w:val="1A1A1A"/>
          <w:sz w:val="24"/>
          <w:szCs w:val="24"/>
        </w:rPr>
        <w:t xml:space="preserve">Reassess classification and housing for both youth.</w:t>
      </w:r>
    </w:p>
    <w:p>
      <w:pPr>
        <w:pStyle w:val="ListParagraph"/>
        <w:numPr>
          <w:ilvl w:val="0"/>
          <w:numId w:val="1"/>
        </w:numPr>
        <w:spacing w:after="70" w:line="264"/>
      </w:pPr>
      <w:r>
        <w:rPr>
          <w:b w:val="false"/>
          <w:bCs w:val="false"/>
          <w:i w:val="false"/>
          <w:iCs w:val="false"/>
          <w:color w:val="1A1A1A"/>
          <w:sz w:val="24"/>
          <w:szCs w:val="24"/>
        </w:rPr>
        <w:t xml:space="preserve"/>
      </w:r>
      <w:r>
        <w:rPr>
          <w:b/>
          <w:bCs/>
          <w:i w:val="false"/>
          <w:iCs w:val="false"/>
          <w:color w:val="1A1A1A"/>
          <w:sz w:val="24"/>
          <w:szCs w:val="24"/>
        </w:rPr>
        <w:t xml:space="preserve">Retaliation monitoring for at least 90 days</w:t>
      </w:r>
      <w:r>
        <w:rPr>
          <w:b w:val="false"/>
          <w:bCs w:val="false"/>
          <w:i w:val="false"/>
          <w:iCs w:val="false"/>
          <w:color w:val="1A1A1A"/>
          <w:sz w:val="24"/>
          <w:szCs w:val="24"/>
        </w:rPr>
        <w:t xml:space="preserve"> for anyone who reported or was the target, with periodic checks.</w:t>
      </w:r>
    </w:p>
    <w:p>
      <w:pPr>
        <w:pStyle w:val="ListParagraph"/>
        <w:numPr>
          <w:ilvl w:val="0"/>
          <w:numId w:val="1"/>
        </w:numPr>
        <w:spacing w:after="70" w:line="264"/>
      </w:pPr>
      <w:r>
        <w:rPr>
          <w:b w:val="false"/>
          <w:bCs w:val="false"/>
          <w:i w:val="false"/>
          <w:iCs w:val="false"/>
          <w:color w:val="1A1A1A"/>
          <w:sz w:val="24"/>
          <w:szCs w:val="24"/>
        </w:rPr>
        <w:t xml:space="preserve">Records retained, and the incident enters the department's data.</w:t>
      </w:r>
    </w:p>
    <w:p>
      <w:pPr>
        <w:pStyle w:val="Heading2"/>
      </w:pPr>
      <w:r>
        <w:t xml:space="preserve">Four things current policy will not tell you</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b w:val="false"/>
                <w:bCs w:val="false"/>
                <w:i w:val="false"/>
                <w:iCs w:val="false"/>
                <w:color w:val="1A1A1A"/>
                <w:sz w:val="24"/>
                <w:szCs w:val="24"/>
              </w:rPr>
              <w:t xml:space="preserve"/>
            </w:r>
            <w:r>
              <w:rPr>
                <w:b/>
                <w:bCs/>
                <w:i w:val="false"/>
                <w:iCs w:val="false"/>
                <w:color w:val="1A1A1A"/>
                <w:sz w:val="24"/>
                <w:szCs w:val="24"/>
              </w:rPr>
              <w:t xml:space="preserve">The CPS timeline in policy is wrong.</w:t>
            </w:r>
            <w:r>
              <w:rPr>
                <w:b w:val="false"/>
                <w:bCs w:val="false"/>
                <w:i w:val="false"/>
                <w:iCs w:val="false"/>
                <w:color w:val="1A1A1A"/>
                <w:sz w:val="24"/>
                <w:szCs w:val="24"/>
              </w:rPr>
              <w:t xml:space="preserve"> PREA Policy V.A.4 and OO 1453 I.A.9 say 24 hours. PC 11166(a) says immediately. Follow the law. The exposure for a late report falls on the employee.</w:t>
            </w:r>
          </w:p>
          <w:p>
            <w:pPr>
              <w:pStyle w:val="ListParagraph"/>
              <w:numPr>
                <w:ilvl w:val="0"/>
                <w:numId w:val="1"/>
              </w:numPr>
              <w:spacing w:after="60" w:before="40" w:line="264"/>
            </w:pPr>
            <w:r>
              <w:rPr>
                <w:b w:val="false"/>
                <w:bCs w:val="false"/>
                <w:i w:val="false"/>
                <w:iCs w:val="false"/>
                <w:color w:val="1A1A1A"/>
                <w:sz w:val="24"/>
                <w:szCs w:val="24"/>
              </w:rPr>
              <w:t xml:space="preserve"/>
            </w:r>
            <w:r>
              <w:rPr>
                <w:b/>
                <w:bCs/>
                <w:i w:val="false"/>
                <w:iCs w:val="false"/>
                <w:color w:val="1A1A1A"/>
                <w:sz w:val="24"/>
                <w:szCs w:val="24"/>
              </w:rPr>
              <w:t xml:space="preserve">The incident review report has nowhere to go.</w:t>
            </w:r>
            <w:r>
              <w:rPr>
                <w:b w:val="false"/>
                <w:bCs w:val="false"/>
                <w:i w:val="false"/>
                <w:iCs w:val="false"/>
                <w:color w:val="1A1A1A"/>
                <w:sz w:val="24"/>
                <w:szCs w:val="24"/>
              </w:rPr>
              <w:t xml:space="preserve"> OO 1453 I.A.15 directs it to "the PREA Coordinator," a position the department does not have. Send it to the Department Chief and say in the report that the Coordinator role is vacant.</w:t>
            </w:r>
          </w:p>
          <w:p>
            <w:pPr>
              <w:pStyle w:val="ListParagraph"/>
              <w:numPr>
                <w:ilvl w:val="0"/>
                <w:numId w:val="1"/>
              </w:numPr>
              <w:spacing w:after="60" w:before="40" w:line="264"/>
            </w:pPr>
            <w:r>
              <w:rPr>
                <w:b w:val="false"/>
                <w:bCs w:val="false"/>
                <w:i w:val="false"/>
                <w:iCs w:val="false"/>
                <w:color w:val="1A1A1A"/>
                <w:sz w:val="24"/>
                <w:szCs w:val="24"/>
              </w:rPr>
              <w:t xml:space="preserve"/>
            </w:r>
            <w:r>
              <w:rPr>
                <w:b/>
                <w:bCs/>
                <w:i w:val="false"/>
                <w:iCs w:val="false"/>
                <w:color w:val="1A1A1A"/>
                <w:sz w:val="24"/>
                <w:szCs w:val="24"/>
              </w:rPr>
              <w:t xml:space="preserve">There is no retaliation monitoring program.</w:t>
            </w:r>
            <w:r>
              <w:rPr>
                <w:b w:val="false"/>
                <w:bCs w:val="false"/>
                <w:i w:val="false"/>
                <w:iCs w:val="false"/>
                <w:color w:val="1A1A1A"/>
                <w:sz w:val="24"/>
                <w:szCs w:val="24"/>
              </w:rPr>
              <w:t xml:space="preserve"> 115.367 requires a designated monitor and at least 90 days. Nothing in current policy sets one up, so if you do not run it yourself it does not happen.</w:t>
            </w:r>
          </w:p>
          <w:p>
            <w:pPr>
              <w:pStyle w:val="ListParagraph"/>
              <w:numPr>
                <w:ilvl w:val="0"/>
                <w:numId w:val="1"/>
              </w:numPr>
              <w:spacing w:after="60" w:before="40" w:line="264"/>
            </w:pPr>
            <w:r>
              <w:rPr>
                <w:b w:val="false"/>
                <w:bCs w:val="false"/>
                <w:i w:val="false"/>
                <w:iCs w:val="false"/>
                <w:color w:val="1A1A1A"/>
                <w:sz w:val="24"/>
                <w:szCs w:val="24"/>
              </w:rPr>
              <w:t xml:space="preserve"/>
            </w:r>
            <w:r>
              <w:rPr>
                <w:b/>
                <w:bCs/>
                <w:i w:val="false"/>
                <w:iCs w:val="false"/>
                <w:color w:val="1A1A1A"/>
                <w:sz w:val="24"/>
                <w:szCs w:val="24"/>
              </w:rPr>
              <w:t xml:space="preserve">Cross-facility notification is wrong.</w:t>
            </w:r>
            <w:r>
              <w:rPr>
                <w:b w:val="false"/>
                <w:bCs w:val="false"/>
                <w:i w:val="false"/>
                <w:iCs w:val="false"/>
                <w:color w:val="1A1A1A"/>
                <w:sz w:val="24"/>
                <w:szCs w:val="24"/>
              </w:rPr>
              <w:t xml:space="preserve"> If the youth says the abuse happened at another facility, PREA Policy V.A.7 gives 14 days. The standard is </w:t>
            </w:r>
            <w:r>
              <w:rPr>
                <w:b/>
                <w:bCs/>
                <w:i w:val="false"/>
                <w:iCs w:val="false"/>
                <w:color w:val="1A1A1A"/>
                <w:sz w:val="24"/>
                <w:szCs w:val="24"/>
              </w:rPr>
              <w:t xml:space="preserve">72 hours</w:t>
            </w:r>
            <w:r>
              <w:rPr>
                <w:b w:val="false"/>
                <w:bCs w:val="false"/>
                <w:i w:val="false"/>
                <w:iCs w:val="false"/>
                <w:color w:val="1A1A1A"/>
                <w:sz w:val="24"/>
                <w:szCs w:val="24"/>
              </w:rPr>
              <w:t xml:space="preserve">.</w:t>
            </w:r>
          </w:p>
        </w:tc>
      </w:tr>
    </w:tbl>
    <w:p>
      <w:r>
        <w:br w:type="page"/>
      </w:r>
    </w:p>
    <w:p>
      <w:pPr>
        <w:pStyle w:val="Heading1"/>
      </w:pPr>
      <w:r>
        <w:t xml:space="preserve">Who does what, and where you stop</w:t>
      </w:r>
    </w:p>
    <w:p>
      <w:pPr>
        <w:spacing w:after="120" w:line="276"/>
      </w:pPr>
      <w:r>
        <w:rPr>
          <w:b w:val="false"/>
          <w:bCs w:val="false"/>
          <w:i w:val="false"/>
          <w:iCs w:val="false"/>
          <w:color w:val="1A1A1A"/>
          <w:sz w:val="24"/>
          <w:szCs w:val="24"/>
        </w:rPr>
        <w:t xml:space="preserve">Classification and protection are yours. Fact finding is not. The distinction matters most in the middle of the chart, tiers 2 through 5, where there is no criminal callout and it feels like nobody else is coming. Somebody else is supposed to be coming. Read the decision note at the end of this section, because the department has not yet said who.</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740"/>
        <w:gridCol w:w="3740"/>
      </w:tblGrid>
      <w:tr>
        <w:trPr>
          <w:tblHeader/>
        </w:trPr>
        <w:tc>
          <w:tcPr>
            <w:tcW w:type="dxa" w:w="260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Role</w:t>
            </w:r>
          </w:p>
        </w:tc>
        <w:tc>
          <w:tcPr>
            <w:tcW w:type="dxa" w:w="374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Does</w:t>
            </w:r>
          </w:p>
        </w:tc>
        <w:tc>
          <w:tcPr>
            <w:tcW w:type="dxa" w:w="3740"/>
            <w:shd w:fill="EDEDE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Does not</w:t>
            </w:r>
          </w:p>
        </w:tc>
      </w:tr>
      <w:tr>
        <w:tc>
          <w:tcPr>
            <w:tcW w:type="dxa" w:w="2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Line staff</w:t>
            </w:r>
            <w:r>
              <w:rPr>
                <w:b w:val="false"/>
                <w:bCs w:val="false"/>
                <w:i w:val="false"/>
                <w:iCs w:val="false"/>
                <w:color w:val="1A1A1A"/>
                <w:sz w:val="24"/>
                <w:szCs w:val="24"/>
              </w:rPr>
              <w:t xml:space="preserve">, whoever learns of it first</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Reports to the Duty Supervisor </w:t>
            </w:r>
            <w:r>
              <w:rPr>
                <w:b/>
                <w:bCs/>
                <w:i w:val="false"/>
                <w:iCs w:val="false"/>
                <w:color w:val="1A1A1A"/>
                <w:sz w:val="24"/>
                <w:szCs w:val="24"/>
              </w:rPr>
              <w:t xml:space="preserve">immediately</w:t>
            </w:r>
            <w:r>
              <w:rPr>
                <w:b w:val="false"/>
                <w:bCs w:val="false"/>
                <w:i w:val="false"/>
                <w:iCs w:val="false"/>
                <w:color w:val="1A1A1A"/>
                <w:sz w:val="24"/>
                <w:szCs w:val="24"/>
              </w:rPr>
              <w:t xml:space="preserve">. Separates the youth. Preserves the scene and the clothing. Writes the incident report with </w:t>
            </w:r>
            <w:r>
              <w:rPr>
                <w:b/>
                <w:bCs/>
                <w:i w:val="false"/>
                <w:iCs w:val="false"/>
                <w:color w:val="1A1A1A"/>
                <w:sz w:val="24"/>
                <w:szCs w:val="24"/>
              </w:rPr>
              <w:t xml:space="preserve">the words used verbatim</w:t>
            </w:r>
            <w:r>
              <w:rPr>
                <w:b w:val="false"/>
                <w:bCs w:val="false"/>
                <w:i w:val="false"/>
                <w:iCs w:val="false"/>
                <w:color w:val="1A1A1A"/>
                <w:sz w:val="24"/>
                <w:szCs w:val="24"/>
              </w:rPr>
              <w:t xml:space="preserve">. Makes their own CANRA report if they formed the suspicion.</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Does not interview anyone. Does not decide whether it is PREA. Does not wait to be asked.</w:t>
            </w:r>
          </w:p>
        </w:tc>
      </w:tr>
      <w:tr>
        <w:tc>
          <w:tcPr>
            <w:tcW w:type="dxa" w:w="2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Duty Supervisor</w:t>
            </w:r>
            <w:r>
              <w:rPr>
                <w:b w:val="false"/>
                <w:bCs w:val="false"/>
                <w:i w:val="false"/>
                <w:iCs w:val="false"/>
                <w:color w:val="1A1A1A"/>
                <w:sz w:val="24"/>
                <w:szCs w:val="24"/>
              </w:rPr>
              <w:t xml:space="preserve">, you</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Classifies the incident against the tier chart. Protects: separation, housing, the 115.362 call. Preserves evidence and video. Notifies out. Documents and hands off.</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Does not conduct the fact finding.</w:t>
            </w:r>
            <w:r>
              <w:rPr>
                <w:b w:val="false"/>
                <w:bCs w:val="false"/>
                <w:i w:val="false"/>
                <w:iCs w:val="false"/>
                <w:color w:val="1A1A1A"/>
                <w:sz w:val="24"/>
                <w:szCs w:val="24"/>
              </w:rPr>
              <w:t xml:space="preserve"> Does not interview witnesses to test whether the allegation is true. Does not identify residents who asked to stay anonymous. Does not decide the case.</w:t>
            </w:r>
          </w:p>
        </w:tc>
      </w:tr>
      <w:tr>
        <w:tc>
          <w:tcPr>
            <w:tcW w:type="dxa" w:w="2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Administrative investigator</w:t>
            </w:r>
            <w:r>
              <w:rPr>
                <w:b w:val="false"/>
                <w:bCs w:val="false"/>
                <w:i w:val="false"/>
                <w:iCs w:val="false"/>
                <w:color w:val="1A1A1A"/>
                <w:sz w:val="24"/>
                <w:szCs w:val="24"/>
              </w:rPr>
              <w:t xml:space="preserve"> for youth-on-youth</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Conducts the 115.371(a) administrative investigation. Trained under 115.334. Interviews with the advocate rights attached. Reaches substantiated, unsubstantiated or unfounded.</w:t>
            </w:r>
          </w:p>
        </w:tc>
        <w:tc>
          <w:tcPr>
            <w:tcW w:type="dxa" w:w="3740"/>
            <w:shd w:fill="F7DDD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NOT CURRENTLY DESIGNATED. This is the hole.</w:t>
            </w:r>
            <w:r>
              <w:rPr>
                <w:b w:val="false"/>
                <w:bCs w:val="false"/>
                <w:i w:val="false"/>
                <w:iCs w:val="false"/>
                <w:color w:val="1A1A1A"/>
                <w:sz w:val="24"/>
                <w:szCs w:val="24"/>
              </w:rPr>
              <w:t xml:space="preserve"> See the decision note below.</w:t>
            </w:r>
          </w:p>
        </w:tc>
      </w:tr>
      <w:tr>
        <w:tc>
          <w:tcPr>
            <w:tcW w:type="dxa" w:w="2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Internal Affairs</w:t>
            </w:r>
            <w:r>
              <w:rPr>
                <w:b w:val="false"/>
                <w:bCs w:val="false"/>
                <w:i w:val="false"/>
                <w:iCs w:val="false"/>
                <w:color w:val="1A1A1A"/>
                <w:sz w:val="24"/>
                <w:szCs w:val="24"/>
              </w:rPr>
              <w:t xml:space="preserve"/>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Investigates staff misconduct, with the Lybarger process, the one year clock and the IA disposition taxonomy. Receives the mandatory route for staff reporting.</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Is not built for youth-on-youth. Its preponderance standard is written for employee cases only. Its discretion to decide no formal investigation is necessary has no carve-out for sexual abuse.</w:t>
            </w:r>
          </w:p>
        </w:tc>
      </w:tr>
      <w:tr>
        <w:tc>
          <w:tcPr>
            <w:tcW w:type="dxa" w:w="2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Sheriff's Department</w:t>
            </w:r>
            <w:r>
              <w:rPr>
                <w:b w:val="false"/>
                <w:bCs w:val="false"/>
                <w:i w:val="false"/>
                <w:iCs w:val="false"/>
                <w:color w:val="1A1A1A"/>
                <w:sz w:val="24"/>
                <w:szCs w:val="24"/>
              </w:rPr>
              <w:t xml:space="preserve"/>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Criminal investigation. Notified </w:t>
            </w:r>
            <w:r>
              <w:rPr>
                <w:b/>
                <w:bCs/>
                <w:i w:val="false"/>
                <w:iCs w:val="false"/>
                <w:color w:val="1A1A1A"/>
                <w:sz w:val="24"/>
                <w:szCs w:val="24"/>
              </w:rPr>
              <w:t xml:space="preserve">immediately</w:t>
            </w:r>
            <w:r>
              <w:rPr>
                <w:b w:val="false"/>
                <w:bCs w:val="false"/>
                <w:i w:val="false"/>
                <w:iCs w:val="false"/>
                <w:color w:val="1A1A1A"/>
                <w:sz w:val="24"/>
                <w:szCs w:val="24"/>
              </w:rPr>
              <w:t xml:space="preserve"> by the Duty Supervisor once it is believed a sexual assault occurred. Briefed by the reporting officer, given an interview room.</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Not the answer for the middle band. A touching or exposure case is usually an administrative matter, and the absence of a Sheriff response does not remove the duty to investigate.</w:t>
            </w:r>
          </w:p>
        </w:tc>
      </w:tr>
      <w:tr>
        <w:tc>
          <w:tcPr>
            <w:tcW w:type="dxa" w:w="2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Chief Deputy and Assistant Chief Deputies</w:t>
            </w:r>
            <w:r>
              <w:rPr>
                <w:b w:val="false"/>
                <w:bCs w:val="false"/>
                <w:i w:val="false"/>
                <w:iCs w:val="false"/>
                <w:color w:val="1A1A1A"/>
                <w:sz w:val="24"/>
                <w:szCs w:val="24"/>
              </w:rPr>
              <w:t xml:space="preserve"/>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Receive the memo. Make the agency-level calls. Own the cross-facility notification where a youth reports abuse at another facility, which is </w:t>
            </w:r>
            <w:r>
              <w:rPr>
                <w:b/>
                <w:bCs/>
                <w:i w:val="false"/>
                <w:iCs w:val="false"/>
                <w:color w:val="1A1A1A"/>
                <w:sz w:val="24"/>
                <w:szCs w:val="24"/>
              </w:rPr>
              <w:t xml:space="preserve">72 hours</w:t>
            </w:r>
            <w:r>
              <w:rPr>
                <w:b w:val="false"/>
                <w:bCs w:val="false"/>
                <w:i w:val="false"/>
                <w:iCs w:val="false"/>
                <w:color w:val="1A1A1A"/>
                <w:sz w:val="24"/>
                <w:szCs w:val="24"/>
              </w:rPr>
              <w:t xml:space="preserve">, not the 14 days current policy states.</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Should not be the first point at which anyone decides whether the incident was PREA. That call is made and written down on the unit.</w:t>
            </w:r>
          </w:p>
        </w:tc>
      </w:tr>
      <w:tr>
        <w:tc>
          <w:tcPr>
            <w:tcW w:type="dxa" w:w="2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PREA Coordinator and facility Compliance Manager</w:t>
            </w:r>
            <w:r>
              <w:rPr>
                <w:b w:val="false"/>
                <w:bCs w:val="false"/>
                <w:i w:val="false"/>
                <w:iCs w:val="false"/>
                <w:color w:val="1A1A1A"/>
                <w:sz w:val="24"/>
                <w:szCs w:val="24"/>
              </w:rPr>
              <w:t xml:space="preserve"/>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Would own the data, the incident reviews, the corrective action loop, and the consistency of classification across shifts. OO 1453 I.A.15 already addresses the review report to this role.</w:t>
            </w:r>
          </w:p>
        </w:tc>
        <w:tc>
          <w:tcPr>
            <w:tcW w:type="dxa" w:w="3740"/>
            <w:shd w:fill="F7DDD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DOES NOT EXIST.</w:t>
            </w:r>
            <w:r>
              <w:rPr>
                <w:b w:val="false"/>
                <w:bCs w:val="false"/>
                <w:i w:val="false"/>
                <w:iCs w:val="false"/>
                <w:color w:val="1A1A1A"/>
                <w:sz w:val="24"/>
                <w:szCs w:val="24"/>
              </w:rPr>
              <w:t xml:space="preserve"> The order routes a required report to a position the department does not have, so the review currently terminates in a dead letter.</w:t>
            </w:r>
          </w:p>
        </w:tc>
      </w:tr>
      <w:tr>
        <w:tc>
          <w:tcPr>
            <w:tcW w:type="dxa" w:w="2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Medical and Mental Health</w:t>
            </w:r>
            <w:r>
              <w:rPr>
                <w:b w:val="false"/>
                <w:bCs w:val="false"/>
                <w:i w:val="false"/>
                <w:iCs w:val="false"/>
                <w:color w:val="1A1A1A"/>
                <w:sz w:val="24"/>
                <w:szCs w:val="24"/>
              </w:rPr>
              <w:t xml:space="preserve"/>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Crisis counseling, evaluation and treatment, referral. Clinical input into the incident review.</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A mental health referral is not a protection plan and does not discharge the 115.362 duty.</w:t>
            </w:r>
          </w:p>
        </w:tc>
      </w:tr>
      <w:tr>
        <w:tc>
          <w:tcPr>
            <w:tcW w:type="dxa" w:w="2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Victim advocate</w:t>
            </w:r>
            <w:r>
              <w:rPr>
                <w:b w:val="false"/>
                <w:bCs w:val="false"/>
                <w:i w:val="false"/>
                <w:iCs w:val="false"/>
                <w:color w:val="1A1A1A"/>
                <w:sz w:val="24"/>
                <w:szCs w:val="24"/>
              </w:rPr>
              <w:t xml:space="preserve">, usually a Rape Crisis Center</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Accompanies the youth through the medical examination and through investigatory interviews. PC 264.2 and PC 679.04 give those rights, and OO 1453 I.A.13 recites them.</w:t>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Cannot be offered after the fact. If an interview already happened without one, the right was already spent.</w:t>
            </w:r>
          </w:p>
        </w:tc>
      </w:tr>
      <w:tr>
        <w:tc>
          <w:tcPr>
            <w:tcW w:type="dxa" w:w="260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Retaliation monitor</w:t>
            </w:r>
            <w:r>
              <w:rPr>
                <w:b w:val="false"/>
                <w:bCs w:val="false"/>
                <w:i w:val="false"/>
                <w:iCs w:val="false"/>
                <w:color w:val="1A1A1A"/>
                <w:sz w:val="24"/>
                <w:szCs w:val="24"/>
              </w:rPr>
              <w:t xml:space="preserve"/>
            </w:r>
          </w:p>
        </w:tc>
        <w:tc>
          <w:tcPr>
            <w:tcW w:type="dxa" w:w="3740"/>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Watches the reporter, the target and any corroborating witness for at least </w:t>
            </w:r>
            <w:r>
              <w:rPr>
                <w:b/>
                <w:bCs/>
                <w:i w:val="false"/>
                <w:iCs w:val="false"/>
                <w:color w:val="1A1A1A"/>
                <w:sz w:val="24"/>
                <w:szCs w:val="24"/>
              </w:rPr>
              <w:t xml:space="preserve">90 days</w:t>
            </w:r>
            <w:r>
              <w:rPr>
                <w:b w:val="false"/>
                <w:bCs w:val="false"/>
                <w:i w:val="false"/>
                <w:iCs w:val="false"/>
                <w:color w:val="1A1A1A"/>
                <w:sz w:val="24"/>
                <w:szCs w:val="24"/>
              </w:rPr>
              <w:t xml:space="preserve">, with periodic status checks.</w:t>
            </w:r>
          </w:p>
        </w:tc>
        <w:tc>
          <w:tcPr>
            <w:tcW w:type="dxa" w:w="3740"/>
            <w:shd w:fill="F7DDDD" w:color="auto" w:val="clear"/>
            <w:tcMar>
              <w:top w:type="dxa" w:w="60"/>
              <w:left w:type="dxa" w:w="100"/>
              <w:bottom w:type="dxa" w:w="60"/>
              <w:right w:type="dxa" w:w="100"/>
            </w:tcMar>
          </w:tcPr>
          <w:p>
            <w:pPr>
              <w:spacing w:after="40" w:before="40" w:line="240"/>
            </w:pPr>
            <w:r>
              <w:rPr>
                <w:b w:val="false"/>
                <w:bCs w:val="false"/>
                <w:i w:val="false"/>
                <w:iCs w:val="false"/>
                <w:color w:val="1A1A1A"/>
                <w:sz w:val="24"/>
                <w:szCs w:val="24"/>
              </w:rPr>
              <w:t xml:space="preserve"/>
            </w:r>
            <w:r>
              <w:rPr>
                <w:b/>
                <w:bCs/>
                <w:i w:val="false"/>
                <w:iCs w:val="false"/>
                <w:color w:val="1A1A1A"/>
                <w:sz w:val="24"/>
                <w:szCs w:val="24"/>
              </w:rPr>
              <w:t xml:space="preserve">NOT DESIGNATED, and no monitoring period exists in policy.</w:t>
            </w:r>
            <w:r>
              <w:rPr>
                <w:b w:val="false"/>
                <w:bCs w:val="false"/>
                <w:i w:val="false"/>
                <w:iCs w:val="false"/>
                <w:color w:val="1A1A1A"/>
                <w:sz w:val="24"/>
                <w:szCs w:val="24"/>
              </w:rPr>
              <w:t xml:space="preserve"> If the supervisor does not run it, nobody does.</w:t>
            </w:r>
          </w:p>
        </w:tc>
      </w:tr>
    </w:tbl>
    <w:p>
      <w:pPr>
        <w:pStyle w:val="Heading2"/>
      </w:pPr>
      <w:r>
        <w:t xml:space="preserve">The stop-point, stated plainly</w:t>
      </w:r>
    </w:p>
    <w:p>
      <w:pPr>
        <w:pStyle w:val="ListParagraph"/>
        <w:numPr>
          <w:ilvl w:val="0"/>
          <w:numId w:val="1"/>
        </w:numPr>
        <w:spacing w:after="70" w:line="264"/>
      </w:pPr>
      <w:r>
        <w:rPr>
          <w:b w:val="false"/>
          <w:bCs w:val="false"/>
          <w:i w:val="false"/>
          <w:iCs w:val="false"/>
          <w:color w:val="1A1A1A"/>
          <w:sz w:val="24"/>
          <w:szCs w:val="24"/>
        </w:rPr>
        <w:t xml:space="preserve">You classify. You protect. You preserve. You notify. You document. </w:t>
      </w:r>
      <w:r>
        <w:rPr>
          <w:b/>
          <w:bCs/>
          <w:i w:val="false"/>
          <w:iCs w:val="false"/>
          <w:color w:val="1A1A1A"/>
          <w:sz w:val="24"/>
          <w:szCs w:val="24"/>
        </w:rPr>
        <w:t xml:space="preserve">Then you stop and hand off.</w:t>
      </w:r>
      <w:r>
        <w:rPr>
          <w:b w:val="false"/>
          <w:bCs w:val="false"/>
          <w:i w:val="false"/>
          <w:iCs w:val="false"/>
          <w:color w:val="1A1A1A"/>
          <w:sz w:val="24"/>
          <w:szCs w:val="24"/>
        </w:rPr>
        <w:t xml:space="preserve"/>
      </w:r>
    </w:p>
    <w:p>
      <w:pPr>
        <w:pStyle w:val="ListParagraph"/>
        <w:numPr>
          <w:ilvl w:val="0"/>
          <w:numId w:val="1"/>
        </w:numPr>
        <w:spacing w:after="70" w:line="264"/>
      </w:pPr>
      <w:r>
        <w:rPr>
          <w:b w:val="false"/>
          <w:bCs w:val="false"/>
          <w:i w:val="false"/>
          <w:iCs w:val="false"/>
          <w:color w:val="1A1A1A"/>
          <w:sz w:val="24"/>
          <w:szCs w:val="24"/>
        </w:rPr>
        <w:t xml:space="preserve">The handoff is the point of the memo. Write what you observed, what the resident said verbatim, what you did, and what you classified it as. That is a complete supervisor product.</w:t>
      </w:r>
    </w:p>
    <w:p>
      <w:pPr>
        <w:pStyle w:val="ListParagraph"/>
        <w:numPr>
          <w:ilvl w:val="0"/>
          <w:numId w:val="1"/>
        </w:numPr>
        <w:spacing w:after="70" w:line="264"/>
      </w:pPr>
      <w:r>
        <w:rPr>
          <w:b w:val="false"/>
          <w:bCs w:val="false"/>
          <w:i w:val="false"/>
          <w:iCs w:val="false"/>
          <w:color w:val="1A1A1A"/>
          <w:sz w:val="24"/>
          <w:szCs w:val="24"/>
        </w:rPr>
        <w:t xml:space="preserve">What turns a response into an investigation is </w:t>
      </w:r>
      <w:r>
        <w:rPr>
          <w:b/>
          <w:bCs/>
          <w:i w:val="false"/>
          <w:iCs w:val="false"/>
          <w:color w:val="1A1A1A"/>
          <w:sz w:val="24"/>
          <w:szCs w:val="24"/>
        </w:rPr>
        <w:t xml:space="preserve">asking questions to find out whether it is true</w:t>
      </w:r>
      <w:r>
        <w:rPr>
          <w:b w:val="false"/>
          <w:bCs w:val="false"/>
          <w:i w:val="false"/>
          <w:iCs w:val="false"/>
          <w:color w:val="1A1A1A"/>
          <w:sz w:val="24"/>
          <w:szCs w:val="24"/>
        </w:rPr>
        <w:t xml:space="preserve">. Establishing who was involved and keeping them safe is response. Testing the allegation is investigation, and it belongs to someone trained for it, with the advocate rights attached.</w:t>
      </w:r>
    </w:p>
    <w:p>
      <w:pPr>
        <w:pStyle w:val="ListParagraph"/>
        <w:numPr>
          <w:ilvl w:val="0"/>
          <w:numId w:val="1"/>
        </w:numPr>
        <w:spacing w:after="70" w:line="264"/>
      </w:pPr>
      <w:r>
        <w:rPr>
          <w:b w:val="false"/>
          <w:bCs w:val="false"/>
          <w:i w:val="false"/>
          <w:iCs w:val="false"/>
          <w:color w:val="1A1A1A"/>
          <w:sz w:val="24"/>
          <w:szCs w:val="24"/>
        </w:rPr>
        <w:t xml:space="preserve">Three practical reasons, and the third is the one that bites. An untrained interview of a minor about sexual contact becomes the other side's exhibit later. The advocate rights under PC 679.04 attach to investigative interviews and cannot be offered retroactively. And identifying residents who asked for anonymity burns the witnesses and creates the retaliation exposure that 115.367 exists to prevent.</w:t>
      </w:r>
    </w:p>
    <w:p>
      <w:pPr>
        <w:pStyle w:val="Heading2"/>
      </w:pPr>
      <w:r>
        <w:t xml:space="preserve">The decision the department has to make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64"/>
            </w:pPr>
            <w:r>
              <w:rPr>
                <w:b w:val="false"/>
                <w:bCs w:val="false"/>
                <w:i w:val="false"/>
                <w:iCs w:val="false"/>
                <w:color w:val="1A1A1A"/>
                <w:sz w:val="24"/>
                <w:szCs w:val="24"/>
              </w:rPr>
              <w:t xml:space="preserve">115.371(a) requires an administrative </w:t>
            </w:r>
            <w:r>
              <w:rPr>
                <w:b/>
                <w:bCs/>
                <w:i w:val="false"/>
                <w:iCs w:val="false"/>
                <w:color w:val="1A1A1A"/>
                <w:sz w:val="24"/>
                <w:szCs w:val="24"/>
              </w:rPr>
              <w:t xml:space="preserve">or</w:t>
            </w:r>
            <w:r>
              <w:rPr>
                <w:b w:val="false"/>
                <w:bCs w:val="false"/>
                <w:i w:val="false"/>
                <w:iCs w:val="false"/>
                <w:color w:val="1A1A1A"/>
                <w:sz w:val="24"/>
                <w:szCs w:val="24"/>
              </w:rPr>
              <w:t xml:space="preserve"> criminal investigation for every allegation. For the middle band the answer is the administrative branch, and the department has not built it. Internal Affairs is written for employee misconduct. Nothing in the documents reviewed names who investigates a resident-on-resident allegation that is not a criminal callout. So supervisors fill the gap, which is a reasonable thing to do in a vacuum and the wrong place for the duty to sit, because the same person is also protecting, housing and classifying. </w:t>
            </w:r>
            <w:r>
              <w:rPr>
                <w:b/>
                <w:bCs/>
                <w:i w:val="false"/>
                <w:iCs w:val="false"/>
                <w:color w:val="1A1A1A"/>
                <w:sz w:val="24"/>
                <w:szCs w:val="24"/>
              </w:rPr>
              <w:t xml:space="preserve">Two defensible answers, and the department has to pick one.</w:t>
            </w:r>
            <w:r>
              <w:rPr>
                <w:b w:val="false"/>
                <w:bCs w:val="false"/>
                <w:i w:val="false"/>
                <w:iCs w:val="false"/>
                <w:color w:val="1A1A1A"/>
                <w:sz w:val="24"/>
                <w:szCs w:val="24"/>
              </w:rPr>
              <w:t xml:space="preserve"> Either designate someone to conduct youth-on-youth administrative investigations, which is recommended change 8, or write down that the Duty Supervisor does it and build the 115.334 training, the advocate rights and the anonymity handling around that role. What is not defensible is leaving the duty real, unassigned and absorbed by whoever is on shift.</w:t>
            </w:r>
          </w:p>
        </w:tc>
      </w:tr>
    </w:tbl>
    <w:p>
      <w:r>
        <w:br w:type="page"/>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7DDDD" w:color="auto" w:val="clear"/>
            <w:tcMar>
              <w:top w:type="dxa" w:w="60"/>
              <w:left w:type="dxa" w:w="100"/>
              <w:bottom w:type="dxa" w:w="60"/>
              <w:right w:type="dxa" w:w="100"/>
            </w:tcMar>
          </w:tcPr>
          <w:p>
            <w:pPr>
              <w:spacing w:after="60" w:before="60" w:line="264"/>
            </w:pPr>
            <w:r>
              <w:rPr>
                <w:b w:val="false"/>
                <w:bCs w:val="false"/>
                <w:i w:val="false"/>
                <w:iCs w:val="false"/>
                <w:color w:val="1A1A1A"/>
                <w:sz w:val="24"/>
                <w:szCs w:val="24"/>
              </w:rPr>
              <w:t xml:space="preserve"/>
            </w:r>
            <w:r>
              <w:rPr>
                <w:b/>
                <w:bCs/>
                <w:i w:val="false"/>
                <w:iCs w:val="false"/>
                <w:color w:val="1A1A1A"/>
                <w:sz w:val="24"/>
                <w:szCs w:val="24"/>
              </w:rPr>
              <w:t xml:space="preserve">If you are genuinely unsure, report.</w:t>
            </w:r>
            <w:r>
              <w:rPr>
                <w:b w:val="false"/>
                <w:bCs w:val="false"/>
                <w:i w:val="false"/>
                <w:iCs w:val="false"/>
                <w:color w:val="1A1A1A"/>
                <w:sz w:val="24"/>
                <w:szCs w:val="24"/>
              </w:rPr>
              <w:t xml:space="preserve"> The CANRA threshold is reasonable suspicion, which is deliberately low. Reporters have immunity. Failing to report is a crime. The risk is asymmetric on purpose, so classify fast where the chart is clear and report where it is not.</w:t>
            </w:r>
          </w:p>
        </w:tc>
      </w:tr>
    </w:tbl>
    <w:p>
      <w:pPr>
        <w:spacing w:after="120" w:before="240" w:line="264"/>
      </w:pPr>
      <w:r>
        <w:rPr>
          <w:b w:val="false"/>
          <w:bCs w:val="false"/>
          <w:i/>
          <w:iCs/>
          <w:color w:val="1A1A1A"/>
          <w:sz w:val="24"/>
          <w:szCs w:val="24"/>
        </w:rPr>
        <w:t xml:space="preserve">This is not legal advice, and statutory questions go to County Counsel. The CANRA and 28 CFR 115.6 text behind this card was corroborated by exact-phrase search and has NOT been read from the Penal Code or the Code of Federal Regulations directly. Confirm before this issues. Two provisions in current departmental orders will mislead you: the CPS timeline in the PREA Policy and OO 1453 says 24 hours, and the law says immediately. Follow the law.</w:t>
      </w:r>
    </w:p>
    <w:p>
      <w:pPr>
        <w:spacing w:after="120" w:line="264"/>
      </w:pPr>
      <w:r>
        <w:rPr>
          <w:b w:val="false"/>
          <w:bCs w:val="false"/>
          <w:i/>
          <w:iCs/>
          <w:color w:val="595959"/>
          <w:sz w:val="24"/>
          <w:szCs w:val="24"/>
        </w:rPr>
        <w:t xml:space="preserve">Generated from drafts/supervisor-guide.json by npm run field-card. Do not hand-edit this file; the next build overwrites it. Drawn from gap register Revision 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PREA Incident Classification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A1A1A"/>
      <w:sz w:val="34"/>
      <w:szCs w:val="34"/>
    </w:rPr>
  </w:style>
  <w:style w:type="paragraph" w:styleId="Heading2">
    <w:name w:val="Heading 2"/>
    <w:basedOn w:val="Normal"/>
    <w:next w:val="Normal"/>
    <w:qFormat/>
    <w:pPr>
      <w:spacing w:after="120" w:before="260"/>
    </w:pPr>
    <w:rPr>
      <w:rFonts w:ascii="Calibri" w:cs="Calibri" w:eastAsia="Calibri" w:hAnsi="Calibri"/>
      <w:b/>
      <w:bCs/>
      <w:color w:val="1A1A1A"/>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2026-10-29T20:52:45.304Z</dcterms:created>
  <dcterms:modified xsi:type="dcterms:W3CDTF">2026-10-29T20:52:45.304Z</dcterms:modified>
</cp:coreProperties>
</file>

<file path=docProps/custom.xml><?xml version="1.0" encoding="utf-8"?>
<Properties xmlns="http://schemas.openxmlformats.org/officeDocument/2006/custom-properties" xmlns:vt="http://schemas.openxmlformats.org/officeDocument/2006/docPropsVTypes"/>
</file>