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8"/>
          <w:szCs w:val="48"/>
        </w:rPr>
        <w:t xml:space="preserve">Youth sexual conduct: what supervisors must do</w:t>
      </w:r>
    </w:p>
    <w:p>
      <w:pPr>
        <w:spacing w:after="420"/>
        <w:jc w:val="center"/>
      </w:pPr>
      <w:r>
        <w:rPr>
          <w:color w:val="5A5A5A"/>
          <w:sz w:val="32"/>
          <w:szCs w:val="32"/>
        </w:rPr>
        <w:t xml:space="preserve">A decision guide for comments, exposure, and touching between youth</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32"/>
                <w:szCs w:val="3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and verification notes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due process provision for major rule violations is cited here as 15 CCR 1391(f), its numbering in the edition effective 01/01/2019. Revision 6 has now brought the gap register and CLAUDE.md into line with that numbering, so this guide and the register agree. Two further citations were corrected in the same pass: 15 CCR 1324(h) is 1324(k), and 34 U.S.C. 30307(e)(2) is 30307(c)(2). Neither is used in this guide.</w:t>
            </w:r>
          </w:p>
        </w:tc>
      </w:tr>
    </w:tbl>
    <w:p>
      <w:pPr>
        <w:spacing w:after="16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CANRA and 28 CFR 115.6 text quoted here is corroborated from search, including exact-phrase matches against the Cornell, eCFR, FindLaw and Justia listings, and has NOT been read from the Penal Code or the Code of Federal Regulations directly, because network access to those sources is blocked from the drafting environment. The Title 15 citations are different: those were read in full from the edition effective 01/01/2019 and are quoted into the gap register. Confirm the CANRA and federal quotations against primary source before this issues.</w:t>
            </w:r>
          </w:p>
        </w:tc>
      </w:tr>
    </w:tbl>
    <w:p>
      <w:pPr>
        <w:spacing w:after="0"/>
      </w:pP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They converge on contact and diverge everywhere else.</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For touching, the two tests line up almost exactly: the same intimate body parts, the same through-clothing rule, and a matching carve-out for contact during a fight. Away from contact they come apart in both directions. Repeated comments are PREA and not CANRA. Masturbation in view of another youth is CANRA on the first occurrence and not PREA unless repeated. Answering one question never answers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24"/>
                <w:szCs w:val="24"/>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24"/>
                <w:szCs w:val="24"/>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A single unwelcome sexualized comment directed at another youth, with no contact, no exposure,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Sexualized comments or gestures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exposes his genitals to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 but read tier 4</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masturbates in the presence of or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bCs/>
                <w:color w:val="1A1A1A"/>
                <w:sz w:val="24"/>
                <w:szCs w:val="24"/>
              </w:rPr>
              <w:t xml:space="preserve">YES. Report</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Report</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Report</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exposure,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Not PREA on these facts. </w:t>
            </w:r>
            <w:r>
              <w:rPr>
                <w:color w:val="1A1A1A"/>
                <w:sz w:val="24"/>
                <w:szCs w:val="24"/>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Words are not conduct in violation of any offense enumerated at Penal Code 11165.1(a), and they are not among the acts listed at 11165.1(b). Nothing in CANRA reaches speech alone.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or gestures of a derogatory or offensive nature, repeated and unwelcome, directed at the same youth. Still no contact and no exposure.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w:t>
            </w:r>
            <w:r>
              <w:rPr>
                <w:color w:val="1A1A1A"/>
                <w:sz w:val="24"/>
                <w:szCs w:val="24"/>
              </w:rPr>
              <w:t xml:space="preserve">Sexual harassment under 115.6, prong one. A reportable PREA incident that enters the PREA data set.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on the same reasoning as tier 1. Repetition makes it PREA. It does not turn speech into an act CANRA reaches.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separately from any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under 115.367: at least 90 days,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his genitals to another youth. Flashing, with no masturbation and no contact.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It is an "action of a derogatory or offensive sexual nature" under the harassment prong, so a single incident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but read tier 4. </w:t>
            </w:r>
            <w:r>
              <w:rPr>
                <w:color w:val="1A1A1A"/>
                <w:sz w:val="24"/>
                <w:szCs w:val="24"/>
              </w:rPr>
              <w:t xml:space="preserve">No on these facts. Penal Code 314, indecent exposure, is not among the offenses enumerated at 11165.1(a), and bare exposure is not among the acts listed at 11165.1(b). Read tier 4 before settling on this answer: if the youth was masturbating, the answer changes.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Establish whether there was masturbation. That single fact decides the CANRA question, so put the answer in the incident report in plain terms rather than leaving it to inference.</w:t>
            </w:r>
          </w:p>
          <w:p>
            <w:pPr>
              <w:pStyle w:val="ListParagraph"/>
              <w:numPr>
                <w:ilvl w:val="0"/>
                <w:numId w:val="1"/>
              </w:numPr>
              <w:spacing w:after="60" w:before="40" w:line="264"/>
            </w:pPr>
            <w:r>
              <w:rPr>
                <w:color w:val="1A1A1A"/>
              </w:rPr>
              <w:t xml:space="preserve">Consider whether the exposure was directed at a specific youth. Directed conduct is the stronger indicator for the 115.362 protection assessment.</w:t>
            </w:r>
          </w:p>
          <w:p>
            <w:pPr>
              <w:pStyle w:val="ListParagraph"/>
              <w:numPr>
                <w:ilvl w:val="0"/>
                <w:numId w:val="1"/>
              </w:numPr>
              <w:spacing w:after="60" w:before="40" w:line="264"/>
            </w:pPr>
            <w:r>
              <w:rPr>
                <w:color w:val="1A1A1A"/>
              </w:rPr>
              <w:t xml:space="preserve">Consider a Penal Code 314 referral separately. That is a law enforcement and District Attorney question and does not travel with the CANRA question.</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One youth masturbates in the presence of or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Sexual harassment under the harassment prong only if repeated, same as tier 3.</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Report. </w:t>
            </w:r>
            <w:r>
              <w:rPr>
                <w:color w:val="1A1A1A"/>
                <w:sz w:val="24"/>
                <w:szCs w:val="24"/>
              </w:rPr>
              <w:t xml:space="preserve">YES. Penal Code 11165.1(b)(5) lists "the intentional masturbation of the perpetrator's genitals in the presence of a child" as conduct described as sexual assault. It is reportable on the first occurrence, with no repetition element, and it does not depend on any offense in the 11165.1(a) list. This tier is the clearest case in the guide where the CANRA answer is yes and the PREA answer is no.</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Mandated report by telephone immediately or as soon as is practicably possible, written report on form SS 8572 within 36 hours. Do not wait for the investigation or for a supervisor's approval.</w:t>
            </w:r>
          </w:p>
          <w:p>
            <w:pPr>
              <w:pStyle w:val="ListParagraph"/>
              <w:numPr>
                <w:ilvl w:val="0"/>
                <w:numId w:val="1"/>
              </w:numPr>
              <w:spacing w:after="60" w:before="40" w:line="264"/>
            </w:pPr>
            <w:r>
              <w:rPr>
                <w:color w:val="1A1A1A"/>
              </w:rPr>
              <w:t xml:space="preserve">Record the basis in the incident report: intentional masturbation, in the presence of the other youth.</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 if the target reported it.</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The body areas are enumerated by name, contact through clothing counts, and the only exclusion is contact incidental to a physical altercation. It is not horseplay and it is not a tier below the comment cases. One element the chart previously left out: the resident-on-resident definition applies where the victim does not consent, is coerced by overt or implied threats of violence, or is unable to consent or refuse. An unwanted grab satisfies that on its face, but the element has to be established and written down rather than assumed, and it is what separates this from consensual contact between youth, which is a rule violation and a safety problem but is not resident-on-resident sexual abuse under this definition.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Report. </w:t>
            </w:r>
            <w:r>
              <w:rPr>
                <w:color w:val="1A1A1A"/>
                <w:sz w:val="24"/>
                <w:szCs w:val="24"/>
              </w:rPr>
              <w:t xml:space="preserve">YES, where the touching was for sexual arousal or gratification. Penal Code 11165.1(b)(4) covers "the intentional touching of the genitals or intimate parts, including the breasts, genital area, groin, inner thighs, and buttocks, or the clothing covering them, of a child, or of the perpetrator by a child, for purposes of sexual arousal or gratification." Note how closely that tracks the PREA list: the same body parts, the same through-clothing rule. CANRA adds a purpose element that PREA does not have, and excludes acts reasonably construed as normal caretaker responsibilities, demonstrations of affection, or acts for a valid medical purpose, none of which fit a deliberate grab between youth. Penal Code 11165.6 separately excludes "a mutual affray between minors," which is the CANRA analogue of the PREA carve-out for contact incidental to a physical altercation. Contact during a fight is outside both.</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w:t>
            </w:r>
          </w:p>
          <w:p>
            <w:pPr>
              <w:pStyle w:val="ListParagraph"/>
              <w:numPr>
                <w:ilvl w:val="0"/>
                <w:numId w:val="1"/>
              </w:numPr>
              <w:spacing w:after="60" w:before="40" w:line="264"/>
            </w:pPr>
            <w:r>
              <w:rPr>
                <w:color w:val="1A1A1A"/>
              </w:rPr>
              <w:t xml:space="preserve">Mandated report by telephone immediately unless the contact was plainly incidental to a fight, which is outside both definitions. If that is the call, write down why.</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investigation of all sexual abuse allegations; there is no discretion to decide one is unnecessary.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6</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at the most serious end. Full response. The same non-consent element applies: the victim does not consent, is coerced by overt or implied threats of violence, or is unable to consent or refuse. Force or coercion establishes it outright. Where youth describe the contact as mutual, do not resolve consent on the unit; age, the custodial setting and any disparity between the two all bear on whether a youth was able to consent or refuse, and that determination belongs to the investigation.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Report. </w:t>
            </w:r>
            <w:r>
              <w:rPr>
                <w:color w:val="1A1A1A"/>
                <w:sz w:val="24"/>
                <w:szCs w:val="24"/>
              </w:rPr>
              <w:t xml:space="preserve">YES. Reportable twice over: Penal Code 261, 286, 287 and 289 are enumerated at 11165.1(a), and the acts themselves are listed at 11165.1(b)(1) to (3). Force or coercion also removes the 11165.1(a) exception for voluntary conduct. One point for County Counsel rather than for the floor: that exception excludes voluntary conduct violating 286, 287 or 289 where there are no indicators of abuse, and how it applies between detained youth is not obvious, because custody makes "voluntary" difficult and indicators of abuse likely. Do not use it to decline a report without counsel.</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5.</w:t>
            </w:r>
          </w:p>
          <w:p>
            <w:pPr>
              <w:pStyle w:val="ListParagraph"/>
              <w:numPr>
                <w:ilvl w:val="0"/>
                <w:numId w:val="1"/>
              </w:numPr>
              <w:spacing w:after="60" w:before="40" w:line="264"/>
            </w:pPr>
            <w:r>
              <w:rPr>
                <w:color w:val="1A1A1A"/>
              </w:rPr>
              <w:t xml:space="preserve">Mandated report by telephone immediately. Do not wait for the investigation, the end of shift, or anyone's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health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 which brings Penal Code 288 into the 11165.1(a) list.</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acted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p>
            <w:pPr>
              <w:pStyle w:val="ListParagraph"/>
              <w:numPr>
                <w:ilvl w:val="0"/>
                <w:numId w:val="1"/>
              </w:numPr>
              <w:spacing w:after="60" w:before="40" w:line="264"/>
            </w:pPr>
            <w:r>
              <w:rPr>
                <w:color w:val="1A1A1A"/>
              </w:rPr>
              <w:t xml:space="preserve">Any staff involvement at all. Staff conduct is not on this chart. Abuse by an employee of an institution caring for children is its own CANRA category under Penal Code 11165.5, abuse or neglect in out-of-home care, and it reports regardless of tier.</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r>
        <w:br w:type="page"/>
      </w:r>
    </w:p>
    <w:p>
      <w:pPr>
        <w:pStyle w:val="Heading1"/>
      </w:pPr>
      <w:r>
        <w:t xml:space="preserve">Searches: when a resident says an officer grabbed or manipulated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This is not on the tier chart and it must never be run through it. The chart is youth-on-youth. A complaint that an officer went beyond a search is an allegation of STAFF sexual misconduct, and it travels down three tracks at once, none of which waits for the others.</w:t>
            </w:r>
          </w:p>
        </w:tc>
      </w:tr>
    </w:tbl>
    <w:p>
      <w:pPr>
        <w:pStyle w:val="Heading2"/>
      </w:pPr>
      <w:r>
        <w:t xml:space="preserve">What the allegation actually is under PREA</w:t>
      </w:r>
    </w:p>
    <w:p>
      <w:pPr>
        <w:spacing w:after="120" w:line="276"/>
      </w:pPr>
      <w:r>
        <w:rPr>
          <w:b w:val="false"/>
          <w:bCs w:val="false"/>
          <w:color w:val="1A1A1A"/>
        </w:rPr>
        <w:t xml:space="preserve">28 CFR 115.6 defines staff sexual abuse to include any other intentional contact, directly or through the clothing, of or with the genitalia, anus, groin, breast, inner thigh or buttocks, </w:t>
      </w:r>
      <w:r>
        <w:rPr>
          <w:b/>
          <w:bCs/>
          <w:color w:val="1A1A1A"/>
        </w:rPr>
        <w:t xml:space="preserve">that is unrelated to official duties or where the staff member has the intent to abuse, arouse, or gratify sexual desire.</w:t>
      </w:r>
      <w:r>
        <w:rPr>
          <w:b w:val="false"/>
          <w:bCs w:val="false"/>
          <w:color w:val="1A1A1A"/>
        </w:rPr>
        <w:t xml:space="preserve"> A pat search is an official duty, so the contact inherent in a properly conducted one is not sexual abuse. That qualifier is the whole analysis. An allegation that the officer grabbed or manipulated is precisely an allegation that the contact went beyond the official duty or carried that intent. It is therefore an allegation of staff sexual abuse on its face, whatever anyone thinks of its merits.</w:t>
      </w:r>
    </w:p>
    <w:p>
      <w:pPr>
        <w:pStyle w:val="Heading2"/>
      </w:pPr>
      <w:r>
        <w:t xml:space="preserve">The consequence nobody gets to skip</w:t>
      </w:r>
    </w:p>
    <w:p>
      <w:pPr>
        <w:spacing w:after="120" w:line="276"/>
      </w:pPr>
      <w:r>
        <w:rPr>
          <w:b w:val="false"/>
          <w:bCs w:val="false"/>
          <w:color w:val="1A1A1A"/>
        </w:rPr>
        <w:t xml:space="preserve">115.371(a) requires an administrative or criminal investigation of ALL allegations of sexual abuse. There is no threshold of plausibility and no discretion to decide one is unnecessary. The officer who receives the complaint is not the person who decides whether it is true. </w:t>
      </w:r>
      <w:r>
        <w:rPr>
          <w:b/>
          <w:bCs/>
          <w:color w:val="1A1A1A"/>
        </w:rPr>
        <w:t xml:space="preserve">This is the exact scenario where register row 58 bites:</w:t>
      </w:r>
      <w:r>
        <w:rPr>
          <w:b w:val="false"/>
          <w:bCs w:val="false"/>
          <w:color w:val="1A1A1A"/>
        </w:rPr>
        <w:t xml:space="preserve"> Internal Complaints gives the Internal Affairs Manager discretion to determine whether a formal investigation is necessary, with no carve-out for sexual abuse. That gap is harmless until the day it is used on a complaint like this one.</w:t>
      </w:r>
    </w:p>
    <w:p>
      <w:pPr>
        <w:pStyle w:val="Heading2"/>
      </w:pPr>
      <w:r>
        <w:t xml:space="preserve">CANRA, and why staff conduct is its own category</w:t>
      </w:r>
    </w:p>
    <w:p>
      <w:pPr>
        <w:spacing w:after="120" w:line="276"/>
      </w:pPr>
      <w:r>
        <w:rPr>
          <w:b w:val="false"/>
          <w:bCs w:val="false"/>
          <w:color w:val="1A1A1A"/>
        </w:rPr>
        <w:t xml:space="preserve">Two provisions. Penal Code 11165.1(b)(4) covers intentional touching of intimate parts including through the clothing, for purposes of sexual arousal or gratification. A proper search carries no such purpose; an improper one does. Then </w:t>
      </w:r>
      <w:r>
        <w:rPr>
          <w:b/>
          <w:bCs/>
          <w:color w:val="1A1A1A"/>
        </w:rPr>
        <w:t xml:space="preserve">Penal Code 11165.5</w:t>
      </w:r>
      <w:r>
        <w:rPr>
          <w:b w:val="false"/>
          <w:bCs w:val="false"/>
          <w:color w:val="1A1A1A"/>
        </w:rPr>
        <w:t xml:space="preserve">, abuse or neglect in out-of-home care, captures sexual abuse where the person responsible for the child's welfare is an employee of an institution caring for children. A juvenile hall employee is squarely within that. Staff-on-youth is a named CANRA category in its own right, which is why it is not a tier on the chart.</w:t>
      </w:r>
    </w:p>
    <w:p>
      <w:pPr>
        <w:pStyle w:val="Heading2"/>
      </w:pPr>
      <w:r>
        <w:t xml:space="preserve">Report or not, and the honest version of the answer</w:t>
      </w:r>
    </w:p>
    <w:p>
      <w:pPr>
        <w:spacing w:after="120" w:line="276"/>
      </w:pPr>
      <w:r>
        <w:rPr>
          <w:b w:val="false"/>
          <w:bCs w:val="false"/>
          <w:color w:val="1A1A1A"/>
        </w:rPr>
        <w:t xml:space="preserve">Report. The standard is reasonable suspicion, not proof, and the employee who hears the complaint is not the adjudicator. If the allegation is true it is sexual abuse in out-of-home care. Penal Code 11166(i)(1) makes the duty individual and bars any supervisor from impeding it, and 11172(a) immunizes the reporter. The asymmetry decides it: reporting costs an investigation that 115.371(a) already requires, while not reporting is a misdemeanor for the employee personally and, in the pattern case, ruinous for the department. The honest counterpoint is that not every complaint about a search creates reasonable suspicion on its own facts, and a bare objection to a textbook pat search may not. That is exactly why this should be </w:t>
      </w:r>
      <w:r>
        <w:rPr>
          <w:b/>
          <w:bCs/>
          <w:color w:val="1A1A1A"/>
        </w:rPr>
        <w:t xml:space="preserve">a bright-line departmental rule rather than a judgment made on the unit at 0200</w:t>
      </w:r>
      <w:r>
        <w:rPr>
          <w:b w:val="false"/>
          <w:bCs w:val="false"/>
          <w:color w:val="1A1A1A"/>
        </w:rPr>
        <w:t xml:space="preserve">: any allegation that a search was sexual in nature goes to CPS and to Internal Affairs. A rule removes the credibility call from the person least equipped to make it and most exposed if it is made wrong.</w:t>
      </w:r>
    </w:p>
    <w:p>
      <w:pPr>
        <w:pStyle w:val="Heading2"/>
      </w:pPr>
      <w:r>
        <w:t xml:space="preserve">Ask the cross-gender question first, because it is separate and it is cleaner</w:t>
      </w:r>
    </w:p>
    <w:p>
      <w:pPr>
        <w:spacing w:after="120" w:line="276"/>
      </w:pPr>
      <w:r>
        <w:rPr>
          <w:b w:val="false"/>
          <w:bCs w:val="false"/>
          <w:color w:val="1A1A1A"/>
        </w:rPr>
        <w:t xml:space="preserve"/>
      </w:r>
      <w:r>
        <w:rPr>
          <w:b/>
          <w:bCs/>
          <w:color w:val="1A1A1A"/>
        </w:rPr>
        <w:t xml:space="preserve">15 CCR 1360(g)</w:t>
      </w:r>
      <w:r>
        <w:rPr>
          <w:b w:val="false"/>
          <w:bCs w:val="false"/>
          <w:color w:val="1A1A1A"/>
        </w:rPr>
        <w:t xml:space="preserve">, verified against the edition effective 01/01/2019: "Cross-gender pat-down searches and strip searches are prohibited except in exigent circumstances or when conducted by a medical professional. Such searches must be justified and documented in writing." If the search was cross-gender, there is a Title 15 problem regardless of whether the touching was improper, and it is provable from the roster rather than from competing accounts. For transgender and intersex youth, OO 1352.5 IV.A.3.b separately requires the preferred-gender staff member to conduct the search with a second staff member within hearing but out of view.</w:t>
      </w:r>
    </w:p>
    <w:p>
      <w:pPr>
        <w:pStyle w:val="Heading2"/>
      </w:pPr>
      <w:r>
        <w:t xml:space="preserve">What actually reduces this exposure</w:t>
      </w:r>
    </w:p>
    <w:p>
      <w:pPr>
        <w:spacing w:after="120" w:line="276"/>
      </w:pPr>
      <w:r>
        <w:rPr>
          <w:b w:val="false"/>
          <w:bCs w:val="false"/>
          <w:color w:val="1A1A1A"/>
        </w:rPr>
        <w:t xml:space="preserve">Not how complaints are adjudicated. Where searches happen and whether they are witnessed and recorded. A search conducted in camera view with a second staff member present resolves itself; one conducted in a blind spot becomes a credibility contest the department usually loses. That ties directly to 115.313(a) factor 5, the blind-spot survey, and to the </w:t>
      </w:r>
      <w:r>
        <w:rPr>
          <w:b/>
          <w:bCs/>
          <w:color w:val="1A1A1A"/>
        </w:rPr>
        <w:t xml:space="preserve">Institutional Policy on Video Recording and Photograph System, which has never been produced</w:t>
      </w:r>
      <w:r>
        <w:rPr>
          <w:b w:val="false"/>
          <w:bCs w:val="false"/>
          <w:color w:val="1A1A1A"/>
        </w:rPr>
        <w:t xml:space="preserve"> and is on the outstanding documents list. Until someone knows what the camera coverage of search locations actually is, this risk cannot be managed, only absorbed.</w:t>
      </w:r>
    </w:p>
    <w:p>
      <w:pPr>
        <w:pStyle w:val="Heading1"/>
      </w:pPr>
      <w:r>
        <w:t xml:space="preserve">What the PREA definitions do and do not contain</w:t>
      </w:r>
    </w:p>
    <w:p>
      <w:pPr>
        <w:spacing w:after="120" w:line="276"/>
      </w:pPr>
      <w:r>
        <w:rPr>
          <w:color w:val="1A1A1A"/>
        </w:rPr>
        <w:t xml:space="preserve">Checked the same way the CANRA sections were, because the two columns carry different risks and both have to be auditable. The reason tiers 1 through 4 are not sexual abuse is not an inference from the absence of contact. It is that the prongs which would otherwise catch them exist only for staff.</w:t>
      </w:r>
    </w:p>
    <w:p>
      <w:pPr>
        <w:pStyle w:val="ListParagraph"/>
        <w:numPr>
          <w:ilvl w:val="0"/>
          <w:numId w:val="1"/>
        </w:numPr>
        <w:spacing w:after="80" w:line="264"/>
      </w:pPr>
      <w:r>
        <w:rPr>
          <w:b w:val="false"/>
          <w:bCs w:val="false"/>
          <w:color w:val="1A1A1A"/>
        </w:rPr>
        <w:t xml:space="preserve"/>
      </w:r>
      <w:r>
        <w:rPr>
          <w:b/>
          <w:bCs/>
          <w:color w:val="1A1A1A"/>
        </w:rPr>
        <w:t xml:space="preserve">Resident-on-resident sexual abuse</w:t>
      </w:r>
      <w:r>
        <w:rPr>
          <w:b w:val="false"/>
          <w:bCs w:val="false"/>
          <w:color w:val="1A1A1A"/>
        </w:rPr>
        <w:t xml:space="preserve"> has four prongs, all requiring contact: penis to vulva or anus, mouth to penis, vulva or anus, penetration of the anal or genital opening by a hand, finger, object or instrument, and any other intentional touching, directly or through the clothing, of the genitalia, anus, groin, breast, inner thigh or buttocks, excluding contact incidental to a physical altercation.</w:t>
      </w:r>
    </w:p>
    <w:p>
      <w:pPr>
        <w:pStyle w:val="ListParagraph"/>
        <w:numPr>
          <w:ilvl w:val="0"/>
          <w:numId w:val="1"/>
        </w:numPr>
        <w:spacing w:after="80" w:line="264"/>
      </w:pPr>
      <w:r>
        <w:rPr>
          <w:b w:val="false"/>
          <w:bCs w:val="false"/>
          <w:color w:val="1A1A1A"/>
        </w:rPr>
        <w:t xml:space="preserve"/>
      </w:r>
      <w:r>
        <w:rPr>
          <w:b/>
          <w:bCs/>
          <w:color w:val="1A1A1A"/>
        </w:rPr>
        <w:t xml:space="preserve">All four are gated by the same element:</w:t>
      </w:r>
      <w:r>
        <w:rPr>
          <w:b w:val="false"/>
          <w:bCs w:val="false"/>
          <w:color w:val="1A1A1A"/>
        </w:rPr>
        <w:t xml:space="preserve"> the act counts where the victim does not consent, is coerced into it by overt or implied threats of violence, or is unable to consent or refuse.</w:t>
      </w:r>
    </w:p>
    <w:p>
      <w:pPr>
        <w:pStyle w:val="ListParagraph"/>
        <w:numPr>
          <w:ilvl w:val="0"/>
          <w:numId w:val="1"/>
        </w:numPr>
        <w:spacing w:after="80" w:line="264"/>
      </w:pPr>
      <w:r>
        <w:rPr>
          <w:b w:val="false"/>
          <w:bCs w:val="false"/>
          <w:color w:val="1A1A1A"/>
        </w:rPr>
        <w:t xml:space="preserve"/>
      </w:r>
      <w:r>
        <w:rPr>
          <w:b/>
          <w:bCs/>
          <w:color w:val="1A1A1A"/>
        </w:rPr>
        <w:t xml:space="preserve">There is no attempt, threat or request prong for resident-on-resident conduct.</w:t>
      </w:r>
      <w:r>
        <w:rPr>
          <w:b w:val="false"/>
          <w:bCs w:val="false"/>
          <w:color w:val="1A1A1A"/>
        </w:rPr>
        <w:t xml:space="preserve"> That prong exists, but only for staff. This is why tier 1 is not sexual abuse: a youth announcing an intention to perform a sex act on another youth would be a threat to engage in a listed act, and if the speaker were a staff member it would be sexual abuse on that basis. Between youth the definition does not reach it.</w:t>
      </w:r>
    </w:p>
    <w:p>
      <w:pPr>
        <w:pStyle w:val="ListParagraph"/>
        <w:numPr>
          <w:ilvl w:val="0"/>
          <w:numId w:val="1"/>
        </w:numPr>
        <w:spacing w:after="80" w:line="264"/>
      </w:pPr>
      <w:r>
        <w:rPr>
          <w:b w:val="false"/>
          <w:bCs w:val="false"/>
          <w:color w:val="1A1A1A"/>
        </w:rPr>
        <w:t xml:space="preserve"/>
      </w:r>
      <w:r>
        <w:rPr>
          <w:b/>
          <w:bCs/>
          <w:color w:val="1A1A1A"/>
        </w:rPr>
        <w:t xml:space="preserve">There is no display or voyeurism prong for resident-on-resident conduct either.</w:t>
      </w:r>
      <w:r>
        <w:rPr>
          <w:b w:val="false"/>
          <w:bCs w:val="false"/>
          <w:color w:val="1A1A1A"/>
        </w:rPr>
        <w:t xml:space="preserve"> Display of uncovered genitalia in the presence of a resident, and voyeurism, are staff-only prongs. That is why tiers 3 and 4 are not sexual abuse no matter how many times they happen, and it is also why the same two acts by a staff member would be.</w:t>
      </w:r>
    </w:p>
    <w:p>
      <w:pPr>
        <w:pStyle w:val="ListParagraph"/>
        <w:numPr>
          <w:ilvl w:val="0"/>
          <w:numId w:val="1"/>
        </w:numPr>
        <w:spacing w:after="80" w:line="264"/>
      </w:pPr>
      <w:r>
        <w:rPr>
          <w:b w:val="false"/>
          <w:bCs w:val="false"/>
          <w:color w:val="1A1A1A"/>
        </w:rPr>
        <w:t xml:space="preserve"/>
      </w:r>
      <w:r>
        <w:rPr>
          <w:b/>
          <w:bCs/>
          <w:color w:val="1A1A1A"/>
        </w:rPr>
        <w:t xml:space="preserve">Sexual harassment</w:t>
      </w:r>
      <w:r>
        <w:rPr>
          <w:b w:val="false"/>
          <w:bCs w:val="false"/>
          <w:color w:val="1A1A1A"/>
        </w:rPr>
        <w:t xml:space="preserve"> is the only prong that reaches speech, and prong one requires conduct that is repeated and unwelcome, directed by one resident toward another. That repetition element is what tiers 1 and 2 turn on.</w:t>
      </w:r>
    </w:p>
    <w:p>
      <w:pPr>
        <w:pStyle w:val="ListParagraph"/>
        <w:numPr>
          <w:ilvl w:val="0"/>
          <w:numId w:val="1"/>
        </w:numPr>
        <w:spacing w:after="80" w:line="264"/>
      </w:pPr>
      <w:r>
        <w:rPr>
          <w:b w:val="false"/>
          <w:bCs w:val="false"/>
          <w:color w:val="1A1A1A"/>
        </w:rPr>
        <w:t xml:space="preserve"/>
      </w:r>
      <w:r>
        <w:rPr>
          <w:b/>
          <w:bCs/>
          <w:color w:val="1A1A1A"/>
        </w:rPr>
        <w:t xml:space="preserve">Staff sexual abuse</w:t>
      </w:r>
      <w:r>
        <w:rPr>
          <w:b w:val="false"/>
          <w:bCs w:val="false"/>
          <w:color w:val="1A1A1A"/>
        </w:rPr>
        <w:t xml:space="preserve"> adds to the four contact prongs: contact with any body part where the staff member has the intent to abuse, arouse or gratify sexual desire; the attempt, threat or request prong; display of uncovered genitalia, buttocks or breast in a resident's presence; and voyeurism. The touching prong for staff is qualified by being unrelated to official duties or carrying that intent, which is the whole of the search analysis in the section above.</w:t>
      </w:r>
    </w:p>
    <w:p>
      <w:pPr>
        <w:pStyle w:val="Heading1"/>
      </w:pPr>
      <w:r>
        <w:t xml:space="preserve">The CANRA sections this guide rests on</w:t>
      </w:r>
    </w:p>
    <w:p>
      <w:pPr>
        <w:spacing w:after="120" w:line="276"/>
      </w:pPr>
      <w:r>
        <w:rPr>
          <w:color w:val="1A1A1A"/>
        </w:rPr>
        <w:t xml:space="preserve">Checked rather than recalled, because the CPS column is the part of this document that carries personal exposure for the employee who gets it wrong.</w:t>
      </w:r>
    </w:p>
    <w:p>
      <w:pPr>
        <w:pStyle w:val="ListParagraph"/>
        <w:numPr>
          <w:ilvl w:val="0"/>
          <w:numId w:val="1"/>
        </w:numPr>
        <w:spacing w:after="80" w:line="264"/>
      </w:pPr>
      <w:r>
        <w:rPr>
          <w:b w:val="false"/>
          <w:bCs w:val="false"/>
          <w:color w:val="1A1A1A"/>
        </w:rPr>
        <w:t xml:space="preserve"/>
      </w:r>
      <w:r>
        <w:rPr>
          <w:b/>
          <w:bCs/>
          <w:color w:val="1A1A1A"/>
        </w:rPr>
        <w:t xml:space="preserve">11165.1(a)</w:t>
      </w:r>
      <w:r>
        <w:rPr>
          <w:b w:val="false"/>
          <w:bCs w:val="false"/>
          <w:color w:val="1A1A1A"/>
        </w:rPr>
        <w:t xml:space="preserve"> defines sexual assault by reference to enumerated offenses: Penal Code 261, 261.5(d), 264.1, 285, 286, 287, 288(a), (b) and (c)(1), 289, and 647.6. It excludes voluntary conduct violating 286, 287 or 289 where there are no indicators of abuse, unless between a person 21 or older and a minor under 16.</w:t>
      </w:r>
    </w:p>
    <w:p>
      <w:pPr>
        <w:pStyle w:val="ListParagraph"/>
        <w:numPr>
          <w:ilvl w:val="0"/>
          <w:numId w:val="1"/>
        </w:numPr>
        <w:spacing w:after="80" w:line="264"/>
      </w:pPr>
      <w:r>
        <w:rPr>
          <w:b w:val="false"/>
          <w:bCs w:val="false"/>
          <w:color w:val="1A1A1A"/>
        </w:rPr>
        <w:t xml:space="preserve"/>
      </w:r>
      <w:r>
        <w:rPr>
          <w:b/>
          <w:bCs/>
          <w:color w:val="1A1A1A"/>
        </w:rPr>
        <w:t xml:space="preserve">11165.1(b)</w:t>
      </w:r>
      <w:r>
        <w:rPr>
          <w:b w:val="false"/>
          <w:bCs w:val="false"/>
          <w:color w:val="1A1A1A"/>
        </w:rPr>
        <w:t xml:space="preserve"> is the part that decides most of this chart, and it is easy to miss because it operates independently of the (a) list. Conduct described as sexual assault includes, but is not limited to, penetration however slight, oral contact with genitals, intrusion into the genitals or anal opening, </w:t>
      </w:r>
      <w:r>
        <w:rPr>
          <w:b/>
          <w:bCs/>
          <w:color w:val="1A1A1A"/>
        </w:rPr>
        <w:t xml:space="preserve">(4)</w:t>
      </w:r>
      <w:r>
        <w:rPr>
          <w:b w:val="false"/>
          <w:bCs w:val="false"/>
          <w:color w:val="1A1A1A"/>
        </w:rPr>
        <w:t xml:space="preserve"> the intentional touching of genitals or intimate parts including the breasts, genital area, groin, inner thighs and buttocks, or the clothing covering them, for purposes of sexual arousal or gratification, and </w:t>
      </w:r>
      <w:r>
        <w:rPr>
          <w:b/>
          <w:bCs/>
          <w:color w:val="1A1A1A"/>
        </w:rPr>
        <w:t xml:space="preserve">(5)</w:t>
      </w:r>
      <w:r>
        <w:rPr>
          <w:b w:val="false"/>
          <w:bCs w:val="false"/>
          <w:color w:val="1A1A1A"/>
        </w:rPr>
        <w:t xml:space="preserve"> the intentional masturbation of the perpetrator's genitals in the presence of a child.</w:t>
      </w:r>
    </w:p>
    <w:p>
      <w:pPr>
        <w:pStyle w:val="ListParagraph"/>
        <w:numPr>
          <w:ilvl w:val="0"/>
          <w:numId w:val="1"/>
        </w:numPr>
        <w:spacing w:after="80" w:line="264"/>
      </w:pPr>
      <w:r>
        <w:rPr>
          <w:b w:val="false"/>
          <w:bCs w:val="false"/>
          <w:color w:val="1A1A1A"/>
        </w:rPr>
        <w:t xml:space="preserve"/>
      </w:r>
      <w:r>
        <w:rPr>
          <w:b/>
          <w:bCs/>
          <w:color w:val="1A1A1A"/>
        </w:rPr>
        <w:t xml:space="preserve">11165.1(c)</w:t>
      </w:r>
      <w:r>
        <w:rPr>
          <w:b w:val="false"/>
          <w:bCs w:val="false"/>
          <w:color w:val="1A1A1A"/>
        </w:rPr>
        <w:t xml:space="preserve"> defines sexual exploitation, which covers obscene matter depicting a minor and inducing a child into prostitution or a live obscene performance. Nothing on this chart is sexual exploitation.</w:t>
      </w:r>
    </w:p>
    <w:p>
      <w:pPr>
        <w:pStyle w:val="ListParagraph"/>
        <w:numPr>
          <w:ilvl w:val="0"/>
          <w:numId w:val="1"/>
        </w:numPr>
        <w:spacing w:after="80" w:line="264"/>
      </w:pPr>
      <w:r>
        <w:rPr>
          <w:b w:val="false"/>
          <w:bCs w:val="false"/>
          <w:color w:val="1A1A1A"/>
        </w:rPr>
        <w:t xml:space="preserve"/>
      </w:r>
      <w:r>
        <w:rPr>
          <w:b/>
          <w:bCs/>
          <w:color w:val="1A1A1A"/>
        </w:rPr>
        <w:t xml:space="preserve">11165.5</w:t>
      </w:r>
      <w:r>
        <w:rPr>
          <w:b w:val="false"/>
          <w:bCs w:val="false"/>
          <w:color w:val="1A1A1A"/>
        </w:rPr>
        <w:t xml:space="preserve"> defines abuse or neglect in out-of-home care, which captures abuse where the responsible person is an employee of an institution caring for children. That is the staff-on-youth category and it is not on this chart.</w:t>
      </w:r>
    </w:p>
    <w:p>
      <w:pPr>
        <w:pStyle w:val="ListParagraph"/>
        <w:numPr>
          <w:ilvl w:val="0"/>
          <w:numId w:val="1"/>
        </w:numPr>
        <w:spacing w:after="80" w:line="264"/>
      </w:pPr>
      <w:r>
        <w:rPr>
          <w:b w:val="false"/>
          <w:bCs w:val="false"/>
          <w:color w:val="1A1A1A"/>
        </w:rPr>
        <w:t xml:space="preserve"/>
      </w:r>
      <w:r>
        <w:rPr>
          <w:b/>
          <w:bCs/>
          <w:color w:val="1A1A1A"/>
        </w:rPr>
        <w:t xml:space="preserve">11165.6</w:t>
      </w:r>
      <w:r>
        <w:rPr>
          <w:b w:val="false"/>
          <w:bCs w:val="false"/>
          <w:color w:val="1A1A1A"/>
        </w:rPr>
        <w:t xml:space="preserve"> defines child abuse or neglect overall and expressly excludes a mutual affray between minors, and injury from reasonable and necessary force by a peace officer acting in the course and scope of employment.</w:t>
      </w:r>
    </w:p>
    <w:p>
      <w:pPr>
        <w:pStyle w:val="ListParagraph"/>
        <w:numPr>
          <w:ilvl w:val="0"/>
          <w:numId w:val="1"/>
        </w:numPr>
        <w:spacing w:after="80" w:line="264"/>
      </w:pPr>
      <w:r>
        <w:rPr>
          <w:b w:val="false"/>
          <w:bCs w:val="false"/>
          <w:color w:val="1A1A1A"/>
        </w:rPr>
        <w:t xml:space="preserve"/>
      </w:r>
      <w:r>
        <w:rPr>
          <w:b/>
          <w:bCs/>
          <w:color w:val="1A1A1A"/>
        </w:rPr>
        <w:t xml:space="preserve">11165.7</w:t>
      </w:r>
      <w:r>
        <w:rPr>
          <w:b w:val="false"/>
          <w:bCs w:val="false"/>
          <w:color w:val="1A1A1A"/>
        </w:rPr>
        <w:t xml:space="preserve"> lists mandated reporters and includes a probation officer.</w:t>
      </w:r>
    </w:p>
    <w:p>
      <w:pPr>
        <w:pStyle w:val="ListParagraph"/>
        <w:numPr>
          <w:ilvl w:val="0"/>
          <w:numId w:val="1"/>
        </w:numPr>
        <w:spacing w:after="80" w:line="264"/>
      </w:pPr>
      <w:r>
        <w:rPr>
          <w:b w:val="false"/>
          <w:bCs w:val="false"/>
          <w:color w:val="1A1A1A"/>
        </w:rPr>
        <w:t xml:space="preserve"/>
      </w:r>
      <w:r>
        <w:rPr>
          <w:b/>
          <w:bCs/>
          <w:color w:val="1A1A1A"/>
        </w:rPr>
        <w:t xml:space="preserve">11165.9</w:t>
      </w:r>
      <w:r>
        <w:rPr>
          <w:b w:val="false"/>
          <w:bCs w:val="false"/>
          <w:color w:val="1A1A1A"/>
        </w:rPr>
        <w:t xml:space="preserve"> names the agencies that may receive a report. </w:t>
      </w:r>
      <w:r>
        <w:rPr>
          <w:b/>
          <w:bCs/>
          <w:color w:val="1A1A1A"/>
        </w:rPr>
        <w:t xml:space="preserve">11166(a)</w:t>
      </w:r>
      <w:r>
        <w:rPr>
          <w:b w:val="false"/>
          <w:bCs w:val="false"/>
          <w:color w:val="1A1A1A"/>
        </w:rPr>
        <w:t xml:space="preserve"> sets the timing. </w:t>
      </w:r>
      <w:r>
        <w:rPr>
          <w:b/>
          <w:bCs/>
          <w:color w:val="1A1A1A"/>
        </w:rPr>
        <w:t xml:space="preserve">11166(i)(1)</w:t>
      </w:r>
      <w:r>
        <w:rPr>
          <w:b w:val="false"/>
          <w:bCs w:val="false"/>
          <w:color w:val="1A1A1A"/>
        </w:rPr>
        <w:t xml:space="preserve"> makes the duty individual and bars any supervisor from impeding it. </w:t>
      </w:r>
      <w:r>
        <w:rPr>
          <w:b/>
          <w:bCs/>
          <w:color w:val="1A1A1A"/>
        </w:rPr>
        <w:t xml:space="preserve">11166(j)</w:t>
      </w:r>
      <w:r>
        <w:rPr>
          <w:b w:val="false"/>
          <w:bCs w:val="false"/>
          <w:color w:val="1A1A1A"/>
        </w:rPr>
        <w:t xml:space="preserve"> imposes the cross-report duty on a county probation department that receives a report. </w:t>
      </w:r>
      <w:r>
        <w:rPr>
          <w:b/>
          <w:bCs/>
          <w:color w:val="1A1A1A"/>
        </w:rPr>
        <w:t xml:space="preserve">11172(a)</w:t>
      </w:r>
      <w:r>
        <w:rPr>
          <w:b w:val="false"/>
          <w:bCs w:val="false"/>
          <w:color w:val="1A1A1A"/>
        </w:rPr>
        <w:t xml:space="preserve"> gives immunity to reporters. </w:t>
      </w:r>
      <w:r>
        <w:rPr>
          <w:b/>
          <w:bCs/>
          <w:color w:val="1A1A1A"/>
        </w:rPr>
        <w:t xml:space="preserve">11166(c)</w:t>
      </w:r>
      <w:r>
        <w:rPr>
          <w:b w:val="false"/>
          <w:bCs w:val="false"/>
          <w:color w:val="1A1A1A"/>
        </w:rPr>
        <w:t xml:space="preserve"> penalizes failure to report.</w:t>
      </w:r>
    </w:p>
    <w:p>
      <w:pPr>
        <w:pStyle w:val="ListParagraph"/>
        <w:numPr>
          <w:ilvl w:val="0"/>
          <w:numId w:val="1"/>
        </w:numPr>
        <w:spacing w:after="80" w:line="264"/>
      </w:pPr>
      <w:r>
        <w:rPr>
          <w:b w:val="false"/>
          <w:bCs w:val="false"/>
          <w:color w:val="1A1A1A"/>
        </w:rPr>
        <w:t xml:space="preserve"/>
      </w:r>
      <w:r>
        <w:rPr>
          <w:b/>
          <w:bCs/>
          <w:color w:val="1A1A1A"/>
        </w:rPr>
        <w:t xml:space="preserve">11166.05</w:t>
      </w:r>
      <w:r>
        <w:rPr>
          <w:b w:val="false"/>
          <w:bCs w:val="false"/>
          <w:color w:val="1A1A1A"/>
        </w:rPr>
        <w:t xml:space="preserve"> permits, but does not require, a report where a child is suffering or at substantial risk of serious emotional damage. Worth knowing for a youth who is the repeated target in tiers 1 to 3 and is visibly deteriorating.</w:t>
      </w:r>
    </w:p>
    <w:p>
      <w:pPr>
        <w:pStyle w:val="Heading1"/>
      </w:pPr>
      <w:r>
        <w:t xml:space="preserve">Five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1391(f) is the numbering in the edition effective 01/01/2019. The 04/01/2014 edition had these elements at 1391(e). Revision 6 corrected the register to match, so the two now agree.</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1"/>
      </w:pPr>
      <w:r>
        <w:t xml:space="preserve">What County Counsel needs to confirm before this issues</w:t>
      </w:r>
    </w:p>
    <w:p>
      <w:pPr>
        <w:pStyle w:val="ListParagraph"/>
        <w:numPr>
          <w:ilvl w:val="0"/>
          <w:numId w:val="1"/>
        </w:numPr>
        <w:spacing w:after="80" w:line="264"/>
      </w:pPr>
      <w:r>
        <w:rPr>
          <w:color w:val="1A1A1A"/>
        </w:rPr>
        <w:t xml:space="preserve">The purpose element in tier 5. Penal Code 11165.1(b)(4) requires the touching be for sexual arousal or gratification, and staff will have to form a view on that in the moment. Confirm how the department wants that judged and recorded, and confirm that the practical answer is to report and let the investigation sort purpose out rather than to decline on an untested inference about motive.</w:t>
      </w:r>
    </w:p>
    <w:p>
      <w:pPr>
        <w:pStyle w:val="ListParagraph"/>
        <w:numPr>
          <w:ilvl w:val="0"/>
          <w:numId w:val="1"/>
        </w:numPr>
        <w:spacing w:after="80" w:line="264"/>
      </w:pPr>
      <w:r>
        <w:rPr>
          <w:color w:val="1A1A1A"/>
        </w:rPr>
        <w:t xml:space="preserve">The boundary between the Penal Code 11165.6 exclusion for a mutual affray between minors and contact that happens to occur during a fight but is sexual in purpose. That line decides whether tier 5 reports.</w:t>
      </w:r>
    </w:p>
    <w:p>
      <w:pPr>
        <w:pStyle w:val="ListParagraph"/>
        <w:numPr>
          <w:ilvl w:val="0"/>
          <w:numId w:val="1"/>
        </w:numPr>
        <w:spacing w:after="80" w:line="264"/>
      </w:pPr>
      <w:r>
        <w:rPr>
          <w:color w:val="1A1A1A"/>
        </w:rPr>
        <w:t xml:space="preserve">Whether the Penal Code 11165.1(a) exception for voluntary conduct violating 286, 287 or 289 where there are no indicators of abuse can ever apply between detained youth, given that custody makes voluntariness difficult to establish.</w:t>
      </w:r>
    </w:p>
    <w:p>
      <w:pPr>
        <w:pStyle w:val="ListParagraph"/>
        <w:numPr>
          <w:ilvl w:val="0"/>
          <w:numId w:val="1"/>
        </w:numPr>
        <w:spacing w:after="80" w:line="264"/>
      </w:pPr>
      <w:r>
        <w:rPr>
          <w:color w:val="1A1A1A"/>
        </w:rPr>
        <w:t xml:space="preserve">Whether Penal Code 647.6 can reach directed sexualized conduct between detained minors, which is the only route by which tiers 1 to 3 could become reportable on their own facts.</w:t>
      </w:r>
    </w:p>
    <w:p>
      <w:pPr>
        <w:pStyle w:val="ListParagraph"/>
        <w:numPr>
          <w:ilvl w:val="0"/>
          <w:numId w:val="1"/>
        </w:numPr>
        <w:spacing w:after="80" w:line="264"/>
      </w:pPr>
      <w:r>
        <w:rPr>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color w:val="1A1A1A"/>
        </w:rPr>
        <w:t xml:space="preserve">Whether any of this should be stated in a department-wide General Order on child abuse reporting rather than in a facility job aid. That order is already recommended as change 3.</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2026-10-06T19:28:51.430Z</dcterms:created>
  <dcterms:modified xsi:type="dcterms:W3CDTF">2026-10-06T19:28:51.431Z</dcterms:modified>
</cp:coreProperties>
</file>

<file path=docProps/custom.xml><?xml version="1.0" encoding="utf-8"?>
<Properties xmlns="http://schemas.openxmlformats.org/officeDocument/2006/custom-properties" xmlns:vt="http://schemas.openxmlformats.org/officeDocument/2006/docPropsVTypes"/>
</file>