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b/>
          <w:bCs/>
          <w:i w:val="false"/>
          <w:iCs w:val="false"/>
          <w:color w:val="1A1A1A"/>
          <w:sz w:val="48"/>
          <w:szCs w:val="48"/>
        </w:rPr>
        <w:t xml:space="preserve">PREA Compliance: Where We Stand</w:t>
      </w:r>
    </w:p>
    <w:p>
      <w:pPr>
        <w:spacing w:after="360"/>
        <w:jc w:val="center"/>
      </w:pPr>
      <w:r>
        <w:rPr>
          <w:b w:val="false"/>
          <w:bCs w:val="false"/>
          <w:i w:val="false"/>
          <w:iCs w:val="false"/>
          <w:color w:val="595959"/>
          <w:sz w:val="32"/>
          <w:szCs w:val="32"/>
        </w:rPr>
        <w:t xml:space="preserve">Management briefing</w:t>
      </w:r>
    </w:p>
    <w:p>
      <w:pPr>
        <w:spacing w:after="40"/>
        <w:jc w:val="center"/>
      </w:pPr>
      <w:r>
        <w:rPr>
          <w:b w:val="false"/>
          <w:bCs w:val="false"/>
          <w:i w:val="false"/>
          <w:iCs w:val="false"/>
          <w:color w:val="1A1A1A"/>
          <w:sz w:val="26"/>
          <w:szCs w:val="26"/>
        </w:rPr>
        <w:t xml:space="preserve">Sacramento County Probation Department</w:t>
      </w:r>
    </w:p>
    <w:p>
      <w:pPr>
        <w:spacing w:after="360"/>
        <w:jc w:val="center"/>
      </w:pPr>
      <w:r>
        <w:rPr>
          <w:b w:val="false"/>
          <w:bCs w:val="false"/>
          <w:i w:val="false"/>
          <w:iCs w:val="false"/>
          <w:color w:val="1A1A1A"/>
          <w:sz w:val="26"/>
          <w:szCs w:val="26"/>
        </w:rPr>
        <w:t xml:space="preserve">Youth Detention Facility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4"/>
            </w:pPr>
            <w:r>
              <w:rPr>
                <w:b w:val="false"/>
                <w:bCs w:val="false"/>
                <w:i w:val="false"/>
                <w:iCs w:val="false"/>
                <w:color w:val="1A1A1A"/>
                <w:sz w:val="24"/>
                <w:szCs w:val="24"/>
              </w:rPr>
              <w:t xml:space="preserve">WORKING DRAFT. Not legal advice. Route to County Counsel before circulating outside the department.</w:t>
            </w:r>
          </w:p>
        </w:tc>
      </w:tr>
    </w:tbl>
    <w:p>
      <w:pPr>
        <w:spacing w:before="320"/>
        <w:jc w:val="center"/>
      </w:pPr>
      <w:r>
        <w:rPr>
          <w:b w:val="false"/>
          <w:bCs w:val="false"/>
          <w:i w:val="false"/>
          <w:iCs w:val="false"/>
          <w:color w:val="595959"/>
          <w:sz w:val="24"/>
          <w:szCs w:val="24"/>
        </w:rPr>
        <w:t xml:space="preserve">Drawn from gap register Revision 11, 91 requirements assessed against 17 departmental documents.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The short version</w:t>
      </w:r>
    </w:p>
    <w:p>
      <w:pPr>
        <w:spacing w:after="140" w:line="276"/>
      </w:pPr>
      <w:r>
        <w:rPr>
          <w:b w:val="false"/>
          <w:bCs w:val="false"/>
          <w:i w:val="false"/>
          <w:iCs w:val="false"/>
          <w:color w:val="1A1A1A"/>
          <w:sz w:val="24"/>
          <w:szCs w:val="24"/>
        </w:rPr>
        <w:t xml:space="preserve">Five things. Then the detail behind each one.</w:t>
      </w:r>
    </w:p>
    <w:p>
      <w:pPr>
        <w:spacing w:after="130" w:line="276"/>
      </w:pPr>
      <w:r>
        <w:rPr>
          <w:b/>
          <w:bCs/>
          <w:i w:val="false"/>
          <w:iCs w:val="false"/>
          <w:color w:val="1A1A1A"/>
          <w:sz w:val="24"/>
          <w:szCs w:val="24"/>
        </w:rPr>
        <w:t xml:space="preserve">1.  </w:t>
      </w:r>
      <w:r>
        <w:rPr>
          <w:b w:val="false"/>
          <w:bCs w:val="false"/>
          <w:i w:val="false"/>
          <w:iCs w:val="false"/>
          <w:color w:val="1A1A1A"/>
          <w:sz w:val="24"/>
          <w:szCs w:val="24"/>
        </w:rPr>
        <w:t xml:space="preserve"/>
      </w:r>
      <w:r>
        <w:rPr>
          <w:b/>
          <w:bCs/>
          <w:i w:val="false"/>
          <w:iCs w:val="false"/>
          <w:color w:val="1A1A1A"/>
          <w:sz w:val="24"/>
          <w:szCs w:val="24"/>
        </w:rPr>
        <w:t xml:space="preserve">PREA applies to us.</w:t>
      </w:r>
      <w:r>
        <w:rPr>
          <w:b w:val="false"/>
          <w:bCs w:val="false"/>
          <w:i w:val="false"/>
          <w:iCs w:val="false"/>
          <w:color w:val="1A1A1A"/>
          <w:sz w:val="24"/>
          <w:szCs w:val="24"/>
        </w:rPr>
        <w:t xml:space="preserve"> It covers county juvenile facilities. But there is no federal fine for a county and no one can sue us under PREA itself. So the standards are not the risk. They are the yardstick somebody else measures us with.</w:t>
      </w:r>
    </w:p>
    <w:p>
      <w:pPr>
        <w:spacing w:after="130" w:line="276"/>
      </w:pPr>
      <w:r>
        <w:rPr>
          <w:b/>
          <w:bCs/>
          <w:i w:val="false"/>
          <w:iCs w:val="false"/>
          <w:color w:val="1A1A1A"/>
          <w:sz w:val="24"/>
          <w:szCs w:val="24"/>
        </w:rPr>
        <w:t xml:space="preserve">2.  </w:t>
      </w:r>
      <w:r>
        <w:rPr>
          <w:b w:val="false"/>
          <w:bCs w:val="false"/>
          <w:i w:val="false"/>
          <w:iCs w:val="false"/>
          <w:color w:val="1A1A1A"/>
          <w:sz w:val="24"/>
          <w:szCs w:val="24"/>
        </w:rPr>
        <w:t xml:space="preserve"/>
      </w:r>
      <w:r>
        <w:rPr>
          <w:b/>
          <w:bCs/>
          <w:i w:val="false"/>
          <w:iCs w:val="false"/>
          <w:color w:val="1A1A1A"/>
          <w:sz w:val="24"/>
          <w:szCs w:val="24"/>
        </w:rPr>
        <w:t xml:space="preserve">The risk is state law and getting sued.</w:t>
      </w:r>
      <w:r>
        <w:rPr>
          <w:b w:val="false"/>
          <w:bCs w:val="false"/>
          <w:i w:val="false"/>
          <w:iCs w:val="false"/>
          <w:color w:val="1A1A1A"/>
          <w:sz w:val="24"/>
          <w:szCs w:val="24"/>
        </w:rPr>
        <w:t xml:space="preserve"> Title 15 writes PREA content into about ten sections, and BSCC inspects us against it every two years. And a 2024 law removed the deadline for suing over childhood sexual assault. A claim from a resident in our care today never expires.</w:t>
      </w:r>
    </w:p>
    <w:p>
      <w:pPr>
        <w:spacing w:after="130" w:line="276"/>
      </w:pPr>
      <w:r>
        <w:rPr>
          <w:b/>
          <w:bCs/>
          <w:i w:val="false"/>
          <w:iCs w:val="false"/>
          <w:color w:val="1A1A1A"/>
          <w:sz w:val="24"/>
          <w:szCs w:val="24"/>
        </w:rPr>
        <w:t xml:space="preserve">3.  </w:t>
      </w:r>
      <w:r>
        <w:rPr>
          <w:b w:val="false"/>
          <w:bCs w:val="false"/>
          <w:i w:val="false"/>
          <w:iCs w:val="false"/>
          <w:color w:val="1A1A1A"/>
          <w:sz w:val="24"/>
          <w:szCs w:val="24"/>
        </w:rPr>
        <w:t xml:space="preserve"/>
      </w:r>
      <w:r>
        <w:rPr>
          <w:b/>
          <w:bCs/>
          <w:i w:val="false"/>
          <w:iCs w:val="false"/>
          <w:color w:val="1A1A1A"/>
          <w:sz w:val="24"/>
          <w:szCs w:val="24"/>
        </w:rPr>
        <w:t xml:space="preserve">We have the policies. The problem is what some of them say.</w:t>
      </w:r>
      <w:r>
        <w:rPr>
          <w:b w:val="false"/>
          <w:bCs w:val="false"/>
          <w:i w:val="false"/>
          <w:iCs w:val="false"/>
          <w:color w:val="1A1A1A"/>
          <w:sz w:val="24"/>
          <w:szCs w:val="24"/>
        </w:rPr>
        <w:t xml:space="preserve"> We checked 91 requirements against 17 of our policies. Thirteen are not missing pieces. They are places where our own policy tells staff to do something the law does not allow, or tells them the opposite of what another one of our policies says. Those are the expensive ones, because a written wrong rule is evidence. Most are fixable by amending a paragraph.</w:t>
      </w:r>
    </w:p>
    <w:p>
      <w:pPr>
        <w:spacing w:after="130" w:line="276"/>
      </w:pPr>
      <w:r>
        <w:rPr>
          <w:b/>
          <w:bCs/>
          <w:i w:val="false"/>
          <w:iCs w:val="false"/>
          <w:color w:val="1A1A1A"/>
          <w:sz w:val="24"/>
          <w:szCs w:val="24"/>
        </w:rPr>
        <w:t xml:space="preserve">4.  </w:t>
      </w:r>
      <w:r>
        <w:rPr>
          <w:b w:val="false"/>
          <w:bCs w:val="false"/>
          <w:i w:val="false"/>
          <w:iCs w:val="false"/>
          <w:color w:val="1A1A1A"/>
          <w:sz w:val="24"/>
          <w:szCs w:val="24"/>
        </w:rPr>
        <w:t xml:space="preserve"/>
      </w:r>
      <w:r>
        <w:rPr>
          <w:b/>
          <w:bCs/>
          <w:i w:val="false"/>
          <w:iCs w:val="false"/>
          <w:color w:val="1A1A1A"/>
          <w:sz w:val="24"/>
          <w:szCs w:val="24"/>
        </w:rPr>
        <w:t xml:space="preserve">Three of the thirteen put individual staff at risk, not just the County.</w:t>
      </w:r>
      <w:r>
        <w:rPr>
          <w:b w:val="false"/>
          <w:bCs w:val="false"/>
          <w:i w:val="false"/>
          <w:iCs w:val="false"/>
          <w:color w:val="1A1A1A"/>
          <w:sz w:val="24"/>
          <w:szCs w:val="24"/>
        </w:rPr>
        <w:t xml:space="preserve"> Our child abuse reporting deadline is wrong in two documents. One order tells supervisors to question a youth without mentioning a law that took effect in 2021. Both can be fixed this quarter.</w:t>
      </w:r>
    </w:p>
    <w:p>
      <w:pPr>
        <w:spacing w:after="130" w:line="276"/>
      </w:pPr>
      <w:r>
        <w:rPr>
          <w:b/>
          <w:bCs/>
          <w:i w:val="false"/>
          <w:iCs w:val="false"/>
          <w:color w:val="1A1A1A"/>
          <w:sz w:val="24"/>
          <w:szCs w:val="24"/>
        </w:rPr>
        <w:t xml:space="preserve">5.  </w:t>
      </w:r>
      <w:r>
        <w:rPr>
          <w:b w:val="false"/>
          <w:bCs w:val="false"/>
          <w:i w:val="false"/>
          <w:iCs w:val="false"/>
          <w:color w:val="1A1A1A"/>
          <w:sz w:val="24"/>
          <w:szCs w:val="24"/>
        </w:rPr>
        <w:t xml:space="preserve"/>
      </w:r>
      <w:r>
        <w:rPr>
          <w:b/>
          <w:bCs/>
          <w:i w:val="false"/>
          <w:iCs w:val="false"/>
          <w:color w:val="1A1A1A"/>
          <w:sz w:val="24"/>
          <w:szCs w:val="24"/>
        </w:rPr>
        <w:t xml:space="preserve">Seven of the fifteen fixes are already written and ready to review.</w:t>
      </w:r>
      <w:r>
        <w:rPr>
          <w:b w:val="false"/>
          <w:bCs w:val="false"/>
          <w:i w:val="false"/>
          <w:iCs w:val="false"/>
          <w:color w:val="1A1A1A"/>
          <w:sz w:val="24"/>
          <w:szCs w:val="24"/>
        </w:rPr>
        <w:t xml:space="preserve"> The other eight need a decision from this room, not more analysis. That is the ask.</w:t>
      </w:r>
    </w:p>
    <w:p>
      <w:r>
        <w:br w:type="page"/>
      </w:r>
    </w:p>
    <w:p>
      <w:pPr>
        <w:pStyle w:val="Heading1"/>
      </w:pPr>
      <w:r>
        <w:t xml:space="preserve">Does PREA actually bind us</w:t>
      </w:r>
    </w:p>
    <w:p>
      <w:pPr>
        <w:spacing w:after="140" w:line="276"/>
      </w:pPr>
      <w:r>
        <w:rPr>
          <w:b w:val="false"/>
          <w:bCs w:val="false"/>
          <w:i w:val="false"/>
          <w:iCs w:val="false"/>
          <w:color w:val="1A1A1A"/>
          <w:sz w:val="24"/>
          <w:szCs w:val="24"/>
        </w:rPr>
        <w:t xml:space="preserve">This gets asked first every time, so it is settled here. The answer has two halves and the second one is the one that matters.</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Yes, as a standard.</w:t>
      </w:r>
      <w:r>
        <w:rPr>
          <w:b w:val="false"/>
          <w:bCs w:val="false"/>
          <w:i w:val="false"/>
          <w:iCs w:val="false"/>
          <w:color w:val="1A1A1A"/>
          <w:sz w:val="24"/>
          <w:szCs w:val="24"/>
        </w:rPr>
        <w:t xml:space="preserve"> PREA covers local government confinement facilities, 34 U.S.C. 30309(7). Agency includes local units, 28 CFR 115.5. Subpart D covers juvenile facilities. DOJ guidance states the standards apply equally to locally operated facilities.</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No, as a direct federal penalty.</w:t>
      </w:r>
      <w:r>
        <w:rPr>
          <w:b w:val="false"/>
          <w:bCs w:val="false"/>
          <w:i w:val="false"/>
          <w:iCs w:val="false"/>
          <w:color w:val="1A1A1A"/>
          <w:sz w:val="24"/>
          <w:szCs w:val="24"/>
        </w:rPr>
        <w:t xml:space="preserve"> The five percent grant penalty, 34 U.S.C. 30307(c)(2), runs through the governor's certification, which 28 CFR 115.501(b) limits to state executive branch facilities. The Attorney General's own overview states it does not encompass county facilities. There is no private right of action under PREA.</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And that is exactly why we are exposed.</w:t>
      </w:r>
      <w:r>
        <w:rPr>
          <w:b w:val="false"/>
          <w:bCs w:val="false"/>
          <w:i w:val="false"/>
          <w:iCs w:val="false"/>
          <w:color w:val="1A1A1A"/>
          <w:sz w:val="24"/>
          <w:szCs w:val="24"/>
        </w:rPr>
        <w:t xml:space="preserve"> DJJ closed 06/30/2023, so no California juvenile facility sits inside any governor's certification. Counties are persons under 42 U.S.C. 1983, with no Eleventh Amendment immunity and no qualified immunity for the entity. Being county run is what creates the damages exposure rather than removing it.</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California has not adopted a PREA audit requirement for juvenile facilities.</w:t>
      </w:r>
      <w:r>
        <w:rPr>
          <w:b w:val="false"/>
          <w:bCs w:val="false"/>
          <w:i w:val="false"/>
          <w:iCs w:val="false"/>
          <w:color w:val="1A1A1A"/>
          <w:sz w:val="24"/>
          <w:szCs w:val="24"/>
        </w:rPr>
        <w:t xml:space="preserve"> Both editions of Title 15 read for this project contain no PREA reference and no facility audit requirement. So nobody is coming to audit us. The exposure arrives as a BSCC inspection finding or as a lawsuit, not as an audit report.</w:t>
      </w:r>
    </w:p>
    <w:p>
      <w:r>
        <w:br w:type="page"/>
      </w:r>
    </w:p>
    <w:p>
      <w:pPr>
        <w:pStyle w:val="Heading1"/>
      </w:pPr>
      <w:r>
        <w:t xml:space="preserve">Where we stand, by the numbers</w:t>
      </w:r>
    </w:p>
    <w:p>
      <w:pPr>
        <w:spacing w:after="140" w:line="276"/>
      </w:pPr>
      <w:r>
        <w:rPr>
          <w:b w:val="false"/>
          <w:bCs w:val="false"/>
          <w:i w:val="false"/>
          <w:iCs w:val="false"/>
          <w:color w:val="1A1A1A"/>
          <w:sz w:val="24"/>
          <w:szCs w:val="24"/>
        </w:rPr>
        <w:t xml:space="preserve">91 requirements from 28 CFR Part 115 Subpart D and Title 15, assessed against the 17 departmental documents produced to this review. The counts below are read out of the register at build time, so this page cannot drift from it.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240"/>
        <w:gridCol w:w="800"/>
        <w:gridCol w:w="2900"/>
        <w:gridCol w:w="2240"/>
      </w:tblGrid>
      <w:tr>
        <w:trPr>
          <w:tblHeader/>
        </w:trPr>
        <w:tc>
          <w:tcPr>
            <w:tcW w:type="dxa" w:w="29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Status</w:t>
            </w:r>
          </w:p>
        </w:tc>
        <w:tc>
          <w:tcPr>
            <w:tcW w:type="dxa" w:w="1240"/>
            <w:shd w:fill="EDEDE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Rows</w:t>
            </w:r>
          </w:p>
        </w:tc>
        <w:tc>
          <w:tcPr>
            <w:tcW w:type="dxa" w:w="8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Priority</w:t>
            </w:r>
          </w:p>
        </w:tc>
        <w:tc>
          <w:tcPr>
            <w:tcW w:type="dxa" w:w="2240"/>
            <w:shd w:fill="EDEDE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Rows</w:t>
            </w:r>
          </w:p>
        </w:tc>
      </w:tr>
      <w:tr>
        <w:tc>
          <w:tcPr>
            <w:tcW w:type="dxa" w:w="2900"/>
            <w:shd w:fill="F2DEDE"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Conflict</w:t>
            </w:r>
          </w:p>
        </w:tc>
        <w:tc>
          <w:tcPr>
            <w:tcW w:type="dxa" w:w="1240"/>
            <w:shd w:fill="F2DEDE"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13</w:t>
            </w:r>
          </w:p>
        </w:tc>
        <w:tc>
          <w:tcPr>
            <w:tcW w:type="dxa" w:w="8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shd w:fill="F2DEDE"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Critical</w:t>
            </w:r>
          </w:p>
        </w:tc>
        <w:tc>
          <w:tcPr>
            <w:tcW w:type="dxa" w:w="2240"/>
            <w:shd w:fill="F2DEDE"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22</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Not Addressed</w:t>
            </w:r>
          </w:p>
        </w:tc>
        <w:tc>
          <w:tcPr>
            <w:tcW w:type="dxa" w:w="1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21</w:t>
            </w:r>
          </w:p>
        </w:tc>
        <w:tc>
          <w:tcPr>
            <w:tcW w:type="dxa" w:w="8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High</w:t>
            </w:r>
          </w:p>
        </w:tc>
        <w:tc>
          <w:tcPr>
            <w:tcW w:type="dxa" w:w="2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39</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Partial</w:t>
            </w:r>
          </w:p>
        </w:tc>
        <w:tc>
          <w:tcPr>
            <w:tcW w:type="dxa" w:w="1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41</w:t>
            </w:r>
          </w:p>
        </w:tc>
        <w:tc>
          <w:tcPr>
            <w:tcW w:type="dxa" w:w="8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Medium</w:t>
            </w:r>
          </w:p>
        </w:tc>
        <w:tc>
          <w:tcPr>
            <w:tcW w:type="dxa" w:w="2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16</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Addressed</w:t>
            </w:r>
          </w:p>
        </w:tc>
        <w:tc>
          <w:tcPr>
            <w:tcW w:type="dxa" w:w="1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14</w:t>
            </w:r>
          </w:p>
        </w:tc>
        <w:tc>
          <w:tcPr>
            <w:tcW w:type="dxa" w:w="8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Low</w:t>
            </w:r>
          </w:p>
        </w:tc>
        <w:tc>
          <w:tcPr>
            <w:tcW w:type="dxa" w:w="2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14</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Not Evidenced</w:t>
            </w:r>
          </w:p>
        </w:tc>
        <w:tc>
          <w:tcPr>
            <w:tcW w:type="dxa" w:w="1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w:t>
            </w:r>
          </w:p>
        </w:tc>
        <w:tc>
          <w:tcPr>
            <w:tcW w:type="dxa" w:w="8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24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
            </w:r>
          </w:p>
        </w:tc>
      </w:tr>
    </w:tbl>
    <w:p>
      <w:pPr>
        <w:spacing w:after="14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8"/>
            </w:pPr>
            <w:r>
              <w:rPr>
                <w:b w:val="false"/>
                <w:bCs w:val="false"/>
                <w:i w:val="false"/>
                <w:iCs w:val="false"/>
                <w:color w:val="1A1A1A"/>
                <w:sz w:val="24"/>
                <w:szCs w:val="24"/>
              </w:rPr>
              <w:t xml:space="preserve"/>
            </w:r>
            <w:r>
              <w:rPr>
                <w:b/>
                <w:bCs/>
                <w:i w:val="false"/>
                <w:iCs w:val="false"/>
                <w:color w:val="1A1A1A"/>
                <w:sz w:val="24"/>
                <w:szCs w:val="24"/>
              </w:rPr>
              <w:t xml:space="preserve">Read the Conflict row first.</w:t>
            </w:r>
            <w:r>
              <w:rPr>
                <w:b w:val="false"/>
                <w:bCs w:val="false"/>
                <w:i w:val="false"/>
                <w:iCs w:val="false"/>
                <w:color w:val="1A1A1A"/>
                <w:sz w:val="24"/>
                <w:szCs w:val="24"/>
              </w:rPr>
              <w:t xml:space="preserve"> Not Addressed means we have not written it down yet. Conflict means we have written down the wrong rule. The second is worse: it is harder to defend, it is already in staff hands, and it is cheaper to fix. Not Evidenced means the document is referenced in another policy but has not been produced to this review, so no finding is made either way.</w:t>
            </w:r>
          </w:p>
        </w:tc>
      </w:tr>
    </w:tbl>
    <w:p>
      <w:r>
        <w:br w:type="page"/>
      </w:r>
    </w:p>
    <w:p>
      <w:pPr>
        <w:pStyle w:val="Heading1"/>
      </w:pPr>
      <w:r>
        <w:t xml:space="preserve">Where the real exposure is</w:t>
      </w:r>
    </w:p>
    <w:p>
      <w:pPr>
        <w:spacing w:after="140" w:line="276"/>
      </w:pPr>
      <w:r>
        <w:rPr>
          <w:b w:val="false"/>
          <w:bCs w:val="false"/>
          <w:i w:val="false"/>
          <w:iCs w:val="false"/>
          <w:color w:val="1A1A1A"/>
          <w:sz w:val="24"/>
          <w:szCs w:val="24"/>
        </w:rPr>
        <w:t xml:space="preserve">Not 91 items. These seven. Each one is in the register with the policy language behind it. Each reads the same way: what our policy says, what the law says, what it costs us, the fix, and what we need from you.</w:t>
      </w:r>
    </w:p>
    <w:p>
      <w:pPr>
        <w:pStyle w:val="Heading2"/>
        <w:spacing w:after="60" w:before="260"/>
      </w:pPr>
      <w:r>
        <w:rPr>
          <w:b/>
          <w:bCs/>
          <w:i w:val="false"/>
          <w:iCs w:val="false"/>
          <w:color w:val="1A1A1A"/>
          <w:sz w:val="30"/>
          <w:szCs w:val="30"/>
        </w:rPr>
        <w:t xml:space="preserve">1.  </w:t>
      </w:r>
      <w:r>
        <w:rPr>
          <w:b/>
          <w:bCs/>
          <w:i w:val="false"/>
          <w:iCs w:val="false"/>
          <w:color w:val="1A1A1A"/>
          <w:sz w:val="30"/>
          <w:szCs w:val="30"/>
        </w:rPr>
        <w:t xml:space="preserve">Automatic single room housing for LGBTQI, transgender and intersex youth</w:t>
      </w:r>
    </w:p>
    <w:p>
      <w:pPr>
        <w:spacing w:after="160"/>
      </w:pPr>
      <w:r>
        <w:rPr>
          <w:b w:val="false"/>
          <w:bCs w:val="false"/>
          <w:i/>
          <w:iCs/>
          <w:color w:val="595959"/>
          <w:sz w:val="24"/>
          <w:szCs w:val="24"/>
        </w:rPr>
        <w:t xml:space="preserve">Register rows 36, 37</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our policy says.</w:t>
      </w:r>
      <w:r>
        <w:rPr>
          <w:b w:val="false"/>
          <w:bCs w:val="false"/>
          <w:i w:val="false"/>
          <w:iCs w:val="false"/>
          <w:color w:val="1A1A1A"/>
          <w:sz w:val="24"/>
          <w:szCs w:val="24"/>
        </w:rPr>
        <w:t xml:space="preserve"> OO 1352 II.M puts every LGBTQI youth in classification S-8. III.I.1 then says every S-8 youth gets a single room at all times. OO 1352.5 III.I does the same for every transgender and intersex youth.</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the rule says.</w:t>
      </w:r>
      <w:r>
        <w:rPr>
          <w:b w:val="false"/>
          <w:bCs w:val="false"/>
          <w:i w:val="false"/>
          <w:iCs w:val="false"/>
          <w:color w:val="1A1A1A"/>
          <w:sz w:val="24"/>
          <w:szCs w:val="24"/>
        </w:rPr>
        <w:t xml:space="preserve"> 15 CCR 1352(e) says you cannot pull a youth out of general population, or put them in a single room, just because of who they are. It spells out the lawful alternative: decide case by case, or give a single room when the youth asks for one. 115.342(c) says the same. 15 CCR 1324(k) separately says our policy manual itself cannot contain a rule like this.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Why it costs us.</w:t>
            </w:r>
            <w:r>
              <w:rPr>
                <w:b w:val="false"/>
                <w:bCs w:val="false"/>
                <w:i w:val="false"/>
                <w:iCs w:val="false"/>
                <w:color w:val="1A1A1A"/>
                <w:sz w:val="24"/>
                <w:szCs w:val="24"/>
              </w:rPr>
              <w:t xml:space="preserve"> This is the easiest finding anyone could make against us, for three reasons. </w:t>
            </w:r>
            <w:r>
              <w:rPr>
                <w:b/>
                <w:bCs/>
                <w:i w:val="false"/>
                <w:iCs w:val="false"/>
                <w:color w:val="1A1A1A"/>
                <w:sz w:val="24"/>
                <w:szCs w:val="24"/>
              </w:rPr>
              <w:t xml:space="preserve">The dates.</w:t>
            </w:r>
            <w:r>
              <w:rPr>
                <w:b w:val="false"/>
                <w:bCs w:val="false"/>
                <w:i w:val="false"/>
                <w:iCs w:val="false"/>
                <w:color w:val="1A1A1A"/>
                <w:sz w:val="24"/>
                <w:szCs w:val="24"/>
              </w:rPr>
              <w:t xml:space="preserve"> The state rule is not new. It has been in force since April 2014. We created S-8 in December 2019 and kept it on a February 2020 revision. That is five and a half years after the rule existed. </w:t>
            </w:r>
            <w:r>
              <w:rPr>
                <w:b/>
                <w:bCs/>
                <w:i w:val="false"/>
                <w:iCs w:val="false"/>
                <w:color w:val="1A1A1A"/>
                <w:sz w:val="24"/>
                <w:szCs w:val="24"/>
              </w:rPr>
              <w:t xml:space="preserve">Our own order convicts us.</w:t>
            </w:r>
            <w:r>
              <w:rPr>
                <w:b w:val="false"/>
                <w:bCs w:val="false"/>
                <w:i w:val="false"/>
                <w:iCs w:val="false"/>
                <w:color w:val="1A1A1A"/>
                <w:sz w:val="24"/>
                <w:szCs w:val="24"/>
              </w:rPr>
              <w:t xml:space="preserve"> The single room sentence for S-8 and the single room sentence for S-4 High are word for word identical. They are the only two in the whole order. S-4 High is the category for youth with documented sex offences. So we give LGBTQI youth the exact housing restriction we reserve for adjudicated sex offenders, and we give it to nobody else. </w:t>
            </w:r>
            <w:r>
              <w:rPr>
                <w:b/>
                <w:bCs/>
                <w:i w:val="false"/>
                <w:iCs w:val="false"/>
                <w:color w:val="1A1A1A"/>
                <w:sz w:val="24"/>
                <w:szCs w:val="24"/>
              </w:rPr>
              <w:t xml:space="preserve">The order argues with itself.</w:t>
            </w:r>
            <w:r>
              <w:rPr>
                <w:b w:val="false"/>
                <w:bCs w:val="false"/>
                <w:i w:val="false"/>
                <w:iCs w:val="false"/>
                <w:color w:val="1A1A1A"/>
                <w:sz w:val="24"/>
                <w:szCs w:val="24"/>
              </w:rPr>
              <w:t xml:space="preserve"> II.M.1.a says go look at the transgender policy for housing. III.I.1 then decides housing anyway.</w:t>
            </w:r>
          </w:p>
        </w:tc>
      </w:tr>
    </w:tbl>
    <w:p>
      <w:pPr>
        <w:spacing w:after="120"/>
      </w:pP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The fix.</w:t>
      </w:r>
      <w:r>
        <w:rPr>
          <w:b w:val="false"/>
          <w:bCs w:val="false"/>
          <w:i w:val="false"/>
          <w:iCs w:val="false"/>
          <w:color w:val="1A1A1A"/>
          <w:sz w:val="24"/>
          <w:szCs w:val="24"/>
        </w:rPr>
        <w:t xml:space="preserve"> Changes 1 and 2, already written. Strike the automatic single room rule and replace it with the state rule word for word, including its own exception for a youth who asks for a single room. Make single occupancy something you decide and document, not something a label triggers. A fourth paragraph stops this coming back under a different letter.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I need.</w:t>
            </w:r>
            <w:r>
              <w:rPr>
                <w:b w:val="false"/>
                <w:bCs w:val="false"/>
                <w:i w:val="false"/>
                <w:iCs w:val="false"/>
                <w:color w:val="1A1A1A"/>
                <w:sz w:val="24"/>
                <w:szCs w:val="24"/>
              </w:rPr>
              <w:t xml:space="preserve"> Nothing. This one is ready to move.</w:t>
            </w:r>
          </w:p>
        </w:tc>
      </w:tr>
    </w:tbl>
    <w:p>
      <w:r>
        <w:br w:type="page"/>
      </w:r>
    </w:p>
    <w:p>
      <w:pPr>
        <w:pStyle w:val="Heading2"/>
        <w:spacing w:after="60" w:before="0"/>
      </w:pPr>
      <w:r>
        <w:rPr>
          <w:b/>
          <w:bCs/>
          <w:i w:val="false"/>
          <w:iCs w:val="false"/>
          <w:color w:val="1A1A1A"/>
          <w:sz w:val="30"/>
          <w:szCs w:val="30"/>
        </w:rPr>
        <w:t xml:space="preserve">2.  </w:t>
      </w:r>
      <w:r>
        <w:rPr>
          <w:b/>
          <w:bCs/>
          <w:i w:val="false"/>
          <w:iCs w:val="false"/>
          <w:color w:val="1A1A1A"/>
          <w:sz w:val="30"/>
          <w:szCs w:val="30"/>
        </w:rPr>
        <w:t xml:space="preserve">The child abuse reporting timeline is wrong, in two documents</w:t>
      </w:r>
    </w:p>
    <w:p>
      <w:pPr>
        <w:spacing w:after="160"/>
      </w:pPr>
      <w:r>
        <w:rPr>
          <w:b w:val="false"/>
          <w:bCs w:val="false"/>
          <w:i/>
          <w:iCs/>
          <w:color w:val="595959"/>
          <w:sz w:val="24"/>
          <w:szCs w:val="24"/>
        </w:rPr>
        <w:t xml:space="preserve">Register row 48</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our policy says.</w:t>
      </w:r>
      <w:r>
        <w:rPr>
          <w:b w:val="false"/>
          <w:bCs w:val="false"/>
          <w:i w:val="false"/>
          <w:iCs w:val="false"/>
          <w:color w:val="1A1A1A"/>
          <w:sz w:val="24"/>
          <w:szCs w:val="24"/>
        </w:rPr>
        <w:t xml:space="preserve"> PREA Policy V.A.4 and OO 1453 I.A.9 both say we call Child Protective Services within 24 hours. OO 1453 repeated it on a December 2019 revision.</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the rule says.</w:t>
      </w:r>
      <w:r>
        <w:rPr>
          <w:b w:val="false"/>
          <w:bCs w:val="false"/>
          <w:i w:val="false"/>
          <w:iCs w:val="false"/>
          <w:color w:val="1A1A1A"/>
          <w:sz w:val="24"/>
          <w:szCs w:val="24"/>
        </w:rPr>
        <w:t xml:space="preserve"> Penal Code 11166(a) says telephone immediately, or as soon as you practically can. The written report on form SS 8572 goes in within 36 hours.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Why it costs us.</w:t>
            </w:r>
            <w:r>
              <w:rPr>
                <w:b w:val="false"/>
                <w:bCs w:val="false"/>
                <w:i w:val="false"/>
                <w:iCs w:val="false"/>
                <w:color w:val="1A1A1A"/>
                <w:sz w:val="24"/>
                <w:szCs w:val="24"/>
              </w:rPr>
              <w:t xml:space="preserve"> </w:t>
            </w:r>
            <w:r>
              <w:rPr>
                <w:b/>
                <w:bCs/>
                <w:i w:val="false"/>
                <w:iCs w:val="false"/>
                <w:color w:val="1A1A1A"/>
                <w:sz w:val="24"/>
                <w:szCs w:val="24"/>
              </w:rPr>
              <w:t xml:space="preserve">This one can get a staff member prosecuted, not just sued.</w:t>
            </w:r>
            <w:r>
              <w:rPr>
                <w:b w:val="false"/>
                <w:bCs w:val="false"/>
                <w:i w:val="false"/>
                <w:iCs w:val="false"/>
                <w:color w:val="1A1A1A"/>
                <w:sz w:val="24"/>
                <w:szCs w:val="24"/>
              </w:rPr>
              <w:t xml:space="preserve"> The duty belongs to the person who formed the suspicion. No supervisor can get in the way of it. There are criminal penalties for not reporting. So a staff member who follows our written policy exactly is the one exposed. And our Code of Conduct states the rule correctly, so we cannot argue nobody here knew.</w:t>
            </w:r>
          </w:p>
        </w:tc>
      </w:tr>
    </w:tbl>
    <w:p>
      <w:pPr>
        <w:spacing w:after="120"/>
      </w:pP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The fix.</w:t>
      </w:r>
      <w:r>
        <w:rPr>
          <w:b w:val="false"/>
          <w:bCs w:val="false"/>
          <w:i w:val="false"/>
          <w:iCs w:val="false"/>
          <w:color w:val="1A1A1A"/>
          <w:sz w:val="24"/>
          <w:szCs w:val="24"/>
        </w:rPr>
        <w:t xml:space="preserve"> Change 3, written and staged. Fix both documents now. Replace both with a pointer to one new department wide General Order once it issues. Reading OO 1453 in full also showed the order only ever talks about sexual assault, so the new wording is keyed to the reporting trigger in the law instead. That fixes the deadline and the scope together.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I need.</w:t>
            </w:r>
            <w:r>
              <w:rPr>
                <w:b w:val="false"/>
                <w:bCs w:val="false"/>
                <w:i w:val="false"/>
                <w:iCs w:val="false"/>
                <w:color w:val="1A1A1A"/>
                <w:sz w:val="24"/>
                <w:szCs w:val="24"/>
              </w:rPr>
              <w:t xml:space="preserve"> Find out whether the county has named Probation as an agency that receives these reports. One paragraph of the draft depends on it and nobody has confirmed it.</w:t>
            </w:r>
          </w:p>
        </w:tc>
      </w:tr>
    </w:tbl>
    <w:p>
      <w:r>
        <w:br w:type="page"/>
      </w:r>
    </w:p>
    <w:p>
      <w:pPr>
        <w:pStyle w:val="Heading2"/>
        <w:spacing w:after="60" w:before="0"/>
      </w:pPr>
      <w:r>
        <w:rPr>
          <w:b/>
          <w:bCs/>
          <w:i w:val="false"/>
          <w:iCs w:val="false"/>
          <w:color w:val="1A1A1A"/>
          <w:sz w:val="30"/>
          <w:szCs w:val="30"/>
        </w:rPr>
        <w:t xml:space="preserve">3.  </w:t>
      </w:r>
      <w:r>
        <w:rPr>
          <w:b/>
          <w:bCs/>
          <w:i w:val="false"/>
          <w:iCs w:val="false"/>
          <w:color w:val="1A1A1A"/>
          <w:sz w:val="30"/>
          <w:szCs w:val="30"/>
        </w:rPr>
        <w:t xml:space="preserve">The interrogation instruction omits a statute that took effect in 2021</w:t>
      </w:r>
    </w:p>
    <w:p>
      <w:pPr>
        <w:spacing w:after="160"/>
      </w:pPr>
      <w:r>
        <w:rPr>
          <w:b w:val="false"/>
          <w:bCs w:val="false"/>
          <w:i/>
          <w:iCs/>
          <w:color w:val="595959"/>
          <w:sz w:val="24"/>
          <w:szCs w:val="24"/>
        </w:rPr>
        <w:t xml:space="preserve">Register row 91</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our policy says.</w:t>
      </w:r>
      <w:r>
        <w:rPr>
          <w:b w:val="false"/>
          <w:bCs w:val="false"/>
          <w:i w:val="false"/>
          <w:iCs w:val="false"/>
          <w:color w:val="1A1A1A"/>
          <w:sz w:val="24"/>
          <w:szCs w:val="24"/>
        </w:rPr>
        <w:t xml:space="preserve"> OO 1453 I.A.6: the duty supervisor takes an initial statement from the victim and the suspect, and reads the suspect a Miranda warning before any questioning.</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the rule says.</w:t>
      </w:r>
      <w:r>
        <w:rPr>
          <w:b w:val="false"/>
          <w:bCs w:val="false"/>
          <w:i w:val="false"/>
          <w:iCs w:val="false"/>
          <w:color w:val="1A1A1A"/>
          <w:sz w:val="24"/>
          <w:szCs w:val="24"/>
        </w:rPr>
        <w:t xml:space="preserve"> WIC 625.6, in force since January 2021, says a youth 17 or younger has to talk to a lawyer before a custodial interrogation and before giving up Miranda rights. The youth cannot waive that conversation. WIC 625.7, in force since July 2024, separately bars deception and psychologically manipulative questioning of a youth 17 or younger.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Why it costs us.</w:t>
            </w:r>
            <w:r>
              <w:rPr>
                <w:b w:val="false"/>
                <w:bCs w:val="false"/>
                <w:i w:val="false"/>
                <w:iCs w:val="false"/>
                <w:color w:val="1A1A1A"/>
                <w:sz w:val="24"/>
                <w:szCs w:val="24"/>
              </w:rPr>
              <w:t xml:space="preserve"> </w:t>
            </w:r>
            <w:r>
              <w:rPr>
                <w:b/>
                <w:bCs/>
                <w:i w:val="false"/>
                <w:iCs w:val="false"/>
                <w:color w:val="1A1A1A"/>
                <w:sz w:val="24"/>
                <w:szCs w:val="24"/>
              </w:rPr>
              <w:t xml:space="preserve">Our order says nothing about either law.</w:t>
            </w:r>
            <w:r>
              <w:rPr>
                <w:b w:val="false"/>
                <w:bCs w:val="false"/>
                <w:i w:val="false"/>
                <w:iCs w:val="false"/>
                <w:color w:val="1A1A1A"/>
                <w:sz w:val="24"/>
                <w:szCs w:val="24"/>
              </w:rPr>
              <w:t xml:space="preserve"> It was last revised in December 2019, before both. The practical cost is that a statement taken under our own order can sink the case it was meant to build, and a judge can weigh a deliberate violation against the supervisor's credibility as a witness. </w:t>
            </w:r>
            <w:r>
              <w:rPr>
                <w:b/>
                <w:bCs/>
                <w:i w:val="false"/>
                <w:iCs w:val="false"/>
                <w:color w:val="1A1A1A"/>
                <w:sz w:val="24"/>
                <w:szCs w:val="24"/>
              </w:rPr>
              <w:t xml:space="preserve">One important qualifier, and it may matter a lot.</w:t>
            </w:r>
            <w:r>
              <w:rPr>
                <w:b w:val="false"/>
                <w:bCs w:val="false"/>
                <w:i w:val="false"/>
                <w:iCs w:val="false"/>
                <w:color w:val="1A1A1A"/>
                <w:sz w:val="24"/>
                <w:szCs w:val="24"/>
              </w:rPr>
              <w:t xml:space="preserve"> WIC 625.6(d) says the rule does not apply to a probation officer doing normal duties under three specific sections of the code. Those sections are about booking a youth in and deciding whether to hold them, not about questioning a youth over a new offence inside the facility. We think the exemption does not cover this. But we have found no court decision either way, and County Counsel should answer it before we rely on anything here.</w:t>
            </w:r>
          </w:p>
        </w:tc>
      </w:tr>
    </w:tbl>
    <w:p>
      <w:pPr>
        <w:spacing w:after="120"/>
      </w:pP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The fix.</w:t>
      </w:r>
      <w:r>
        <w:rPr>
          <w:b w:val="false"/>
          <w:bCs w:val="false"/>
          <w:i w:val="false"/>
          <w:iCs w:val="false"/>
          <w:color w:val="1A1A1A"/>
          <w:sz w:val="24"/>
          <w:szCs w:val="24"/>
        </w:rPr>
        <w:t xml:space="preserve"> Change 8, drafted today, and you have it as a tracked changes copy of the order. It splits the victim statement from the suspect statement, adds the lawyer consultation, writes the emergency exception narrowly and requires it to be documented, adds the ban on deception, and says plainly where a supervisor stops and an investigator starts.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I need.</w:t>
            </w:r>
            <w:r>
              <w:rPr>
                <w:b w:val="false"/>
                <w:bCs w:val="false"/>
                <w:i w:val="false"/>
                <w:iCs w:val="false"/>
                <w:color w:val="1A1A1A"/>
                <w:sz w:val="24"/>
                <w:szCs w:val="24"/>
              </w:rPr>
              <w:t xml:space="preserve"> Send WIC 625.6(d) to County Counsel. That one answer decides whether this is a violation we are carrying or a good practice we should adopt anyway.</w:t>
            </w:r>
          </w:p>
        </w:tc>
      </w:tr>
    </w:tbl>
    <w:p>
      <w:r>
        <w:br w:type="page"/>
      </w:r>
    </w:p>
    <w:p>
      <w:pPr>
        <w:pStyle w:val="Heading2"/>
        <w:spacing w:after="60" w:before="0"/>
      </w:pPr>
      <w:r>
        <w:rPr>
          <w:b/>
          <w:bCs/>
          <w:i w:val="false"/>
          <w:iCs w:val="false"/>
          <w:color w:val="1A1A1A"/>
          <w:sz w:val="30"/>
          <w:szCs w:val="30"/>
        </w:rPr>
        <w:t xml:space="preserve">4.  </w:t>
      </w:r>
      <w:r>
        <w:rPr>
          <w:b/>
          <w:bCs/>
          <w:i w:val="false"/>
          <w:iCs w:val="false"/>
          <w:color w:val="1A1A1A"/>
          <w:sz w:val="30"/>
          <w:szCs w:val="30"/>
        </w:rPr>
        <w:t xml:space="preserve">We have no PREA Coordinator, and one of our own orders routes work to one</w:t>
      </w:r>
    </w:p>
    <w:p>
      <w:pPr>
        <w:spacing w:after="160"/>
      </w:pPr>
      <w:r>
        <w:rPr>
          <w:b w:val="false"/>
          <w:bCs w:val="false"/>
          <w:i/>
          <w:iCs/>
          <w:color w:val="595959"/>
          <w:sz w:val="24"/>
          <w:szCs w:val="24"/>
        </w:rPr>
        <w:t xml:space="preserve">Register rows 2, 3</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our policy says.</w:t>
      </w:r>
      <w:r>
        <w:rPr>
          <w:b w:val="false"/>
          <w:bCs w:val="false"/>
          <w:i w:val="false"/>
          <w:iCs w:val="false"/>
          <w:color w:val="1A1A1A"/>
          <w:sz w:val="24"/>
          <w:szCs w:val="24"/>
        </w:rPr>
        <w:t xml:space="preserve"> OO 1453 I.A.15 says the incident review report goes to the PREA Coordinator. We do not have one.</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the rule says.</w:t>
      </w:r>
      <w:r>
        <w:rPr>
          <w:b w:val="false"/>
          <w:bCs w:val="false"/>
          <w:i w:val="false"/>
          <w:iCs w:val="false"/>
          <w:color w:val="1A1A1A"/>
          <w:sz w:val="24"/>
          <w:szCs w:val="24"/>
        </w:rPr>
        <w:t xml:space="preserve"> 115.311(b) requires an agency wide PREA Coordinator with real authority and real time for the job. 115.311(c) requires a compliance manager at each facility if we run more than one.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Why it costs us.</w:t>
            </w:r>
            <w:r>
              <w:rPr>
                <w:b w:val="false"/>
                <w:bCs w:val="false"/>
                <w:i w:val="false"/>
                <w:iCs w:val="false"/>
                <w:color w:val="1A1A1A"/>
                <w:sz w:val="24"/>
                <w:szCs w:val="24"/>
              </w:rPr>
              <w:t xml:space="preserve"> Two problems, and the second is the bad one. The report has nowhere to go, so our incident review process ends at an empty chair. And the order is a </w:t>
            </w:r>
            <w:r>
              <w:rPr>
                <w:b/>
                <w:bCs/>
                <w:i w:val="false"/>
                <w:iCs w:val="false"/>
                <w:color w:val="1A1A1A"/>
                <w:sz w:val="24"/>
                <w:szCs w:val="24"/>
              </w:rPr>
              <w:t xml:space="preserve">signed departmental document, dated December 2019, saying we need the role.</w:t>
            </w:r>
            <w:r>
              <w:rPr>
                <w:b w:val="false"/>
                <w:bCs w:val="false"/>
                <w:i w:val="false"/>
                <w:iCs w:val="false"/>
                <w:color w:val="1A1A1A"/>
                <w:sz w:val="24"/>
                <w:szCs w:val="24"/>
              </w:rPr>
              <w:t xml:space="preserve"> That is much harder to answer than simply never having mentioned it.</w:t>
            </w:r>
          </w:p>
        </w:tc>
      </w:tr>
    </w:tbl>
    <w:p>
      <w:pPr>
        <w:spacing w:after="120"/>
      </w:pP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The fix.</w:t>
      </w:r>
      <w:r>
        <w:rPr>
          <w:b w:val="false"/>
          <w:bCs w:val="false"/>
          <w:i w:val="false"/>
          <w:iCs w:val="false"/>
          <w:color w:val="1A1A1A"/>
          <w:sz w:val="24"/>
          <w:szCs w:val="24"/>
        </w:rPr>
        <w:t xml:space="preserve"> Change 8 in the master report. This is naming somebody and giving them the hours. It is not a drafting job.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I need.</w:t>
            </w:r>
            <w:r>
              <w:rPr>
                <w:b w:val="false"/>
                <w:bCs w:val="false"/>
                <w:i w:val="false"/>
                <w:iCs w:val="false"/>
                <w:color w:val="1A1A1A"/>
                <w:sz w:val="24"/>
                <w:szCs w:val="24"/>
              </w:rPr>
              <w:t xml:space="preserve"> Name a PREA Coordinator and a facility compliance manager. Nothing else is blocking this.</w:t>
            </w:r>
          </w:p>
        </w:tc>
      </w:tr>
    </w:tbl>
    <w:p>
      <w:r>
        <w:br w:type="page"/>
      </w:r>
    </w:p>
    <w:p>
      <w:pPr>
        <w:pStyle w:val="Heading2"/>
        <w:spacing w:after="60" w:before="0"/>
      </w:pPr>
      <w:r>
        <w:rPr>
          <w:b/>
          <w:bCs/>
          <w:i w:val="false"/>
          <w:iCs w:val="false"/>
          <w:color w:val="1A1A1A"/>
          <w:sz w:val="30"/>
          <w:szCs w:val="30"/>
        </w:rPr>
        <w:t xml:space="preserve">5.  </w:t>
      </w:r>
      <w:r>
        <w:rPr>
          <w:b/>
          <w:bCs/>
          <w:i w:val="false"/>
          <w:iCs w:val="false"/>
          <w:color w:val="1A1A1A"/>
          <w:sz w:val="30"/>
          <w:szCs w:val="30"/>
        </w:rPr>
        <w:t xml:space="preserve">Nothing is written for the band of conduct that generates most incidents</w:t>
      </w:r>
    </w:p>
    <w:p>
      <w:pPr>
        <w:spacing w:after="160"/>
      </w:pPr>
      <w:r>
        <w:rPr>
          <w:b w:val="false"/>
          <w:bCs w:val="false"/>
          <w:i/>
          <w:iCs/>
          <w:color w:val="595959"/>
          <w:sz w:val="24"/>
          <w:szCs w:val="24"/>
        </w:rPr>
        <w:t xml:space="preserve">Register rows 47, 54, 69</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our policy says.</w:t>
      </w:r>
      <w:r>
        <w:rPr>
          <w:b w:val="false"/>
          <w:bCs w:val="false"/>
          <w:i w:val="false"/>
          <w:iCs w:val="false"/>
          <w:color w:val="1A1A1A"/>
          <w:sz w:val="24"/>
          <w:szCs w:val="24"/>
        </w:rPr>
        <w:t xml:space="preserve"> OO 1453 is titled Sexual Assault. Every duty in it is keyed to those words: the staff reporting duty, the CPS call, the incident review.</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the rule says.</w:t>
      </w:r>
      <w:r>
        <w:rPr>
          <w:b w:val="false"/>
          <w:bCs w:val="false"/>
          <w:i w:val="false"/>
          <w:iCs w:val="false"/>
          <w:color w:val="1A1A1A"/>
          <w:sz w:val="24"/>
          <w:szCs w:val="24"/>
        </w:rPr>
        <w:t xml:space="preserve"> 115.361(a) requires staff to report sexual abuse </w:t>
      </w:r>
      <w:r>
        <w:rPr>
          <w:b/>
          <w:bCs/>
          <w:i w:val="false"/>
          <w:iCs w:val="false"/>
          <w:color w:val="1A1A1A"/>
          <w:sz w:val="24"/>
          <w:szCs w:val="24"/>
        </w:rPr>
        <w:t xml:space="preserve">or sexual harassment</w:t>
      </w:r>
      <w:r>
        <w:rPr>
          <w:b w:val="false"/>
          <w:bCs w:val="false"/>
          <w:i w:val="false"/>
          <w:iCs w:val="false"/>
          <w:color w:val="1A1A1A"/>
          <w:sz w:val="24"/>
          <w:szCs w:val="24"/>
        </w:rPr>
        <w:t xml:space="preserve">. 115.6 defines harassment to include repeated unwelcome comments of a sexual nature. Title 15 goes further than the federal rule in two ways: it counts coercion by manipulation, and it reaches residents watching other residents.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Why it costs us.</w:t>
            </w:r>
            <w:r>
              <w:rPr>
                <w:b w:val="false"/>
                <w:bCs w:val="false"/>
                <w:i w:val="false"/>
                <w:iCs w:val="false"/>
                <w:color w:val="1A1A1A"/>
                <w:sz w:val="24"/>
                <w:szCs w:val="24"/>
              </w:rPr>
              <w:t xml:space="preserve"> Across three pages and fifteen items, nothing in OO 1453 reaches harassment, indecent exposure, or touching that is not called assault. So we have a solid response plan for the worst band and nothing written for the band that produces most of the incidents. </w:t>
            </w:r>
            <w:r>
              <w:rPr>
                <w:b/>
                <w:bCs/>
                <w:i w:val="false"/>
                <w:iCs w:val="false"/>
                <w:color w:val="1A1A1A"/>
                <w:sz w:val="24"/>
                <w:szCs w:val="24"/>
              </w:rPr>
              <w:t xml:space="preserve">That is where supervisors are making it up as they go</w:t>
            </w:r>
            <w:r>
              <w:rPr>
                <w:b w:val="false"/>
                <w:bCs w:val="false"/>
                <w:i w:val="false"/>
                <w:iCs w:val="false"/>
                <w:color w:val="1A1A1A"/>
                <w:sz w:val="24"/>
                <w:szCs w:val="24"/>
              </w:rPr>
              <w:t xml:space="preserve">, and improvising is what later reads as not caring. It is also the band where, if both residents are 18 or over, there is no outside reporting duty at all. The only control is the one we write.</w:t>
            </w:r>
          </w:p>
        </w:tc>
      </w:tr>
    </w:tbl>
    <w:p>
      <w:pPr>
        <w:spacing w:after="120"/>
      </w:pP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The fix.</w:t>
      </w:r>
      <w:r>
        <w:rPr>
          <w:b w:val="false"/>
          <w:bCs w:val="false"/>
          <w:i w:val="false"/>
          <w:iCs w:val="false"/>
          <w:color w:val="1A1A1A"/>
          <w:sz w:val="24"/>
          <w:szCs w:val="24"/>
        </w:rPr>
        <w:t xml:space="preserve"> Change 12, broaden OO 1453, plus change 10 on grievances. The supervisor tier chart and the classification card already do this job day to day and can carry it while the order is amended.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I need.</w:t>
            </w:r>
            <w:r>
              <w:rPr>
                <w:b w:val="false"/>
                <w:bCs w:val="false"/>
                <w:i w:val="false"/>
                <w:iCs w:val="false"/>
                <w:color w:val="1A1A1A"/>
                <w:sz w:val="24"/>
                <w:szCs w:val="24"/>
              </w:rPr>
              <w:t xml:space="preserve"> Decide who investigates youth on youth cases in this band. It is not written down anywhere, and it is the one answer the supervisor materials cannot supply for themselves.</w:t>
            </w:r>
          </w:p>
        </w:tc>
      </w:tr>
    </w:tbl>
    <w:p>
      <w:r>
        <w:br w:type="page"/>
      </w:r>
    </w:p>
    <w:p>
      <w:pPr>
        <w:pStyle w:val="Heading2"/>
        <w:spacing w:after="60" w:before="0"/>
      </w:pPr>
      <w:r>
        <w:rPr>
          <w:b/>
          <w:bCs/>
          <w:i w:val="false"/>
          <w:iCs w:val="false"/>
          <w:color w:val="1A1A1A"/>
          <w:sz w:val="30"/>
          <w:szCs w:val="30"/>
        </w:rPr>
        <w:t xml:space="preserve">6.  </w:t>
      </w:r>
      <w:r>
        <w:rPr>
          <w:b/>
          <w:bCs/>
          <w:i w:val="false"/>
          <w:iCs w:val="false"/>
          <w:color w:val="1A1A1A"/>
          <w:sz w:val="30"/>
          <w:szCs w:val="30"/>
        </w:rPr>
        <w:t xml:space="preserve">Three retention rules govern the same records, against a claim with no deadline</w:t>
      </w:r>
    </w:p>
    <w:p>
      <w:pPr>
        <w:spacing w:after="160"/>
      </w:pPr>
      <w:r>
        <w:rPr>
          <w:b w:val="false"/>
          <w:bCs w:val="false"/>
          <w:i/>
          <w:iCs/>
          <w:color w:val="595959"/>
          <w:sz w:val="24"/>
          <w:szCs w:val="24"/>
        </w:rPr>
        <w:t xml:space="preserve">Register row 59</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our policy says.</w:t>
      </w:r>
      <w:r>
        <w:rPr>
          <w:b w:val="false"/>
          <w:bCs w:val="false"/>
          <w:i w:val="false"/>
          <w:iCs w:val="false"/>
          <w:color w:val="1A1A1A"/>
          <w:sz w:val="24"/>
          <w:szCs w:val="24"/>
        </w:rPr>
        <w:t xml:space="preserve"> Internal Affairs XI.C.1 keeps complaint and investigation records five years. PREA Policy XVIII.B keeps sexual abuse case records ten years.</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the rule says.</w:t>
      </w:r>
      <w:r>
        <w:rPr>
          <w:b w:val="false"/>
          <w:bCs w:val="false"/>
          <w:i w:val="false"/>
          <w:iCs w:val="false"/>
          <w:color w:val="1A1A1A"/>
          <w:sz w:val="24"/>
          <w:szCs w:val="24"/>
        </w:rPr>
        <w:t xml:space="preserve"> 115.371(j) says keep them as long as the alleged abuser is here, plus five years.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Why it costs us.</w:t>
            </w:r>
            <w:r>
              <w:rPr>
                <w:b w:val="false"/>
                <w:bCs w:val="false"/>
                <w:i w:val="false"/>
                <w:iCs w:val="false"/>
                <w:color w:val="1A1A1A"/>
                <w:sz w:val="24"/>
                <w:szCs w:val="24"/>
              </w:rPr>
              <w:t xml:space="preserve"> Any one of the three can be read as permission to destroy a record the other two require us to keep. Put that against the 2024 law: for childhood sexual assault on or after January 1 2024, there is no deadline to sue, ever. A claim from a resident today has no expiry. The law also allows treble damages where there has been a cover up, and destroying records on our own written schedule is exactly the fact pattern that argument is built from.</w:t>
            </w:r>
          </w:p>
        </w:tc>
      </w:tr>
    </w:tbl>
    <w:p>
      <w:pPr>
        <w:spacing w:after="120"/>
      </w:pP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The fix.</w:t>
      </w:r>
      <w:r>
        <w:rPr>
          <w:b w:val="false"/>
          <w:bCs w:val="false"/>
          <w:i w:val="false"/>
          <w:iCs w:val="false"/>
          <w:color w:val="1A1A1A"/>
          <w:sz w:val="24"/>
          <w:szCs w:val="24"/>
        </w:rPr>
        <w:t xml:space="preserve"> Change 7, written. One schedule, reconciled. Paragraph 3 is a hold on destruction for anything on or after January 1 2024, because no fixed number of years can cover a claim with no deadline.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I need.</w:t>
            </w:r>
            <w:r>
              <w:rPr>
                <w:b w:val="false"/>
                <w:bCs w:val="false"/>
                <w:i w:val="false"/>
                <w:iCs w:val="false"/>
                <w:color w:val="1A1A1A"/>
                <w:sz w:val="24"/>
                <w:szCs w:val="24"/>
              </w:rPr>
              <w:t xml:space="preserve"> County Counsel sets the schedule. A policy revision cannot do it.</w:t>
            </w:r>
          </w:p>
        </w:tc>
      </w:tr>
    </w:tbl>
    <w:p>
      <w:r>
        <w:br w:type="page"/>
      </w:r>
    </w:p>
    <w:p>
      <w:pPr>
        <w:pStyle w:val="Heading2"/>
        <w:spacing w:after="60" w:before="0"/>
      </w:pPr>
      <w:r>
        <w:rPr>
          <w:b/>
          <w:bCs/>
          <w:i w:val="false"/>
          <w:iCs w:val="false"/>
          <w:color w:val="1A1A1A"/>
          <w:sz w:val="30"/>
          <w:szCs w:val="30"/>
        </w:rPr>
        <w:t xml:space="preserve">7.  </w:t>
      </w:r>
      <w:r>
        <w:rPr>
          <w:b/>
          <w:bCs/>
          <w:i w:val="false"/>
          <w:iCs w:val="false"/>
          <w:color w:val="1A1A1A"/>
          <w:sz w:val="30"/>
          <w:szCs w:val="30"/>
        </w:rPr>
        <w:t xml:space="preserve">The governing PREA policy has not been revised since 2013</w:t>
      </w:r>
    </w:p>
    <w:p>
      <w:pPr>
        <w:spacing w:after="160"/>
      </w:pPr>
      <w:r>
        <w:rPr>
          <w:b w:val="false"/>
          <w:bCs w:val="false"/>
          <w:i/>
          <w:iCs/>
          <w:color w:val="595959"/>
          <w:sz w:val="24"/>
          <w:szCs w:val="24"/>
        </w:rPr>
        <w:t xml:space="preserve">Register row 74</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our policy says.</w:t>
      </w:r>
      <w:r>
        <w:rPr>
          <w:b w:val="false"/>
          <w:bCs w:val="false"/>
          <w:i w:val="false"/>
          <w:iCs w:val="false"/>
          <w:color w:val="1A1A1A"/>
          <w:sz w:val="24"/>
          <w:szCs w:val="24"/>
        </w:rPr>
        <w:t xml:space="preserve"> Our PREA Policy says effective and revised April 25, 2013. The Internal Affairs policy dates to 2011. The intake document has no date at all and still refers to CYA.</w:t>
      </w: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What the rule says.</w:t>
      </w:r>
      <w:r>
        <w:rPr>
          <w:b w:val="false"/>
          <w:bCs w:val="false"/>
          <w:i w:val="false"/>
          <w:iCs w:val="false"/>
          <w:color w:val="1A1A1A"/>
          <w:sz w:val="24"/>
          <w:szCs w:val="24"/>
        </w:rPr>
        <w:t xml:space="preserve"> 15 CCR 1324 says the policy manual gets an administrative review at least every two years, and gets updated when it needs it.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Why it costs us.</w:t>
            </w:r>
            <w:r>
              <w:rPr>
                <w:b w:val="false"/>
                <w:bCs w:val="false"/>
                <w:i w:val="false"/>
                <w:iCs w:val="false"/>
                <w:color w:val="1A1A1A"/>
                <w:sz w:val="24"/>
                <w:szCs w:val="24"/>
              </w:rPr>
              <w:t xml:space="preserve"> This is the finding that needs no argument. The policy predates the January 2019 Title 15 rewrite that added four sections we now have to comply with. It predates the room confinement law. It predates a Penal Code section being renumbered. </w:t>
            </w:r>
            <w:r>
              <w:rPr>
                <w:b/>
                <w:bCs/>
                <w:i w:val="false"/>
                <w:iCs w:val="false"/>
                <w:color w:val="1A1A1A"/>
                <w:sz w:val="24"/>
                <w:szCs w:val="24"/>
              </w:rPr>
              <w:t xml:space="preserve">On a BSCC inspection this is proved by reading the cover page.</w:t>
            </w:r>
            <w:r>
              <w:rPr>
                <w:b w:val="false"/>
                <w:bCs w:val="false"/>
                <w:i w:val="false"/>
                <w:iCs w:val="false"/>
                <w:color w:val="1A1A1A"/>
                <w:sz w:val="24"/>
                <w:szCs w:val="24"/>
              </w:rPr>
              <w:t xml:space="preserve"> And the policy carries three of the thirteen conflicts by itself, so the review is not a formality.</w:t>
            </w:r>
          </w:p>
        </w:tc>
      </w:tr>
    </w:tbl>
    <w:p>
      <w:pPr>
        <w:spacing w:after="120"/>
      </w:pPr>
    </w:p>
    <w:p>
      <w:pPr>
        <w:spacing w:after="140" w:line="276"/>
      </w:pPr>
      <w:r>
        <w:rPr>
          <w:b w:val="false"/>
          <w:bCs w:val="false"/>
          <w:i w:val="false"/>
          <w:iCs w:val="false"/>
          <w:color w:val="1A1A1A"/>
          <w:sz w:val="24"/>
          <w:szCs w:val="24"/>
        </w:rPr>
        <w:t xml:space="preserve"/>
      </w:r>
      <w:r>
        <w:rPr>
          <w:b/>
          <w:bCs/>
          <w:i w:val="false"/>
          <w:iCs w:val="false"/>
          <w:color w:val="1A1A1A"/>
          <w:sz w:val="24"/>
          <w:szCs w:val="24"/>
        </w:rPr>
        <w:t xml:space="preserve">The fix.</w:t>
      </w:r>
      <w:r>
        <w:rPr>
          <w:b w:val="false"/>
          <w:bCs w:val="false"/>
          <w:i w:val="false"/>
          <w:iCs w:val="false"/>
          <w:color w:val="1A1A1A"/>
          <w:sz w:val="24"/>
          <w:szCs w:val="24"/>
        </w:rPr>
        <w:t xml:space="preserve"> Change 3 fixes the reporting standard. Beyond that the policy is worth rewriting in the order an auditor scores it, rather than patching it item by item.</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I need.</w:t>
            </w:r>
            <w:r>
              <w:rPr>
                <w:b w:val="false"/>
                <w:bCs w:val="false"/>
                <w:i w:val="false"/>
                <w:iCs w:val="false"/>
                <w:color w:val="1A1A1A"/>
                <w:sz w:val="24"/>
                <w:szCs w:val="24"/>
              </w:rPr>
              <w:t xml:space="preserve"> Approve the rewrite instead of another round of amendments, and put the two year review on a calendar so we do not end up here again.</w:t>
            </w:r>
          </w:p>
        </w:tc>
      </w:tr>
    </w:tbl>
    <w:p>
      <w:r>
        <w:br w:type="page"/>
      </w:r>
    </w:p>
    <w:p>
      <w:pPr>
        <w:pStyle w:val="Heading1"/>
      </w:pPr>
      <w:r>
        <w:t xml:space="preserve">One thing we cannot yet call either way</w:t>
      </w:r>
    </w:p>
    <w:p>
      <w:pPr>
        <w:spacing w:after="140" w:line="276"/>
      </w:pPr>
      <w:r>
        <w:rPr>
          <w:b w:val="false"/>
          <w:bCs w:val="false"/>
          <w:i w:val="false"/>
          <w:iCs w:val="false"/>
          <w:color w:val="1A1A1A"/>
          <w:sz w:val="24"/>
          <w:szCs w:val="24"/>
        </w:rPr>
        <w:t xml:space="preserve">Worth stating plainly, because it is the largest single unknown in the register and it is not a finding yet.</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Staffing ratios.</w:t>
      </w:r>
      <w:r>
        <w:rPr>
          <w:b w:val="false"/>
          <w:bCs w:val="false"/>
          <w:i w:val="false"/>
          <w:iCs w:val="false"/>
          <w:color w:val="1A1A1A"/>
          <w:sz w:val="24"/>
          <w:szCs w:val="24"/>
        </w:rPr>
        <w:t xml:space="preserve"> OO 1321 states 1:10 waking and 1:30 sleeping. 115.313(c) has required 1:8 and 1:16 since 10/01/2017. 15 CCR 1321(h)(1) sets the state floor at 1:10 and 1:30, and 15 CCR 1301 permits exceeding it.</w:t>
      </w:r>
    </w:p>
    <w:p>
      <w:pPr>
        <w:pStyle w:val="ListParagraph"/>
        <w:numPr>
          <w:ilvl w:val="0"/>
          <w:numId w:val="1"/>
        </w:numPr>
        <w:spacing w:after="110" w:line="272"/>
      </w:pPr>
      <w:r>
        <w:rPr>
          <w:b w:val="false"/>
          <w:bCs w:val="false"/>
          <w:i w:val="false"/>
          <w:iCs w:val="false"/>
          <w:color w:val="1A1A1A"/>
          <w:sz w:val="24"/>
          <w:szCs w:val="24"/>
        </w:rPr>
        <w:t xml:space="preserve">So the written ratio is lawful under state law and below the federal standard. </w:t>
      </w:r>
      <w:r>
        <w:rPr>
          <w:b/>
          <w:bCs/>
          <w:i w:val="false"/>
          <w:iCs w:val="false"/>
          <w:color w:val="1A1A1A"/>
          <w:sz w:val="24"/>
          <w:szCs w:val="24"/>
        </w:rPr>
        <w:t xml:space="preserve">Whether there is an actual gap depends on rosters, which have not been produced.</w:t>
      </w:r>
      <w:r>
        <w:rPr>
          <w:b w:val="false"/>
          <w:bCs w:val="false"/>
          <w:i w:val="false"/>
          <w:iCs w:val="false"/>
          <w:color w:val="1A1A1A"/>
          <w:sz w:val="24"/>
          <w:szCs w:val="24"/>
        </w:rPr>
        <w:t xml:space="preserve"> We may well be staffing above the written figure already, in which case the finding is a documentation problem rather than a staffing one. That is a materially different conversation and it is cheap to settle.</w:t>
      </w:r>
    </w:p>
    <w:p>
      <w:pPr>
        <w:pStyle w:val="ListParagraph"/>
        <w:numPr>
          <w:ilvl w:val="0"/>
          <w:numId w:val="1"/>
        </w:numPr>
        <w:spacing w:after="110" w:line="272"/>
      </w:pPr>
      <w:r>
        <w:rPr>
          <w:b w:val="false"/>
          <w:bCs w:val="false"/>
          <w:i w:val="false"/>
          <w:iCs w:val="false"/>
          <w:color w:val="1A1A1A"/>
          <w:sz w:val="24"/>
          <w:szCs w:val="24"/>
        </w:rPr>
        <w:t xml:space="preserve">Recommended change 9 is blocked until rosters and post assignments are produced. 115.313(a) also requires a documented staffing plan, which does not appear in the documents reviewed regardless of what the rosters show.</w:t>
      </w:r>
    </w:p>
    <w:p>
      <w:r>
        <w:br w:type="page"/>
      </w:r>
    </w:p>
    <w:p>
      <w:pPr>
        <w:pStyle w:val="Heading1"/>
      </w:pPr>
      <w:r>
        <w:t xml:space="preserve">How the liability actually runs</w:t>
      </w:r>
    </w:p>
    <w:p>
      <w:pPr>
        <w:spacing w:after="140" w:line="276"/>
      </w:pPr>
      <w:r>
        <w:rPr>
          <w:b w:val="false"/>
          <w:bCs w:val="false"/>
          <w:i w:val="false"/>
          <w:iCs w:val="false"/>
          <w:color w:val="1A1A1A"/>
          <w:sz w:val="24"/>
          <w:szCs w:val="24"/>
        </w:rPr>
        <w:t xml:space="preserve">Nine theories are set out in the exposure assessment. Four of them carry the weight, and none of them is a PREA claim.</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Section 1983, with Monell.</w:t>
      </w:r>
      <w:r>
        <w:rPr>
          <w:b w:val="false"/>
          <w:bCs w:val="false"/>
          <w:i w:val="false"/>
          <w:iCs w:val="false"/>
          <w:color w:val="1A1A1A"/>
          <w:sz w:val="24"/>
          <w:szCs w:val="24"/>
        </w:rPr>
        <w:t xml:space="preserve"> Counties are persons under 42 U.S.C. 1983, with no Eleventh Amendment immunity and no qualified immunity for the entity, Owen v. City of Independence, 445 U.S. 622. A written policy is the clearest form of the official policy Monell, 436 U.S. 658, requires. </w:t>
      </w:r>
      <w:r>
        <w:rPr>
          <w:b/>
          <w:bCs/>
          <w:i w:val="false"/>
          <w:iCs w:val="false"/>
          <w:color w:val="1A1A1A"/>
          <w:sz w:val="24"/>
          <w:szCs w:val="24"/>
        </w:rPr>
        <w:t xml:space="preserve">A conflict row is therefore not just a compliance defect. It is the element of the claim.</w:t>
      </w:r>
      <w:r>
        <w:rPr>
          <w:b w:val="false"/>
          <w:bCs w:val="false"/>
          <w:i w:val="false"/>
          <w:iCs w:val="false"/>
          <w:color w:val="1A1A1A"/>
          <w:sz w:val="24"/>
          <w:szCs w:val="24"/>
        </w:rPr>
        <w:t xml:space="preserve"/>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Failure to protect, on an objective standard.</w:t>
      </w:r>
      <w:r>
        <w:rPr>
          <w:b w:val="false"/>
          <w:bCs w:val="false"/>
          <w:i w:val="false"/>
          <w:iCs w:val="false"/>
          <w:color w:val="1A1A1A"/>
          <w:sz w:val="24"/>
          <w:szCs w:val="24"/>
        </w:rPr>
        <w:t xml:space="preserve"> Castro v. County of Los Angeles, 833 F.3d 1060 (9th Cir. 2016) (en banc) sets an objective standard for a pretrial detainee failure to protect claim, which is more readily met than the subjective test under Farmer v. Brennan, 511 U.S. 825. Kingsley v. Hendrickson, 576 U.S. 389 runs the same direction.</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Mandatory duty liability, Government Code 815.6.</w:t>
      </w:r>
      <w:r>
        <w:rPr>
          <w:b w:val="false"/>
          <w:bCs w:val="false"/>
          <w:i w:val="false"/>
          <w:iCs w:val="false"/>
          <w:color w:val="1A1A1A"/>
          <w:sz w:val="24"/>
          <w:szCs w:val="24"/>
        </w:rPr>
        <w:t xml:space="preserve"> Liability attaches where an enactment imposes a mandatory duty, and enactment includes a regulation under Government Code 810.6. </w:t>
      </w:r>
      <w:r>
        <w:rPr>
          <w:b/>
          <w:bCs/>
          <w:i w:val="false"/>
          <w:iCs w:val="false"/>
          <w:color w:val="1A1A1A"/>
          <w:sz w:val="24"/>
          <w:szCs w:val="24"/>
        </w:rPr>
        <w:t xml:space="preserve">Title 15 is a regulation.</w:t>
      </w:r>
      <w:r>
        <w:rPr>
          <w:b w:val="false"/>
          <w:bCs w:val="false"/>
          <w:i w:val="false"/>
          <w:iCs w:val="false"/>
          <w:color w:val="1A1A1A"/>
          <w:sz w:val="24"/>
          <w:szCs w:val="24"/>
        </w:rPr>
        <w:t xml:space="preserve"> That is the route by which a BSCC standard becomes a damages claim rather than an inspection finding. Government Code 818.2 is the County's defense and it does not cover everything.</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No deadline, and no claim filing requirement.</w:t>
      </w:r>
      <w:r>
        <w:rPr>
          <w:b w:val="false"/>
          <w:bCs w:val="false"/>
          <w:i w:val="false"/>
          <w:iCs w:val="false"/>
          <w:color w:val="1A1A1A"/>
          <w:sz w:val="24"/>
          <w:szCs w:val="24"/>
        </w:rPr>
        <w:t xml:space="preserve"> AB 452 eliminated the limitations period for childhood sexual assault occurring on or after 01/01/2024, CCP 340.1. For earlier incidents CCP 352 tolls during minority. Government Code 905(m) exempts these claims from the Government Claims Act presentation requirement, so the usual six month notice is not a filter. CCP 340.1 provides treble damages where there is a cover up.</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And the state side, which arrives sooner.</w:t>
      </w:r>
      <w:r>
        <w:rPr>
          <w:b w:val="false"/>
          <w:bCs w:val="false"/>
          <w:i w:val="false"/>
          <w:iCs w:val="false"/>
          <w:color w:val="1A1A1A"/>
          <w:sz w:val="24"/>
          <w:szCs w:val="24"/>
        </w:rPr>
        <w:t xml:space="preserve"> WIC 209 requires a BSCC inspection every two years. Title 15 embeds PREA content at 1324(n), 1350.5, 1352(e) and (f), 1352.5, 1353(c), 1360(g), 1361(h), 1452 and 1453. Several of the thirteen conflicts are findable on the face of the policy manual without any incident at all.</w:t>
      </w:r>
    </w:p>
    <w:p>
      <w:r>
        <w:br w:type="page"/>
      </w:r>
    </w:p>
    <w:p>
      <w:pPr>
        <w:pStyle w:val="Heading1"/>
      </w:pPr>
      <w:r>
        <w:t xml:space="preserve">What the department is already doing right</w:t>
      </w:r>
    </w:p>
    <w:p>
      <w:pPr>
        <w:spacing w:after="140" w:line="276"/>
      </w:pPr>
      <w:r>
        <w:rPr>
          <w:b w:val="false"/>
          <w:bCs w:val="false"/>
          <w:i w:val="false"/>
          <w:iCs w:val="false"/>
          <w:color w:val="1A1A1A"/>
          <w:sz w:val="24"/>
          <w:szCs w:val="24"/>
        </w:rPr>
        <w:t xml:space="preserve">This matters for two reasons. It is true, and a brief that only lists failures gets discounted. Several of these are stronger than the standard requires.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6EFE6" w:color="auto" w:val="clear"/>
            <w:tcMar>
              <w:top w:type="dxa" w:w="60"/>
              <w:left w:type="dxa" w:w="100"/>
              <w:bottom w:type="dxa" w:w="60"/>
              <w:right w:type="dxa" w:w="100"/>
            </w:tcMar>
          </w:tcPr>
          <w:p>
            <w:pPr>
              <w:pStyle w:val="ListParagraph"/>
              <w:numPr>
                <w:ilvl w:val="0"/>
                <w:numId w:val="1"/>
              </w:numPr>
              <w:spacing w:after="80" w:before="60" w:line="268"/>
            </w:pPr>
            <w:r>
              <w:rPr>
                <w:b w:val="false"/>
                <w:bCs w:val="false"/>
                <w:i w:val="false"/>
                <w:iCs w:val="false"/>
                <w:color w:val="1A1A1A"/>
                <w:sz w:val="24"/>
                <w:szCs w:val="24"/>
              </w:rPr>
              <w:t xml:space="preserve"/>
            </w:r>
            <w:r>
              <w:rPr>
                <w:b/>
                <w:bCs/>
                <w:i w:val="false"/>
                <w:iCs w:val="false"/>
                <w:color w:val="1A1A1A"/>
                <w:sz w:val="24"/>
                <w:szCs w:val="24"/>
              </w:rPr>
              <w:t xml:space="preserve">OO 1352.5 on transgender and intersex youth is comprehensive</w:t>
            </w:r>
            <w:r>
              <w:rPr>
                <w:b w:val="false"/>
                <w:bCs w:val="false"/>
                <w:i w:val="false"/>
                <w:iCs w:val="false"/>
                <w:color w:val="1A1A1A"/>
                <w:sz w:val="24"/>
                <w:szCs w:val="24"/>
              </w:rPr>
              <w:t xml:space="preserve">, and its monthly reassessment exceeds the twice yearly federal minimum. The categorical housing provision is the defect; the rest of the order is not.</w:t>
            </w:r>
          </w:p>
          <w:p>
            <w:pPr>
              <w:pStyle w:val="ListParagraph"/>
              <w:numPr>
                <w:ilvl w:val="0"/>
                <w:numId w:val="1"/>
              </w:numPr>
              <w:spacing w:after="80" w:before="60" w:line="268"/>
            </w:pPr>
            <w:r>
              <w:rPr>
                <w:b w:val="false"/>
                <w:bCs w:val="false"/>
                <w:i w:val="false"/>
                <w:iCs w:val="false"/>
                <w:color w:val="1A1A1A"/>
                <w:sz w:val="24"/>
                <w:szCs w:val="24"/>
              </w:rPr>
              <w:t xml:space="preserve"/>
            </w:r>
            <w:r>
              <w:rPr>
                <w:b/>
                <w:bCs/>
                <w:i w:val="false"/>
                <w:iCs w:val="false"/>
                <w:color w:val="1A1A1A"/>
                <w:sz w:val="24"/>
                <w:szCs w:val="24"/>
              </w:rPr>
              <w:t xml:space="preserve">OO 1354.5 on room confinement is the newest policy in the set by nearly three years and it shows.</w:t>
            </w:r>
            <w:r>
              <w:rPr>
                <w:b w:val="false"/>
                <w:bCs w:val="false"/>
                <w:i w:val="false"/>
                <w:iCs w:val="false"/>
                <w:color w:val="1A1A1A"/>
                <w:sz w:val="24"/>
                <w:szCs w:val="24"/>
              </w:rPr>
              <w:t xml:space="preserve"> It supplies the four hour review cycle, documented supervisor and manager authorization, and the prohibition on punitive confinement. Earlier revisions of this review scored the WIC 208.3 interaction as unaddressed and that was wrong.</w:t>
            </w:r>
          </w:p>
          <w:p>
            <w:pPr>
              <w:pStyle w:val="ListParagraph"/>
              <w:numPr>
                <w:ilvl w:val="0"/>
                <w:numId w:val="1"/>
              </w:numPr>
              <w:spacing w:after="80" w:before="60" w:line="268"/>
            </w:pPr>
            <w:r>
              <w:rPr>
                <w:b w:val="false"/>
                <w:bCs w:val="false"/>
                <w:i w:val="false"/>
                <w:iCs w:val="false"/>
                <w:color w:val="1A1A1A"/>
                <w:sz w:val="24"/>
                <w:szCs w:val="24"/>
              </w:rPr>
              <w:t xml:space="preserve"/>
            </w:r>
            <w:r>
              <w:rPr>
                <w:b/>
                <w:bCs/>
                <w:i w:val="false"/>
                <w:iCs w:val="false"/>
                <w:color w:val="1A1A1A"/>
                <w:sz w:val="24"/>
                <w:szCs w:val="24"/>
              </w:rPr>
              <w:t xml:space="preserve">Isolation is not available as a disciplinary sanction here.</w:t>
            </w:r>
            <w:r>
              <w:rPr>
                <w:b w:val="false"/>
                <w:bCs w:val="false"/>
                <w:i w:val="false"/>
                <w:iCs w:val="false"/>
                <w:color w:val="1A1A1A"/>
                <w:sz w:val="24"/>
                <w:szCs w:val="24"/>
              </w:rPr>
              <w:t xml:space="preserve"> OO 1390/1391 III omits it from the consequences list and OO 1354.5 I.C.1 prohibits confinement for punishment. The department has excluded it outright, which is a stronger position than complying with the isolation safeguards would be. This is worth saying out loud rather than leaving to inference.</w:t>
            </w:r>
          </w:p>
          <w:p>
            <w:pPr>
              <w:pStyle w:val="ListParagraph"/>
              <w:numPr>
                <w:ilvl w:val="0"/>
                <w:numId w:val="1"/>
              </w:numPr>
              <w:spacing w:after="80" w:before="60" w:line="268"/>
            </w:pPr>
            <w:r>
              <w:rPr>
                <w:b w:val="false"/>
                <w:bCs w:val="false"/>
                <w:i w:val="false"/>
                <w:iCs w:val="false"/>
                <w:color w:val="1A1A1A"/>
                <w:sz w:val="24"/>
                <w:szCs w:val="24"/>
              </w:rPr>
              <w:t xml:space="preserve"/>
            </w:r>
            <w:r>
              <w:rPr>
                <w:b/>
                <w:bCs/>
                <w:i w:val="false"/>
                <w:iCs w:val="false"/>
                <w:color w:val="1A1A1A"/>
                <w:sz w:val="24"/>
                <w:szCs w:val="24"/>
              </w:rPr>
              <w:t xml:space="preserve">OO 1453 is a coordinated response plan in all but name</w:t>
            </w:r>
            <w:r>
              <w:rPr>
                <w:b w:val="false"/>
                <w:bCs w:val="false"/>
                <w:i w:val="false"/>
                <w:iCs w:val="false"/>
                <w:color w:val="1A1A1A"/>
                <w:sz w:val="24"/>
                <w:szCs w:val="24"/>
              </w:rPr>
              <w:t xml:space="preserve"> for the serious band: first response, notification, evidence preservation, the forensic exam, the advocate right, the incident review. Earlier revisions scored 115.364 and 115.365 as gaps and that was wrong too. The problem with the order is scope, not quality.</w:t>
            </w:r>
          </w:p>
          <w:p>
            <w:pPr>
              <w:pStyle w:val="ListParagraph"/>
              <w:numPr>
                <w:ilvl w:val="0"/>
                <w:numId w:val="1"/>
              </w:numPr>
              <w:spacing w:after="80" w:before="60" w:line="268"/>
            </w:pPr>
            <w:r>
              <w:rPr>
                <w:b w:val="false"/>
                <w:bCs w:val="false"/>
                <w:i w:val="false"/>
                <w:iCs w:val="false"/>
                <w:color w:val="1A1A1A"/>
                <w:sz w:val="24"/>
                <w:szCs w:val="24"/>
              </w:rPr>
              <w:t xml:space="preserve"/>
            </w:r>
            <w:r>
              <w:rPr>
                <w:b/>
                <w:bCs/>
                <w:i w:val="false"/>
                <w:iCs w:val="false"/>
                <w:color w:val="1A1A1A"/>
                <w:sz w:val="24"/>
                <w:szCs w:val="24"/>
              </w:rPr>
              <w:t xml:space="preserve">The register's own citations to departmental orders have held up.</w:t>
            </w:r>
            <w:r>
              <w:rPr>
                <w:b w:val="false"/>
                <w:bCs w:val="false"/>
                <w:i w:val="false"/>
                <w:iCs w:val="false"/>
                <w:color w:val="1A1A1A"/>
                <w:sz w:val="24"/>
                <w:szCs w:val="24"/>
              </w:rPr>
              <w:t xml:space="preserve"> Each time an order has been produced and read in full, OO 1352 and then OO 1453, every section number the earlier review recorded was confirmed verbatim. That is worth knowing about the reliability of the rest of it.</w:t>
            </w:r>
          </w:p>
        </w:tc>
      </w:tr>
    </w:tbl>
    <w:p>
      <w:r>
        <w:br w:type="page"/>
      </w:r>
    </w:p>
    <w:p>
      <w:pPr>
        <w:pStyle w:val="Heading1"/>
      </w:pPr>
      <w:r>
        <w:t xml:space="preserve">What it takes to fix, in three waves</w:t>
      </w:r>
    </w:p>
    <w:p>
      <w:pPr>
        <w:spacing w:after="140" w:line="276"/>
      </w:pPr>
      <w:r>
        <w:rPr>
          <w:b w:val="false"/>
          <w:bCs w:val="false"/>
          <w:i w:val="false"/>
          <w:iCs w:val="false"/>
          <w:color w:val="1A1A1A"/>
          <w:sz w:val="24"/>
          <w:szCs w:val="24"/>
        </w:rPr>
        <w:t xml:space="preserve">Fifteen recommended changes. They are not equivalent, and sequencing them wrongly wastes a revision cycle.</w:t>
      </w:r>
    </w:p>
    <w:p>
      <w:pPr>
        <w:pStyle w:val="Heading2"/>
      </w:pPr>
      <w:r>
        <w:t xml:space="preserve">Wave 1. Amend now. Drafted and ready to review.</w:t>
      </w:r>
    </w:p>
    <w:p>
      <w:pPr>
        <w:spacing w:after="140" w:line="276"/>
      </w:pPr>
      <w:r>
        <w:rPr>
          <w:b w:val="false"/>
          <w:bCs w:val="false"/>
          <w:i w:val="false"/>
          <w:iCs w:val="false"/>
          <w:color w:val="1A1A1A"/>
          <w:sz w:val="24"/>
          <w:szCs w:val="24"/>
        </w:rPr>
        <w:t xml:space="preserve">Changes 1 to 7. Redlines exist for all seven, with the amended text written out and an authority line for each. Three of the orders they amend have not been produced to this review, so for those the struck text is a reconstruction of what the register describes rather than a quotation, and every item says so on its face.</w:t>
      </w:r>
    </w:p>
    <w:p>
      <w:pPr>
        <w:pStyle w:val="ListParagraph"/>
        <w:numPr>
          <w:ilvl w:val="0"/>
          <w:numId w:val="1"/>
        </w:numPr>
        <w:spacing w:after="110" w:line="272"/>
      </w:pPr>
      <w:r>
        <w:rPr>
          <w:b w:val="false"/>
          <w:bCs w:val="false"/>
          <w:i w:val="false"/>
          <w:iCs w:val="false"/>
          <w:color w:val="1A1A1A"/>
          <w:sz w:val="24"/>
          <w:szCs w:val="24"/>
        </w:rPr>
        <w:t xml:space="preserve">1. Rescind the S-8 single room mandate, OO 1352 II.M and III.I</w:t>
      </w:r>
    </w:p>
    <w:p>
      <w:pPr>
        <w:pStyle w:val="ListParagraph"/>
        <w:numPr>
          <w:ilvl w:val="0"/>
          <w:numId w:val="1"/>
        </w:numPr>
        <w:spacing w:after="110" w:line="272"/>
      </w:pPr>
      <w:r>
        <w:rPr>
          <w:b w:val="false"/>
          <w:bCs w:val="false"/>
          <w:i w:val="false"/>
          <w:iCs w:val="false"/>
          <w:color w:val="1A1A1A"/>
          <w:sz w:val="24"/>
          <w:szCs w:val="24"/>
        </w:rPr>
        <w:t xml:space="preserve">2. Convert OO 1352.5 III.I to a presumptive, documented individualized outcome</w:t>
      </w:r>
    </w:p>
    <w:p>
      <w:pPr>
        <w:pStyle w:val="ListParagraph"/>
        <w:numPr>
          <w:ilvl w:val="0"/>
          <w:numId w:val="1"/>
        </w:numPr>
        <w:spacing w:after="110" w:line="272"/>
      </w:pPr>
      <w:r>
        <w:rPr>
          <w:b w:val="false"/>
          <w:bCs w:val="false"/>
          <w:i w:val="false"/>
          <w:iCs w:val="false"/>
          <w:color w:val="1A1A1A"/>
          <w:sz w:val="24"/>
          <w:szCs w:val="24"/>
        </w:rPr>
        <w:t xml:space="preserve">3. Correct the mandated reporting standard, PREA Policy V.A.4 and OO 1453 I.A.9</w:t>
      </w:r>
    </w:p>
    <w:p>
      <w:pPr>
        <w:pStyle w:val="ListParagraph"/>
        <w:numPr>
          <w:ilvl w:val="0"/>
          <w:numId w:val="1"/>
        </w:numPr>
        <w:spacing w:after="110" w:line="272"/>
      </w:pPr>
      <w:r>
        <w:rPr>
          <w:b w:val="false"/>
          <w:bCs w:val="false"/>
          <w:i w:val="false"/>
          <w:iCs w:val="false"/>
          <w:color w:val="1A1A1A"/>
          <w:sz w:val="24"/>
          <w:szCs w:val="24"/>
        </w:rPr>
        <w:t xml:space="preserve">4. Correct cross facility notification from 14 days to 72 hours, PREA Policy V.A.7</w:t>
      </w:r>
    </w:p>
    <w:p>
      <w:pPr>
        <w:pStyle w:val="ListParagraph"/>
        <w:numPr>
          <w:ilvl w:val="0"/>
          <w:numId w:val="1"/>
        </w:numPr>
        <w:spacing w:after="110" w:line="272"/>
      </w:pPr>
      <w:r>
        <w:rPr>
          <w:b w:val="false"/>
          <w:bCs w:val="false"/>
          <w:i w:val="false"/>
          <w:iCs w:val="false"/>
          <w:color w:val="1A1A1A"/>
          <w:sz w:val="24"/>
          <w:szCs w:val="24"/>
        </w:rPr>
        <w:t xml:space="preserve">5. Rewrite the false allegations provision to a bad faith standard, PREA Policy XIV.A</w:t>
      </w:r>
    </w:p>
    <w:p>
      <w:pPr>
        <w:pStyle w:val="ListParagraph"/>
        <w:numPr>
          <w:ilvl w:val="0"/>
          <w:numId w:val="1"/>
        </w:numPr>
        <w:spacing w:after="110" w:line="272"/>
      </w:pPr>
      <w:r>
        <w:rPr>
          <w:b w:val="false"/>
          <w:bCs w:val="false"/>
          <w:i w:val="false"/>
          <w:iCs w:val="false"/>
          <w:color w:val="1A1A1A"/>
          <w:sz w:val="24"/>
          <w:szCs w:val="24"/>
        </w:rPr>
        <w:t xml:space="preserve">6. Delete the S-4 victim to perpetrator inference, split the code, add PC 287 and 289</w:t>
      </w:r>
    </w:p>
    <w:p>
      <w:pPr>
        <w:pStyle w:val="ListParagraph"/>
        <w:numPr>
          <w:ilvl w:val="0"/>
          <w:numId w:val="1"/>
        </w:numPr>
        <w:spacing w:after="110" w:line="272"/>
      </w:pPr>
      <w:r>
        <w:rPr>
          <w:b w:val="false"/>
          <w:bCs w:val="false"/>
          <w:i w:val="false"/>
          <w:iCs w:val="false"/>
          <w:color w:val="1A1A1A"/>
          <w:sz w:val="24"/>
          <w:szCs w:val="24"/>
        </w:rPr>
        <w:t xml:space="preserve">7. Adopt a single reconciled records retention schedule</w:t>
      </w:r>
    </w:p>
    <w:p>
      <w:pPr>
        <w:pStyle w:val="Heading2"/>
      </w:pPr>
      <w:r>
        <w:t xml:space="preserve">Wave 2. Needs a decision from this room, not more analysis.</w:t>
      </w:r>
    </w:p>
    <w:p>
      <w:pPr>
        <w:spacing w:after="140" w:line="276"/>
      </w:pPr>
      <w:r>
        <w:rPr>
          <w:b w:val="false"/>
          <w:bCs w:val="false"/>
          <w:i w:val="false"/>
          <w:iCs w:val="false"/>
          <w:color w:val="1A1A1A"/>
          <w:sz w:val="24"/>
          <w:szCs w:val="24"/>
        </w:rPr>
        <w:t xml:space="preserve">These are blocked on a designation, an allocation, or a document we have asked for and not received. No further review will unblock any of them.</w:t>
      </w:r>
    </w:p>
    <w:p>
      <w:pPr>
        <w:pStyle w:val="ListParagraph"/>
        <w:numPr>
          <w:ilvl w:val="0"/>
          <w:numId w:val="1"/>
        </w:numPr>
        <w:spacing w:after="110" w:line="272"/>
      </w:pPr>
      <w:r>
        <w:rPr>
          <w:b w:val="false"/>
          <w:bCs w:val="false"/>
          <w:i w:val="false"/>
          <w:iCs w:val="false"/>
          <w:color w:val="1A1A1A"/>
          <w:sz w:val="24"/>
          <w:szCs w:val="24"/>
        </w:rPr>
        <w:t xml:space="preserve">8. Designate a PREA Coordinator and a facility compliance manager</w:t>
      </w:r>
    </w:p>
    <w:p>
      <w:pPr>
        <w:pStyle w:val="ListParagraph"/>
        <w:numPr>
          <w:ilvl w:val="0"/>
          <w:numId w:val="1"/>
        </w:numPr>
        <w:spacing w:after="110" w:line="272"/>
      </w:pPr>
      <w:r>
        <w:rPr>
          <w:b w:val="false"/>
          <w:bCs w:val="false"/>
          <w:i w:val="false"/>
          <w:iCs w:val="false"/>
          <w:color w:val="1A1A1A"/>
          <w:sz w:val="24"/>
          <w:szCs w:val="24"/>
        </w:rPr>
        <w:t xml:space="preserve">9. Verify staffing against 1:8 and 1:16 and build the 115.313(a) staffing plan, blocked on rosters</w:t>
      </w:r>
    </w:p>
    <w:p>
      <w:pPr>
        <w:pStyle w:val="ListParagraph"/>
        <w:numPr>
          <w:ilvl w:val="0"/>
          <w:numId w:val="1"/>
        </w:numPr>
        <w:spacing w:after="110" w:line="272"/>
      </w:pPr>
      <w:r>
        <w:rPr>
          <w:b w:val="false"/>
          <w:bCs w:val="false"/>
          <w:i w:val="false"/>
          <w:iCs w:val="false"/>
          <w:color w:val="1A1A1A"/>
          <w:sz w:val="24"/>
          <w:szCs w:val="24"/>
        </w:rPr>
        <w:t xml:space="preserve">15. Reduce hiring, contractor screening and staff reporting to writing, blocked on whether a child abuse registry check occurs</w:t>
      </w:r>
    </w:p>
    <w:p>
      <w:pPr>
        <w:pStyle w:val="ListParagraph"/>
        <w:numPr>
          <w:ilvl w:val="0"/>
          <w:numId w:val="1"/>
        </w:numPr>
        <w:spacing w:after="110" w:line="272"/>
      </w:pPr>
      <w:r>
        <w:rPr>
          <w:b w:val="false"/>
          <w:bCs w:val="false"/>
          <w:i w:val="false"/>
          <w:iCs w:val="false"/>
          <w:color w:val="1A1A1A"/>
          <w:sz w:val="24"/>
          <w:szCs w:val="24"/>
        </w:rPr>
        <w:t xml:space="preserve">Produce OO 1354 on separation. It is the highest value outstanding document: OO 1354.5 defines separation to include protective custody and then regulates only room confinement, so the placement 115.342(b) and 115.368 actually govern is the one with the fewest written safeguards.</w:t>
      </w:r>
    </w:p>
    <w:p>
      <w:r>
        <w:br w:type="page"/>
      </w:r>
    </w:p>
    <w:p>
      <w:pPr>
        <w:pStyle w:val="Heading2"/>
      </w:pPr>
      <w:r>
        <w:t xml:space="preserve">Wave 3. Build. Real work, and it follows waves 1 and 2.</w:t>
      </w:r>
    </w:p>
    <w:p>
      <w:pPr>
        <w:spacing w:after="140" w:line="276"/>
      </w:pPr>
      <w:r>
        <w:rPr>
          <w:b w:val="false"/>
          <w:bCs w:val="false"/>
          <w:i w:val="false"/>
          <w:iCs w:val="false"/>
          <w:color w:val="1A1A1A"/>
          <w:sz w:val="24"/>
          <w:szCs w:val="24"/>
        </w:rPr>
        <w:t xml:space="preserve">Drafting projects rather than amendments. Each needs an owner and a date.</w:t>
      </w:r>
    </w:p>
    <w:p>
      <w:pPr>
        <w:pStyle w:val="ListParagraph"/>
        <w:numPr>
          <w:ilvl w:val="0"/>
          <w:numId w:val="1"/>
        </w:numPr>
        <w:spacing w:after="110" w:line="272"/>
      </w:pPr>
      <w:r>
        <w:rPr>
          <w:b w:val="false"/>
          <w:bCs w:val="false"/>
          <w:i w:val="false"/>
          <w:iCs w:val="false"/>
          <w:color w:val="1A1A1A"/>
          <w:sz w:val="24"/>
          <w:szCs w:val="24"/>
        </w:rPr>
        <w:t xml:space="preserve">10. Rebuild the PREA elements of OO 1361 on grievances: emergency track, external reporting, third party filing, private staff reporting, extension outer bound</w:t>
      </w:r>
    </w:p>
    <w:p>
      <w:pPr>
        <w:pStyle w:val="ListParagraph"/>
        <w:numPr>
          <w:ilvl w:val="0"/>
          <w:numId w:val="1"/>
        </w:numPr>
        <w:spacing w:after="110" w:line="272"/>
      </w:pPr>
      <w:r>
        <w:rPr>
          <w:b w:val="false"/>
          <w:bCs w:val="false"/>
          <w:i w:val="false"/>
          <w:iCs w:val="false"/>
          <w:color w:val="1A1A1A"/>
          <w:sz w:val="24"/>
          <w:szCs w:val="24"/>
        </w:rPr>
        <w:t xml:space="preserve">11. Add the data analysis and corrective action loop, 115.387 and 115.388</w:t>
      </w:r>
    </w:p>
    <w:p>
      <w:pPr>
        <w:pStyle w:val="ListParagraph"/>
        <w:numPr>
          <w:ilvl w:val="0"/>
          <w:numId w:val="1"/>
        </w:numPr>
        <w:spacing w:after="110" w:line="272"/>
      </w:pPr>
      <w:r>
        <w:rPr>
          <w:b w:val="false"/>
          <w:bCs w:val="false"/>
          <w:i w:val="false"/>
          <w:iCs w:val="false"/>
          <w:color w:val="1A1A1A"/>
          <w:sz w:val="24"/>
          <w:szCs w:val="24"/>
        </w:rPr>
        <w:t xml:space="preserve">12. Complete the incident review and broaden OO 1453, 115.364(b), 115.365, 115.386</w:t>
      </w:r>
    </w:p>
    <w:p>
      <w:pPr>
        <w:pStyle w:val="ListParagraph"/>
        <w:numPr>
          <w:ilvl w:val="0"/>
          <w:numId w:val="1"/>
        </w:numPr>
        <w:spacing w:after="110" w:line="272"/>
      </w:pPr>
      <w:r>
        <w:rPr>
          <w:b w:val="false"/>
          <w:bCs w:val="false"/>
          <w:i w:val="false"/>
          <w:iCs w:val="false"/>
          <w:color w:val="1A1A1A"/>
          <w:sz w:val="24"/>
          <w:szCs w:val="24"/>
        </w:rPr>
        <w:t xml:space="preserve">13. Add retaliation monitoring, 115.367</w:t>
      </w:r>
    </w:p>
    <w:p>
      <w:pPr>
        <w:pStyle w:val="ListParagraph"/>
        <w:numPr>
          <w:ilvl w:val="0"/>
          <w:numId w:val="1"/>
        </w:numPr>
        <w:spacing w:after="110" w:line="272"/>
      </w:pPr>
      <w:r>
        <w:rPr>
          <w:b w:val="false"/>
          <w:bCs w:val="false"/>
          <w:i w:val="false"/>
          <w:iCs w:val="false"/>
          <w:color w:val="1A1A1A"/>
          <w:sz w:val="24"/>
          <w:szCs w:val="24"/>
        </w:rPr>
        <w:t xml:space="preserve">14. Add notification duties: family, counsel, and outcome to the resident, 115.361(e) and 115.373</w:t>
      </w:r>
    </w:p>
    <w:p>
      <w:pPr>
        <w:pStyle w:val="ListParagraph"/>
        <w:numPr>
          <w:ilvl w:val="0"/>
          <w:numId w:val="1"/>
        </w:numPr>
        <w:spacing w:after="110" w:line="272"/>
      </w:pPr>
      <w:r>
        <w:rPr>
          <w:b w:val="false"/>
          <w:bCs w:val="false"/>
          <w:i w:val="false"/>
          <w:iCs w:val="false"/>
          <w:color w:val="1A1A1A"/>
          <w:sz w:val="24"/>
          <w:szCs w:val="24"/>
        </w:rPr>
        <w:t xml:space="preserve">A new department wide General Order on child abuse and neglect reporting, which is stage two of change 3</w:t>
      </w:r>
    </w:p>
    <w:p>
      <w:pPr>
        <w:pStyle w:val="ListParagraph"/>
        <w:numPr>
          <w:ilvl w:val="0"/>
          <w:numId w:val="1"/>
        </w:numPr>
        <w:spacing w:after="110" w:line="272"/>
      </w:pPr>
      <w:r>
        <w:rPr>
          <w:b w:val="false"/>
          <w:bCs w:val="false"/>
          <w:i w:val="false"/>
          <w:iCs w:val="false"/>
          <w:color w:val="1A1A1A"/>
          <w:sz w:val="24"/>
          <w:szCs w:val="24"/>
        </w:rPr>
        <w:t xml:space="preserve">Rewrite the PREA Policy to Subpart D order, so each provision maps to what an auditor scores</w:t>
      </w:r>
    </w:p>
    <w:p>
      <w:pPr>
        <w:pStyle w:val="ListParagraph"/>
        <w:numPr>
          <w:ilvl w:val="0"/>
          <w:numId w:val="1"/>
        </w:numPr>
        <w:spacing w:after="110" w:line="272"/>
      </w:pPr>
      <w:r>
        <w:rPr>
          <w:b w:val="false"/>
          <w:bCs w:val="false"/>
          <w:i w:val="false"/>
          <w:iCs w:val="false"/>
          <w:color w:val="1A1A1A"/>
          <w:sz w:val="24"/>
          <w:szCs w:val="24"/>
        </w:rPr>
        <w:t xml:space="preserve">Tier 1 all staff and supervisor lesson plans</w:t>
      </w:r>
    </w:p>
    <w:p>
      <w:r>
        <w:br w:type="page"/>
      </w:r>
    </w:p>
    <w:p>
      <w:pPr>
        <w:pStyle w:val="Heading1"/>
      </w:pPr>
      <w:r>
        <w:t xml:space="preserve">What I need from you</w:t>
      </w:r>
    </w:p>
    <w:p>
      <w:pPr>
        <w:spacing w:after="140" w:line="276"/>
      </w:pPr>
      <w:r>
        <w:rPr>
          <w:b w:val="false"/>
          <w:bCs w:val="false"/>
          <w:i w:val="false"/>
          <w:iCs w:val="false"/>
          <w:color w:val="1A1A1A"/>
          <w:sz w:val="24"/>
          <w:szCs w:val="24"/>
        </w:rPr>
        <w:t xml:space="preserve">These are the things that cannot move until somebody decides. Shortest first.</w:t>
      </w:r>
    </w:p>
    <w:p>
      <w:pPr>
        <w:spacing w:after="130" w:line="276"/>
      </w:pPr>
      <w:r>
        <w:rPr>
          <w:b/>
          <w:bCs/>
          <w:i w:val="false"/>
          <w:iCs w:val="false"/>
          <w:color w:val="1A1A1A"/>
          <w:sz w:val="24"/>
          <w:szCs w:val="24"/>
        </w:rPr>
        <w:t xml:space="preserve">1.  </w:t>
      </w:r>
      <w:r>
        <w:rPr>
          <w:b w:val="false"/>
          <w:bCs w:val="false"/>
          <w:i w:val="false"/>
          <w:iCs w:val="false"/>
          <w:color w:val="1A1A1A"/>
          <w:sz w:val="24"/>
          <w:szCs w:val="24"/>
        </w:rPr>
        <w:t xml:space="preserve"/>
      </w:r>
      <w:r>
        <w:rPr>
          <w:b/>
          <w:bCs/>
          <w:i w:val="false"/>
          <w:iCs w:val="false"/>
          <w:color w:val="1A1A1A"/>
          <w:sz w:val="24"/>
          <w:szCs w:val="24"/>
        </w:rPr>
        <w:t xml:space="preserve">Name a PREA Coordinator and a facility compliance manager.</w:t>
      </w:r>
      <w:r>
        <w:rPr>
          <w:b w:val="false"/>
          <w:bCs w:val="false"/>
          <w:i w:val="false"/>
          <w:iCs w:val="false"/>
          <w:color w:val="1A1A1A"/>
          <w:sz w:val="24"/>
          <w:szCs w:val="24"/>
        </w:rPr>
        <w:t xml:space="preserve"> Our own order already sends work to that position.</w:t>
      </w:r>
    </w:p>
    <w:p>
      <w:pPr>
        <w:spacing w:after="130" w:line="276"/>
      </w:pPr>
      <w:r>
        <w:rPr>
          <w:b/>
          <w:bCs/>
          <w:i w:val="false"/>
          <w:iCs w:val="false"/>
          <w:color w:val="1A1A1A"/>
          <w:sz w:val="24"/>
          <w:szCs w:val="24"/>
        </w:rPr>
        <w:t xml:space="preserve">2.  </w:t>
      </w:r>
      <w:r>
        <w:rPr>
          <w:b w:val="false"/>
          <w:bCs w:val="false"/>
          <w:i w:val="false"/>
          <w:iCs w:val="false"/>
          <w:color w:val="1A1A1A"/>
          <w:sz w:val="24"/>
          <w:szCs w:val="24"/>
        </w:rPr>
        <w:t xml:space="preserve"/>
      </w:r>
      <w:r>
        <w:rPr>
          <w:b/>
          <w:bCs/>
          <w:i w:val="false"/>
          <w:iCs w:val="false"/>
          <w:color w:val="1A1A1A"/>
          <w:sz w:val="24"/>
          <w:szCs w:val="24"/>
        </w:rPr>
        <w:t xml:space="preserve">Decide who investigates youth on youth cases</w:t>
      </w:r>
      <w:r>
        <w:rPr>
          <w:b w:val="false"/>
          <w:bCs w:val="false"/>
          <w:i w:val="false"/>
          <w:iCs w:val="false"/>
          <w:color w:val="1A1A1A"/>
          <w:sz w:val="24"/>
          <w:szCs w:val="24"/>
        </w:rPr>
        <w:t xml:space="preserve"> below the level of sexual assault. It is not written down anywhere.</w:t>
      </w:r>
    </w:p>
    <w:p>
      <w:pPr>
        <w:spacing w:after="130" w:line="276"/>
      </w:pPr>
      <w:r>
        <w:rPr>
          <w:b/>
          <w:bCs/>
          <w:i w:val="false"/>
          <w:iCs w:val="false"/>
          <w:color w:val="1A1A1A"/>
          <w:sz w:val="24"/>
          <w:szCs w:val="24"/>
        </w:rPr>
        <w:t xml:space="preserve">3.  </w:t>
      </w:r>
      <w:r>
        <w:rPr>
          <w:b w:val="false"/>
          <w:bCs w:val="false"/>
          <w:i w:val="false"/>
          <w:iCs w:val="false"/>
          <w:color w:val="1A1A1A"/>
          <w:sz w:val="24"/>
          <w:szCs w:val="24"/>
        </w:rPr>
        <w:t xml:space="preserve"/>
      </w:r>
      <w:r>
        <w:rPr>
          <w:b/>
          <w:bCs/>
          <w:i w:val="false"/>
          <w:iCs w:val="false"/>
          <w:color w:val="1A1A1A"/>
          <w:sz w:val="24"/>
          <w:szCs w:val="24"/>
        </w:rPr>
        <w:t xml:space="preserve">Send WIC 625.6(d) to County Counsel.</w:t>
      </w:r>
      <w:r>
        <w:rPr>
          <w:b w:val="false"/>
          <w:bCs w:val="false"/>
          <w:i w:val="false"/>
          <w:iCs w:val="false"/>
          <w:color w:val="1A1A1A"/>
          <w:sz w:val="24"/>
          <w:szCs w:val="24"/>
        </w:rPr>
        <w:t xml:space="preserve"> It decides whether the interrogation finding is a violation we are carrying or a good practice we should adopt anyway.</w:t>
      </w:r>
    </w:p>
    <w:p>
      <w:pPr>
        <w:spacing w:after="130" w:line="276"/>
      </w:pPr>
      <w:r>
        <w:rPr>
          <w:b/>
          <w:bCs/>
          <w:i w:val="false"/>
          <w:iCs w:val="false"/>
          <w:color w:val="1A1A1A"/>
          <w:sz w:val="24"/>
          <w:szCs w:val="24"/>
        </w:rPr>
        <w:t xml:space="preserve">4.  </w:t>
      </w:r>
      <w:r>
        <w:rPr>
          <w:b w:val="false"/>
          <w:bCs w:val="false"/>
          <w:i w:val="false"/>
          <w:iCs w:val="false"/>
          <w:color w:val="1A1A1A"/>
          <w:sz w:val="24"/>
          <w:szCs w:val="24"/>
        </w:rPr>
        <w:t xml:space="preserve"/>
      </w:r>
      <w:r>
        <w:rPr>
          <w:b/>
          <w:bCs/>
          <w:i w:val="false"/>
          <w:iCs w:val="false"/>
          <w:color w:val="1A1A1A"/>
          <w:sz w:val="24"/>
          <w:szCs w:val="24"/>
        </w:rPr>
        <w:t xml:space="preserve">Give us the rosters and post assignments.</w:t>
      </w:r>
      <w:r>
        <w:rPr>
          <w:b w:val="false"/>
          <w:bCs w:val="false"/>
          <w:i w:val="false"/>
          <w:iCs w:val="false"/>
          <w:color w:val="1A1A1A"/>
          <w:sz w:val="24"/>
          <w:szCs w:val="24"/>
        </w:rPr>
        <w:t xml:space="preserve"> They settle whether our staffing finding is a real gap or a paperwork gap.</w:t>
      </w:r>
    </w:p>
    <w:p>
      <w:pPr>
        <w:spacing w:after="130" w:line="276"/>
      </w:pPr>
      <w:r>
        <w:rPr>
          <w:b/>
          <w:bCs/>
          <w:i w:val="false"/>
          <w:iCs w:val="false"/>
          <w:color w:val="1A1A1A"/>
          <w:sz w:val="24"/>
          <w:szCs w:val="24"/>
        </w:rPr>
        <w:t xml:space="preserve">5.  </w:t>
      </w:r>
      <w:r>
        <w:rPr>
          <w:b w:val="false"/>
          <w:bCs w:val="false"/>
          <w:i w:val="false"/>
          <w:iCs w:val="false"/>
          <w:color w:val="1A1A1A"/>
          <w:sz w:val="24"/>
          <w:szCs w:val="24"/>
        </w:rPr>
        <w:t xml:space="preserve"/>
      </w:r>
      <w:r>
        <w:rPr>
          <w:b/>
          <w:bCs/>
          <w:i w:val="false"/>
          <w:iCs w:val="false"/>
          <w:color w:val="1A1A1A"/>
          <w:sz w:val="24"/>
          <w:szCs w:val="24"/>
        </w:rPr>
        <w:t xml:space="preserve">Produce five documents:</w:t>
      </w:r>
      <w:r>
        <w:rPr>
          <w:b w:val="false"/>
          <w:bCs w:val="false"/>
          <w:i w:val="false"/>
          <w:iCs w:val="false"/>
          <w:color w:val="1A1A1A"/>
          <w:sz w:val="24"/>
          <w:szCs w:val="24"/>
        </w:rPr>
        <w:t xml:space="preserve"> the PREA Policy itself, OO 1354 on separation, the resident handbook, the hiring procedure, and the contractor and volunteer screening procedure. Some findings close on handing the document over, with nothing else to fix. The PREA Policy matters most: three of the written amendments are aimed at it, and until we see it those three are written against our best reconstruction of what it says rather than its real words.</w:t>
      </w:r>
    </w:p>
    <w:p>
      <w:pPr>
        <w:spacing w:after="130" w:line="276"/>
      </w:pPr>
      <w:r>
        <w:rPr>
          <w:b/>
          <w:bCs/>
          <w:i w:val="false"/>
          <w:iCs w:val="false"/>
          <w:color w:val="1A1A1A"/>
          <w:sz w:val="24"/>
          <w:szCs w:val="24"/>
        </w:rPr>
        <w:t xml:space="preserve">6.  </w:t>
      </w:r>
      <w:r>
        <w:rPr>
          <w:b w:val="false"/>
          <w:bCs w:val="false"/>
          <w:i w:val="false"/>
          <w:iCs w:val="false"/>
          <w:color w:val="1A1A1A"/>
          <w:sz w:val="24"/>
          <w:szCs w:val="24"/>
        </w:rPr>
        <w:t xml:space="preserve"/>
      </w:r>
      <w:r>
        <w:rPr>
          <w:b/>
          <w:bCs/>
          <w:i w:val="false"/>
          <w:iCs w:val="false"/>
          <w:color w:val="1A1A1A"/>
          <w:sz w:val="24"/>
          <w:szCs w:val="24"/>
        </w:rPr>
        <w:t xml:space="preserve">Confirm whether the county has named Probation</w:t>
      </w:r>
      <w:r>
        <w:rPr>
          <w:b w:val="false"/>
          <w:bCs w:val="false"/>
          <w:i w:val="false"/>
          <w:iCs w:val="false"/>
          <w:color w:val="1A1A1A"/>
          <w:sz w:val="24"/>
          <w:szCs w:val="24"/>
        </w:rPr>
        <w:t xml:space="preserve"> as an agency that receives mandated child abuse reports. One paragraph of a drafted amendment depends on it.</w:t>
      </w:r>
    </w:p>
    <w:p>
      <w:pPr>
        <w:spacing w:after="130" w:line="276"/>
      </w:pPr>
      <w:r>
        <w:rPr>
          <w:b/>
          <w:bCs/>
          <w:i w:val="false"/>
          <w:iCs w:val="false"/>
          <w:color w:val="1A1A1A"/>
          <w:sz w:val="24"/>
          <w:szCs w:val="24"/>
        </w:rPr>
        <w:t xml:space="preserve">7.  </w:t>
      </w:r>
      <w:r>
        <w:rPr>
          <w:b w:val="false"/>
          <w:bCs w:val="false"/>
          <w:i w:val="false"/>
          <w:iCs w:val="false"/>
          <w:color w:val="1A1A1A"/>
          <w:sz w:val="24"/>
          <w:szCs w:val="24"/>
        </w:rPr>
        <w:t xml:space="preserve"/>
      </w:r>
      <w:r>
        <w:rPr>
          <w:b/>
          <w:bCs/>
          <w:i w:val="false"/>
          <w:iCs w:val="false"/>
          <w:color w:val="1A1A1A"/>
          <w:sz w:val="24"/>
          <w:szCs w:val="24"/>
        </w:rPr>
        <w:t xml:space="preserve">Put a name and a date against each of the 22 critical items.</w:t>
      </w:r>
      <w:r>
        <w:rPr>
          <w:b w:val="false"/>
          <w:bCs w:val="false"/>
          <w:i w:val="false"/>
          <w:iCs w:val="false"/>
          <w:color w:val="1A1A1A"/>
          <w:sz w:val="24"/>
          <w:szCs w:val="24"/>
        </w:rPr>
        <w:t xml:space="preserve"> The register has the columns and they are empty on purpose, because they are yours to fill.</w:t>
      </w:r>
    </w:p>
    <w:p>
      <w:pPr>
        <w:spacing w:after="130" w:line="276"/>
      </w:pPr>
      <w:r>
        <w:rPr>
          <w:b/>
          <w:bCs/>
          <w:i w:val="false"/>
          <w:iCs w:val="false"/>
          <w:color w:val="1A1A1A"/>
          <w:sz w:val="24"/>
          <w:szCs w:val="24"/>
        </w:rPr>
        <w:t xml:space="preserve">8.  </w:t>
      </w:r>
      <w:r>
        <w:rPr>
          <w:b w:val="false"/>
          <w:bCs w:val="false"/>
          <w:i w:val="false"/>
          <w:iCs w:val="false"/>
          <w:color w:val="1A1A1A"/>
          <w:sz w:val="24"/>
          <w:szCs w:val="24"/>
        </w:rPr>
        <w:t xml:space="preserve"/>
      </w:r>
      <w:r>
        <w:rPr>
          <w:b/>
          <w:bCs/>
          <w:i w:val="false"/>
          <w:iCs w:val="false"/>
          <w:color w:val="1A1A1A"/>
          <w:sz w:val="24"/>
          <w:szCs w:val="24"/>
        </w:rPr>
        <w:t xml:space="preserve">Approve rewriting the PREA Policy</w:t>
      </w:r>
      <w:r>
        <w:rPr>
          <w:b w:val="false"/>
          <w:bCs w:val="false"/>
          <w:i w:val="false"/>
          <w:iCs w:val="false"/>
          <w:color w:val="1A1A1A"/>
          <w:sz w:val="24"/>
          <w:szCs w:val="24"/>
        </w:rPr>
        <w:t xml:space="preserve"> instead of another round of patches, and put the two year review on a calendar.</w:t>
      </w:r>
    </w:p>
    <w:p>
      <w:pPr>
        <w:spacing w:after="2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8"/>
            </w:pPr>
            <w:r>
              <w:rPr>
                <w:b w:val="false"/>
                <w:bCs w:val="false"/>
                <w:i/>
                <w:iCs/>
                <w:color w:val="1A1A1A"/>
                <w:sz w:val="24"/>
                <w:szCs w:val="24"/>
              </w:rPr>
              <w:t xml:space="preserve">This brief is a policy and standards analysis prepared for internal use. It is not legal advice. Every statutory question in it, and the retention schedule in particular, routes to County Counsel before anything issues. Findings are stated against the documents produced to this review: where a practice is not in the documents, the finding says it does not appear in the documents reviewed, which is not the same as saying it is not done.</w:t>
            </w:r>
          </w:p>
        </w:tc>
      </w:tr>
    </w:tbl>
    <w:p>
      <w:pPr>
        <w:spacing w:before="200" w:line="264"/>
      </w:pPr>
      <w:r>
        <w:rPr>
          <w:b w:val="false"/>
          <w:bCs w:val="false"/>
          <w:i/>
          <w:iCs/>
          <w:color w:val="595959"/>
          <w:sz w:val="24"/>
          <w:szCs w:val="24"/>
        </w:rPr>
        <w:t xml:space="preserve">Generated document, drawn from gap register Revision 11. This copy is regenerated from source; edits made here are not carried forward.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PREA Compliance: Where We Stand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A1A1A"/>
      <w:sz w:val="34"/>
      <w:szCs w:val="34"/>
    </w:rPr>
  </w:style>
  <w:style w:type="paragraph" w:styleId="Heading2">
    <w:name w:val="Heading 2"/>
    <w:basedOn w:val="Normal"/>
    <w:next w:val="Normal"/>
    <w:qFormat/>
    <w:pPr>
      <w:spacing w:after="120" w:before="26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2026-10-30T17:39:56.916Z</dcterms:created>
  <dcterms:modified xsi:type="dcterms:W3CDTF">2026-10-30T17:39:56.916Z</dcterms:modified>
</cp:coreProperties>
</file>

<file path=docProps/custom.xml><?xml version="1.0" encoding="utf-8"?>
<Properties xmlns="http://schemas.openxmlformats.org/officeDocument/2006/custom-properties" xmlns:vt="http://schemas.openxmlformats.org/officeDocument/2006/docPropsVTypes"/>
</file>