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34"/>
          <w:szCs w:val="34"/>
        </w:rPr>
        <w:t xml:space="preserve">PREA Incident Classification Card</w:t>
      </w:r>
    </w:p>
    <w:p>
      <w:pPr>
        <w:spacing w:after="120"/>
      </w:pPr>
      <w:r>
        <w:rPr>
          <w:b w:val="false"/>
          <w:bCs w:val="false"/>
          <w:i w:val="false"/>
          <w:iCs w:val="false"/>
          <w:color w:val="595959"/>
          <w:sz w:val="24"/>
          <w:szCs w:val="24"/>
        </w:rPr>
        <w:t xml:space="preserve">One page. Five steps. Work them in order.</w:t>
      </w:r>
      <w:r>
        <w:rPr>
          <w:b w:val="false"/>
          <w:bCs w:val="false"/>
          <w:i w:val="false"/>
          <w:iCs w:val="false"/>
          <w:color w:val="595959"/>
          <w:sz w:val="24"/>
          <w:szCs w:val="24"/>
        </w:rPr>
        <w:t xml:space="preserve">   Sacramento County Probation Department, Youth Detention Facility.</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Ages first. Age decides the CPS answer before you even look at what happened. Everything else, who investigates and where you stop, is in the Decision Guide.</w:t>
            </w:r>
          </w:p>
        </w:tc>
      </w:tr>
    </w:tbl>
    <w:p>
      <w:pPr>
        <w:pStyle w:val="Heading1"/>
        <w:spacing w:after="100" w:before="200"/>
      </w:pPr>
      <w:r>
        <w:rPr>
          <w:b/>
          <w:bCs/>
          <w:i w:val="false"/>
          <w:iCs w:val="false"/>
          <w:color w:val="1A1A1A"/>
          <w:sz w:val="34"/>
          <w:szCs w:val="34"/>
        </w:rPr>
        <w:t xml:space="preserve">Step 1.  </w:t>
      </w:r>
      <w:r>
        <w:rPr>
          <w:b/>
          <w:bCs/>
          <w:i w:val="false"/>
          <w:iCs w:val="false"/>
          <w:color w:val="1A1A1A"/>
          <w:sz w:val="34"/>
          <w:szCs w:val="34"/>
        </w:rPr>
        <w:t xml:space="preserve">Ages first</w:t>
      </w:r>
    </w:p>
    <w:p>
      <w:pPr>
        <w:spacing w:after="90" w:line="252"/>
      </w:pPr>
      <w:r>
        <w:rPr>
          <w:b w:val="false"/>
          <w:bCs w:val="false"/>
          <w:i w:val="false"/>
          <w:iCs w:val="false"/>
          <w:color w:val="1A1A1A"/>
          <w:sz w:val="24"/>
          <w:szCs w:val="24"/>
        </w:rPr>
        <w:t xml:space="preserve">Settle this first. Anyone 18 or over is not a child for CANRA, whatever the court says.</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740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7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 </w:t>
            </w:r>
            <w:r>
              <w:rPr>
                <w:b/>
                <w:bCs/>
                <w:i w:val="false"/>
                <w:iCs w:val="false"/>
                <w:color w:val="1A1A1A"/>
                <w:sz w:val="24"/>
                <w:szCs w:val="24"/>
              </w:rPr>
              <w:t xml:space="preserve">Never ask whether they consented.</w:t>
            </w:r>
            <w:r>
              <w:rPr>
                <w:b w:val="false"/>
                <w:bCs w:val="false"/>
                <w:i w:val="false"/>
                <w:iCs w:val="false"/>
                <w:color w:val="1A1A1A"/>
                <w:sz w:val="24"/>
                <w:szCs w:val="24"/>
              </w:rPr>
              <w:t xml:space="preserve"> A minor cannot consent with an adult.</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any tier.</w:t>
            </w:r>
            <w:r>
              <w:rPr>
                <w:b w:val="false"/>
                <w:bCs w:val="false"/>
                <w:i w:val="false"/>
                <w:iCs w:val="false"/>
                <w:color w:val="1A1A1A"/>
                <w:sz w:val="24"/>
                <w:szCs w:val="24"/>
              </w:rPr>
              <w:t xml:space="preserve"> No child, no CANRA. PREA still applies. Sexual assault goes to the </w:t>
            </w:r>
            <w:r>
              <w:rPr>
                <w:b/>
                <w:bCs/>
                <w:i w:val="false"/>
                <w:iCs w:val="false"/>
                <w:color w:val="1A1A1A"/>
                <w:sz w:val="24"/>
                <w:szCs w:val="24"/>
              </w:rPr>
              <w:t xml:space="preserve">Sheriff</w:t>
            </w:r>
            <w:r>
              <w:rPr>
                <w:b w:val="false"/>
                <w:bCs w:val="false"/>
                <w:i w:val="false"/>
                <w:iCs w:val="false"/>
                <w:color w:val="1A1A1A"/>
                <w:sz w:val="24"/>
                <w:szCs w:val="24"/>
              </w:rPr>
              <w:t xml:space="preserve">.</w:t>
            </w:r>
          </w:p>
        </w:tc>
      </w:tr>
    </w:tbl>
    <w:p>
      <w:pPr>
        <w:pStyle w:val="Heading1"/>
        <w:spacing w:after="100" w:before="200"/>
      </w:pPr>
      <w:r>
        <w:rPr>
          <w:b/>
          <w:bCs/>
          <w:i w:val="false"/>
          <w:iCs w:val="false"/>
          <w:color w:val="1A1A1A"/>
          <w:sz w:val="34"/>
          <w:szCs w:val="34"/>
        </w:rPr>
        <w:t xml:space="preserve">Step 2.  </w:t>
      </w:r>
      <w:r>
        <w:rPr>
          <w:b/>
          <w:bCs/>
          <w:i w:val="false"/>
          <w:iCs w:val="false"/>
          <w:color w:val="1A1A1A"/>
          <w:sz w:val="34"/>
          <w:szCs w:val="34"/>
        </w:rPr>
        <w:t xml:space="preserve">What happened</w:t>
      </w:r>
    </w:p>
    <w:p>
      <w:pPr>
        <w:spacing w:after="90" w:line="252"/>
      </w:pPr>
      <w:r>
        <w:rPr>
          <w:b w:val="false"/>
          <w:bCs w:val="false"/>
          <w:i w:val="false"/>
          <w:iCs w:val="false"/>
          <w:color w:val="1A1A1A"/>
          <w:sz w:val="24"/>
          <w:szCs w:val="24"/>
        </w:rPr>
        <w:t xml:space="preserve">Two separate questions. They match on touching and part company everywhere else.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4500"/>
        <w:gridCol w:w="2600"/>
        <w:gridCol w:w="3000"/>
      </w:tblGrid>
      <w:tr>
        <w:trPr>
          <w:tblHeader/>
        </w:trPr>
        <w:tc>
          <w:tcPr>
            <w:tcW w:type="dxa" w:w="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30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 comment. No contact, no exposure, no threat.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comments or gestures, repeated, same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harassment</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Nothing else.</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where another youth can see.</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buttocks. Clothed counts.</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Or anything above by force.</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is under 18</w:t>
            </w:r>
          </w:p>
        </w:tc>
      </w:tr>
    </w:tbl>
    <w:p>
      <w:pPr>
        <w:pStyle w:val="Heading1"/>
        <w:spacing w:after="100" w:before="20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90" w:line="252"/>
      </w:pPr>
      <w:r>
        <w:rPr>
          <w:b w:val="false"/>
          <w:bCs w:val="false"/>
          <w:i w:val="false"/>
          <w:iCs w:val="false"/>
          <w:color w:val="1A1A1A"/>
          <w:sz w:val="24"/>
          <w:szCs w:val="24"/>
        </w:rPr>
        <w:t xml:space="preserve">Any one of these moves it up a tier and forces a CPS call.</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or leverage of any kind. Debt, protection,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big age, size, or ability gap.</w:t>
            </w:r>
          </w:p>
          <w:p>
            <w:pPr>
              <w:pStyle w:val="ListParagraph"/>
              <w:numPr>
                <w:ilvl w:val="0"/>
                <w:numId w:val="1"/>
              </w:numPr>
              <w:spacing w:after="60" w:before="40" w:line="264"/>
            </w:pPr>
            <w:r>
              <w:rPr>
                <w:b w:val="false"/>
                <w:bCs w:val="false"/>
                <w:i w:val="false"/>
                <w:iCs w:val="false"/>
                <w:color w:val="1A1A1A"/>
                <w:sz w:val="24"/>
                <w:szCs w:val="24"/>
              </w:rPr>
              <w:t xml:space="preserve">The target mentions past abuse, here or outside.</w:t>
            </w:r>
          </w:p>
          <w:p>
            <w:pPr>
              <w:pStyle w:val="ListParagraph"/>
              <w:numPr>
                <w:ilvl w:val="0"/>
                <w:numId w:val="1"/>
              </w:numPr>
              <w:spacing w:after="60" w:before="40" w:line="264"/>
            </w:pPr>
            <w:r>
              <w:rPr>
                <w:b w:val="false"/>
                <w:bCs w:val="false"/>
                <w:i w:val="false"/>
                <w:iCs w:val="false"/>
                <w:color w:val="1A1A1A"/>
                <w:sz w:val="24"/>
                <w:szCs w:val="24"/>
              </w:rPr>
              <w:t xml:space="preserve">You suspect the youth who acted was abused too. </w:t>
            </w:r>
            <w:r>
              <w:rPr>
                <w:b/>
                <w:bCs/>
                <w:i w:val="false"/>
                <w:iCs w:val="false"/>
                <w:color w:val="1A1A1A"/>
                <w:sz w:val="24"/>
                <w:szCs w:val="24"/>
              </w:rPr>
              <w:t xml:space="preserve">That is a second report, about a different child.</w:t>
            </w:r>
            <w:r>
              <w:rPr>
                <w:b w:val="false"/>
                <w:bCs w:val="false"/>
                <w:i w:val="false"/>
                <w:iCs w:val="false"/>
                <w:color w:val="1A1A1A"/>
                <w:sz w:val="24"/>
                <w:szCs w:val="24"/>
              </w:rPr>
              <w:t xml:space="preserve"/>
            </w:r>
          </w:p>
          <w:p>
            <w:pPr>
              <w:pStyle w:val="ListParagraph"/>
              <w:numPr>
                <w:ilvl w:val="0"/>
                <w:numId w:val="1"/>
              </w:numPr>
              <w:spacing w:after="60" w:before="40" w:line="264"/>
            </w:pPr>
            <w:r>
              <w:rPr>
                <w:b w:val="false"/>
                <w:bCs w:val="false"/>
                <w:i w:val="false"/>
                <w:iCs w:val="false"/>
                <w:color w:val="1A1A1A"/>
                <w:sz w:val="24"/>
                <w:szCs w:val="24"/>
              </w:rPr>
              <w:t xml:space="preserve">Same youth,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w:t>
            </w:r>
            <w:r>
              <w:rPr>
                <w:b w:val="false"/>
                <w:bCs w:val="false"/>
                <w:i w:val="false"/>
                <w:iCs w:val="false"/>
                <w:color w:val="1A1A1A"/>
                <w:sz w:val="24"/>
                <w:szCs w:val="24"/>
              </w:rPr>
              <w:t xml:space="preserve"> Off this chart. Always reports.</w:t>
            </w:r>
          </w:p>
        </w:tc>
      </w:tr>
    </w:tbl>
    <w:p>
      <w:pPr>
        <w:pStyle w:val="Heading1"/>
        <w:spacing w:after="100" w:before="200"/>
      </w:pPr>
      <w:r>
        <w:rPr>
          <w:b/>
          <w:bCs/>
          <w:i w:val="false"/>
          <w:iCs w:val="false"/>
          <w:color w:val="1A1A1A"/>
          <w:sz w:val="34"/>
          <w:szCs w:val="34"/>
        </w:rPr>
        <w:t xml:space="preserve">Step 4.  </w:t>
      </w:r>
      <w:r>
        <w:rPr>
          <w:b/>
          <w:bCs/>
          <w:i w:val="false"/>
          <w:iCs w:val="false"/>
          <w:color w:val="1A1A1A"/>
          <w:sz w:val="34"/>
          <w:szCs w:val="34"/>
        </w:rPr>
        <w:t xml:space="preserve">Act</w:t>
      </w:r>
    </w:p>
    <w:p>
      <w:pPr>
        <w:spacing w:after="90" w:line="252"/>
      </w:pPr>
      <w:r>
        <w:rPr>
          <w:b w:val="false"/>
          <w:bCs w:val="false"/>
          <w:i w:val="false"/>
          <w:iCs w:val="false"/>
          <w:color w:val="1A1A1A"/>
          <w:sz w:val="24"/>
          <w:szCs w:val="24"/>
        </w:rPr>
        <w:t xml:space="preserve">Each row adds to the one above it.</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2500"/>
        <w:gridCol w:w="8300"/>
      </w:tblGrid>
      <w:tr>
        <w:trPr>
          <w:tblHeader/>
        </w:trPr>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When</w:t>
            </w:r>
          </w:p>
        </w:tc>
        <w:tc>
          <w:tcPr>
            <w:tcW w:type="dxa" w:w="83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tier</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Separate them. Check the target is safe. Tell the Duty Supervisor. Write an incident report naming both youth, </w:t>
            </w:r>
            <w:r>
              <w:rPr>
                <w:b/>
                <w:bCs/>
                <w:i w:val="false"/>
                <w:iCs w:val="false"/>
                <w:color w:val="1A1A1A"/>
                <w:sz w:val="24"/>
                <w:szCs w:val="24"/>
              </w:rPr>
              <w:t xml:space="preserve">with the words they used</w:t>
            </w:r>
            <w:r>
              <w:rPr>
                <w:b w:val="false"/>
                <w:bCs w:val="false"/>
                <w:i w:val="false"/>
                <w:iCs w:val="false"/>
                <w:color w:val="1A1A1A"/>
                <w:sz w:val="24"/>
                <w:szCs w:val="24"/>
              </w:rPr>
              <w:t xml:space="preserve">. Record your tier and why, even if you decide it is nothing.</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 2 and up</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Log it as a PREA incident. If the target is at risk right now, protect them now, before anyone investigates. Reassess housing for both. Start retaliation checks if anyone reported.</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 4 and up, where CPS is due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Phone it in now.</w:t>
            </w:r>
            <w:r>
              <w:rPr>
                <w:b w:val="false"/>
                <w:bCs w:val="false"/>
                <w:i w:val="false"/>
                <w:iCs w:val="false"/>
                <w:color w:val="1A1A1A"/>
                <w:sz w:val="24"/>
                <w:szCs w:val="24"/>
              </w:rPr>
              <w:t xml:space="preserve"> Form SS 8572 within 36 hours. Do not wait for the investigation, the end of shift, or permission. It belongs to whoever formed the suspicion. Telling you does not discharge it.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Tiers 5 and 6</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Treat it as abuse from the first minute. </w:t>
            </w:r>
            <w:r>
              <w:rPr>
                <w:b/>
                <w:bCs/>
                <w:i w:val="false"/>
                <w:iCs w:val="false"/>
                <w:color w:val="1A1A1A"/>
                <w:sz w:val="24"/>
                <w:szCs w:val="24"/>
              </w:rPr>
              <w:t xml:space="preserve">Keep the evidence.</w:t>
            </w:r>
            <w:r>
              <w:rPr>
                <w:b w:val="false"/>
                <w:bCs w:val="false"/>
                <w:i w:val="false"/>
                <w:iCs w:val="false"/>
                <w:color w:val="1A1A1A"/>
                <w:sz w:val="24"/>
                <w:szCs w:val="24"/>
              </w:rPr>
              <w:t xml:space="preserve"> No showering, no cleaning up. Refer it. Every allegation gets investigated. Tier 6 also means law enforcement, a forensic exam off site, and notice to parent or guardian and counsel.</w:t>
            </w:r>
          </w:p>
        </w:tc>
      </w:tr>
    </w:tbl>
    <w:p>
      <w:pPr>
        <w:pStyle w:val="Heading1"/>
        <w:spacing w:after="100" w:before="200"/>
      </w:pPr>
      <w:r>
        <w:rPr>
          <w:b/>
          <w:bCs/>
          <w:i w:val="false"/>
          <w:iCs w:val="false"/>
          <w:color w:val="1A1A1A"/>
          <w:sz w:val="34"/>
          <w:szCs w:val="34"/>
        </w:rPr>
        <w:t xml:space="preserve">Step 5.  </w:t>
      </w:r>
      <w:r>
        <w:rPr>
          <w:b/>
          <w:bCs/>
          <w:i w:val="false"/>
          <w:iCs w:val="false"/>
          <w:color w:val="1A1A1A"/>
          <w:sz w:val="34"/>
          <w:szCs w:val="34"/>
        </w:rPr>
        <w:t xml:space="preserve">Write it down</w:t>
      </w:r>
    </w:p>
    <w:p>
      <w:pPr>
        <w:spacing w:after="90" w:line="252"/>
      </w:pPr>
      <w:r>
        <w:rPr>
          <w:b w:val="false"/>
          <w:bCs w:val="false"/>
          <w:i w:val="false"/>
          <w:iCs w:val="false"/>
          <w:color w:val="1A1A1A"/>
          <w:sz w:val="24"/>
          <w:szCs w:val="24"/>
        </w:rPr>
        <w:t xml:space="preserve">Every time. Even when you decide it is nothing.</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7DDDD" w:color="auto" w:val="clear"/>
            <w:tcMar>
              <w:top w:type="dxa" w:w="60"/>
              <w:left w:type="dxa" w:w="100"/>
              <w:bottom w:type="dxa" w:w="60"/>
              <w:right w:type="dxa" w:w="100"/>
            </w:tcMar>
          </w:tcPr>
          <w:p>
            <w:pPr>
              <w:spacing w:after="60" w:before="60" w:line="252"/>
            </w:pPr>
            <w:r>
              <w:rPr>
                <w:b w:val="false"/>
                <w:bCs w:val="false"/>
                <w:i w:val="false"/>
                <w:iCs w:val="false"/>
                <w:color w:val="1A1A1A"/>
                <w:sz w:val="24"/>
                <w:szCs w:val="24"/>
              </w:rPr>
              <w:t xml:space="preserve"/>
            </w:r>
            <w:r>
              <w:rPr>
                <w:b/>
                <w:bCs/>
                <w:i w:val="false"/>
                <w:iCs w:val="false"/>
                <w:color w:val="1A1A1A"/>
                <w:sz w:val="24"/>
                <w:szCs w:val="24"/>
              </w:rPr>
              <w:t xml:space="preserve">Not sure? Report.</w:t>
            </w:r>
            <w:r>
              <w:rPr>
                <w:b w:val="false"/>
                <w:bCs w:val="false"/>
                <w:i w:val="false"/>
                <w:iCs w:val="false"/>
                <w:color w:val="1A1A1A"/>
                <w:sz w:val="24"/>
                <w:szCs w:val="24"/>
              </w:rPr>
              <w:t xml:space="preserve"> The threshold is reasonable suspicion, which is low on purpose. You have immunity. Not reporting is a crime.</w:t>
            </w:r>
          </w:p>
        </w:tc>
      </w:tr>
    </w:tbl>
    <w:p>
      <w:pPr>
        <w:spacing w:before="140" w:line="252"/>
      </w:pPr>
      <w:r>
        <w:rPr>
          <w:b w:val="false"/>
          <w:bCs w:val="false"/>
          <w:i/>
          <w:iCs/>
          <w:color w:val="1A1A1A"/>
          <w:sz w:val="24"/>
          <w:szCs w:val="24"/>
        </w:rPr>
        <w:t xml:space="preserve">Not legal advice. Grey calls go to County Counsel.  </w:t>
      </w:r>
      <w:r>
        <w:rPr>
          <w:b w:val="false"/>
          <w:bCs w:val="false"/>
          <w:i/>
          <w:iCs/>
          <w:color w:val="595959"/>
          <w:sz w:val="24"/>
          <w:szCs w:val="24"/>
        </w:rPr>
        <w:t xml:space="preserve">Drawn from gap register Revision 11. This copy is regenerated from source; edits made here are not carried forward.</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0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2026-10-30T17:39:58.475Z</dcterms:created>
  <dcterms:modified xsi:type="dcterms:W3CDTF">2026-10-30T17:39:58.475Z</dcterms:modified>
</cp:coreProperties>
</file>

<file path=docProps/custom.xml><?xml version="1.0" encoding="utf-8"?>
<Properties xmlns="http://schemas.openxmlformats.org/officeDocument/2006/custom-properties" xmlns:vt="http://schemas.openxmlformats.org/officeDocument/2006/docPropsVTypes"/>
</file>