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700"/>
        <w:jc w:val="center"/>
      </w:pPr>
      <w:r>
        <w:rPr>
          <w:b/>
          <w:bCs/>
          <w:i w:val="false"/>
          <w:iCs w:val="false"/>
          <w:color w:val="1A1A1A"/>
          <w:sz w:val="48"/>
          <w:szCs w:val="48"/>
        </w:rPr>
        <w:t xml:space="preserve">YDF PREA Compliance</w:t>
      </w:r>
    </w:p>
    <w:p>
      <w:pPr>
        <w:spacing w:after="360"/>
        <w:jc w:val="center"/>
      </w:pPr>
      <w:r>
        <w:rPr>
          <w:b w:val="false"/>
          <w:bCs w:val="false"/>
          <w:i w:val="false"/>
          <w:iCs w:val="false"/>
          <w:color w:val="595959"/>
          <w:sz w:val="32"/>
          <w:szCs w:val="32"/>
        </w:rPr>
        <w:t xml:space="preserve">Briefing and document package</w:t>
      </w:r>
    </w:p>
    <w:p>
      <w:pPr>
        <w:spacing w:after="40"/>
        <w:jc w:val="center"/>
      </w:pPr>
      <w:r>
        <w:rPr>
          <w:b w:val="false"/>
          <w:bCs w:val="false"/>
          <w:i w:val="false"/>
          <w:iCs w:val="false"/>
          <w:color w:val="1A1A1A"/>
          <w:sz w:val="26"/>
          <w:szCs w:val="26"/>
        </w:rPr>
        <w:t xml:space="preserve">Sacramento County Probation Department</w:t>
      </w:r>
    </w:p>
    <w:p>
      <w:pPr>
        <w:spacing w:after="360"/>
        <w:jc w:val="center"/>
      </w:pPr>
      <w:r>
        <w:rPr>
          <w:b w:val="false"/>
          <w:bCs w:val="false"/>
          <w:i w:val="false"/>
          <w:iCs w:val="false"/>
          <w:color w:val="1A1A1A"/>
          <w:sz w:val="26"/>
          <w:szCs w:val="26"/>
        </w:rPr>
        <w:t xml:space="preserve">Youth Detention Facility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64"/>
            </w:pPr>
            <w:r>
              <w:rPr>
                <w:b w:val="false"/>
                <w:bCs w:val="false"/>
                <w:i w:val="false"/>
                <w:iCs w:val="false"/>
                <w:color w:val="1A1A1A"/>
                <w:sz w:val="24"/>
                <w:szCs w:val="24"/>
              </w:rPr>
              <w:t xml:space="preserve">WORKING DRAFT for departmental review. Not legal advice. Route to County Counsel before circulating outside the department.</w:t>
            </w:r>
          </w:p>
        </w:tc>
      </w:tr>
    </w:tbl>
    <w:p>
      <w:pPr>
        <w:spacing w:before="320"/>
        <w:jc w:val="center"/>
      </w:pPr>
      <w:r>
        <w:rPr>
          <w:b w:val="false"/>
          <w:bCs w:val="false"/>
          <w:i w:val="false"/>
          <w:iCs w:val="false"/>
          <w:color w:val="595959"/>
          <w:sz w:val="24"/>
          <w:szCs w:val="24"/>
        </w:rPr>
        <w:t xml:space="preserve">Gap register Revision 11, 91 requirements assessed against 17 departmental documents.</w:t>
      </w:r>
    </w:p>
    <w:p>
      <w:r>
        <w:br w:type="page"/>
      </w:r>
    </w:p>
    <w:p>
      <w:pPr>
        <w:pStyle w:val="Heading1"/>
      </w:pPr>
      <w:r>
        <w:t xml:space="preserve">What this package is</w:t>
      </w:r>
    </w:p>
    <w:p>
      <w:pPr>
        <w:spacing w:after="140" w:line="276"/>
      </w:pPr>
      <w:r>
        <w:rPr>
          <w:b w:val="false"/>
          <w:bCs w:val="false"/>
          <w:i w:val="false"/>
          <w:iCs w:val="false"/>
          <w:color w:val="1A1A1A"/>
          <w:sz w:val="24"/>
          <w:szCs w:val="24"/>
        </w:rPr>
        <w:t xml:space="preserve">A review of the department's PREA posture at the Youth Detention Facility, and the documents produced from it. Everything here traces to one worksheet, the gap register, which assesses 91 requirements from 28 CFR Part 115 Subpart D and California Title 15 against the 17 departmental documents produced to the review.</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The analysis is complete.</w:t>
      </w:r>
      <w:r>
        <w:rPr>
          <w:b w:val="false"/>
          <w:bCs w:val="false"/>
          <w:i w:val="false"/>
          <w:iCs w:val="false"/>
          <w:color w:val="1A1A1A"/>
          <w:sz w:val="24"/>
          <w:szCs w:val="24"/>
        </w:rPr>
        <w:t xml:space="preserve"> Nothing in this package is waiting on further review.</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Most of the remediation is drafted.</w:t>
      </w:r>
      <w:r>
        <w:rPr>
          <w:b w:val="false"/>
          <w:bCs w:val="false"/>
          <w:i w:val="false"/>
          <w:iCs w:val="false"/>
          <w:color w:val="1A1A1A"/>
          <w:sz w:val="24"/>
          <w:szCs w:val="24"/>
        </w:rPr>
        <w:t xml:space="preserve"> Amended policy text exists for seven of the fifteen recommended changes, written out and ready to be marked up.</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What is left needs decisions, not analysis.</w:t>
      </w:r>
      <w:r>
        <w:rPr>
          <w:b w:val="false"/>
          <w:bCs w:val="false"/>
          <w:i w:val="false"/>
          <w:iCs w:val="false"/>
          <w:color w:val="1A1A1A"/>
          <w:sz w:val="24"/>
          <w:szCs w:val="24"/>
        </w:rPr>
        <w:t xml:space="preserve"> A designation, an assignment, and seven documents the review asked for and has not received. Those are listed at the end.</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Nothing here is a finding that the department failed to do something.</w:t>
      </w:r>
      <w:r>
        <w:rPr>
          <w:b w:val="false"/>
          <w:bCs w:val="false"/>
          <w:i w:val="false"/>
          <w:iCs w:val="false"/>
          <w:color w:val="1A1A1A"/>
          <w:sz w:val="24"/>
          <w:szCs w:val="24"/>
        </w:rPr>
        <w:t xml:space="preserve"> The review can only speak to the documents produced to it. Where a practice is not written down, the finding says it does not appear in the documents reviewed, which is a different statement. Several findings will close on production of a document rather than on any change in practice.</w:t>
      </w:r>
    </w:p>
    <w:p>
      <w:r>
        <w:br w:type="page"/>
      </w:r>
    </w:p>
    <w:p>
      <w:pPr>
        <w:pStyle w:val="Heading1"/>
      </w:pPr>
      <w:r>
        <w:t xml:space="preserve">What we need</w:t>
      </w:r>
    </w:p>
    <w:p>
      <w:pPr>
        <w:spacing w:after="140" w:line="276"/>
      </w:pPr>
      <w:r>
        <w:rPr>
          <w:b w:val="false"/>
          <w:bCs w:val="false"/>
          <w:i w:val="false"/>
          <w:iCs w:val="false"/>
          <w:color w:val="1A1A1A"/>
          <w:sz w:val="24"/>
          <w:szCs w:val="24"/>
        </w:rPr>
        <w:t xml:space="preserve">These are the items that cannot move without a decision from the department. They are reproduced from the management brief at Attachment A, which carries the reasoning behind each one.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90" w:before="60" w:line="272"/>
            </w:pPr>
            <w:r>
              <w:rPr>
                <w:b/>
                <w:bCs/>
                <w:i w:val="false"/>
                <w:iCs w:val="false"/>
                <w:color w:val="1A1A1A"/>
                <w:sz w:val="24"/>
                <w:szCs w:val="24"/>
              </w:rPr>
              <w:t xml:space="preserve">1.  </w:t>
            </w:r>
            <w:r>
              <w:rPr>
                <w:b w:val="false"/>
                <w:bCs w:val="false"/>
                <w:i w:val="false"/>
                <w:iCs w:val="false"/>
                <w:color w:val="1A1A1A"/>
                <w:sz w:val="24"/>
                <w:szCs w:val="24"/>
              </w:rPr>
              <w:t xml:space="preserve"/>
            </w:r>
            <w:r>
              <w:rPr>
                <w:b/>
                <w:bCs/>
                <w:i w:val="false"/>
                <w:iCs w:val="false"/>
                <w:color w:val="1A1A1A"/>
                <w:sz w:val="24"/>
                <w:szCs w:val="24"/>
              </w:rPr>
              <w:t xml:space="preserve">Name a PREA Coordinator and a facility compliance manager.</w:t>
            </w:r>
            <w:r>
              <w:rPr>
                <w:b w:val="false"/>
                <w:bCs w:val="false"/>
                <w:i w:val="false"/>
                <w:iCs w:val="false"/>
                <w:color w:val="1A1A1A"/>
                <w:sz w:val="24"/>
                <w:szCs w:val="24"/>
              </w:rPr>
              <w:t xml:space="preserve"> Our own order already sends work to that position.</w:t>
            </w:r>
          </w:p>
          <w:p>
            <w:pPr>
              <w:spacing w:after="90" w:before="90" w:line="272"/>
            </w:pPr>
            <w:r>
              <w:rPr>
                <w:b/>
                <w:bCs/>
                <w:i w:val="false"/>
                <w:iCs w:val="false"/>
                <w:color w:val="1A1A1A"/>
                <w:sz w:val="24"/>
                <w:szCs w:val="24"/>
              </w:rPr>
              <w:t xml:space="preserve">2.  </w:t>
            </w:r>
            <w:r>
              <w:rPr>
                <w:b w:val="false"/>
                <w:bCs w:val="false"/>
                <w:i w:val="false"/>
                <w:iCs w:val="false"/>
                <w:color w:val="1A1A1A"/>
                <w:sz w:val="24"/>
                <w:szCs w:val="24"/>
              </w:rPr>
              <w:t xml:space="preserve"/>
            </w:r>
            <w:r>
              <w:rPr>
                <w:b/>
                <w:bCs/>
                <w:i w:val="false"/>
                <w:iCs w:val="false"/>
                <w:color w:val="1A1A1A"/>
                <w:sz w:val="24"/>
                <w:szCs w:val="24"/>
              </w:rPr>
              <w:t xml:space="preserve">Decide who investigates youth on youth cases</w:t>
            </w:r>
            <w:r>
              <w:rPr>
                <w:b w:val="false"/>
                <w:bCs w:val="false"/>
                <w:i w:val="false"/>
                <w:iCs w:val="false"/>
                <w:color w:val="1A1A1A"/>
                <w:sz w:val="24"/>
                <w:szCs w:val="24"/>
              </w:rPr>
              <w:t xml:space="preserve"> below the level of sexual assault. It is not written down anywhere.</w:t>
            </w:r>
          </w:p>
          <w:p>
            <w:pPr>
              <w:spacing w:after="90" w:before="90" w:line="272"/>
            </w:pPr>
            <w:r>
              <w:rPr>
                <w:b/>
                <w:bCs/>
                <w:i w:val="false"/>
                <w:iCs w:val="false"/>
                <w:color w:val="1A1A1A"/>
                <w:sz w:val="24"/>
                <w:szCs w:val="24"/>
              </w:rPr>
              <w:t xml:space="preserve">3.  </w:t>
            </w:r>
            <w:r>
              <w:rPr>
                <w:b w:val="false"/>
                <w:bCs w:val="false"/>
                <w:i w:val="false"/>
                <w:iCs w:val="false"/>
                <w:color w:val="1A1A1A"/>
                <w:sz w:val="24"/>
                <w:szCs w:val="24"/>
              </w:rPr>
              <w:t xml:space="preserve"/>
            </w:r>
            <w:r>
              <w:rPr>
                <w:b/>
                <w:bCs/>
                <w:i w:val="false"/>
                <w:iCs w:val="false"/>
                <w:color w:val="1A1A1A"/>
                <w:sz w:val="24"/>
                <w:szCs w:val="24"/>
              </w:rPr>
              <w:t xml:space="preserve">Send WIC 625.6(d) to County Counsel.</w:t>
            </w:r>
            <w:r>
              <w:rPr>
                <w:b w:val="false"/>
                <w:bCs w:val="false"/>
                <w:i w:val="false"/>
                <w:iCs w:val="false"/>
                <w:color w:val="1A1A1A"/>
                <w:sz w:val="24"/>
                <w:szCs w:val="24"/>
              </w:rPr>
              <w:t xml:space="preserve"> It decides whether the interrogation finding is a violation we are carrying or a good practice we should adopt anyway.</w:t>
            </w:r>
          </w:p>
          <w:p>
            <w:pPr>
              <w:spacing w:after="90" w:before="90" w:line="272"/>
            </w:pPr>
            <w:r>
              <w:rPr>
                <w:b/>
                <w:bCs/>
                <w:i w:val="false"/>
                <w:iCs w:val="false"/>
                <w:color w:val="1A1A1A"/>
                <w:sz w:val="24"/>
                <w:szCs w:val="24"/>
              </w:rPr>
              <w:t xml:space="preserve">4.  </w:t>
            </w:r>
            <w:r>
              <w:rPr>
                <w:b w:val="false"/>
                <w:bCs w:val="false"/>
                <w:i w:val="false"/>
                <w:iCs w:val="false"/>
                <w:color w:val="1A1A1A"/>
                <w:sz w:val="24"/>
                <w:szCs w:val="24"/>
              </w:rPr>
              <w:t xml:space="preserve"/>
            </w:r>
            <w:r>
              <w:rPr>
                <w:b/>
                <w:bCs/>
                <w:i w:val="false"/>
                <w:iCs w:val="false"/>
                <w:color w:val="1A1A1A"/>
                <w:sz w:val="24"/>
                <w:szCs w:val="24"/>
              </w:rPr>
              <w:t xml:space="preserve">Give us the rosters and post assignments.</w:t>
            </w:r>
            <w:r>
              <w:rPr>
                <w:b w:val="false"/>
                <w:bCs w:val="false"/>
                <w:i w:val="false"/>
                <w:iCs w:val="false"/>
                <w:color w:val="1A1A1A"/>
                <w:sz w:val="24"/>
                <w:szCs w:val="24"/>
              </w:rPr>
              <w:t xml:space="preserve"> They settle whether the staffing question is a real gap or a paperwork gap.</w:t>
            </w:r>
          </w:p>
          <w:p>
            <w:pPr>
              <w:spacing w:after="90" w:before="90" w:line="272"/>
            </w:pPr>
            <w:r>
              <w:rPr>
                <w:b/>
                <w:bCs/>
                <w:i w:val="false"/>
                <w:iCs w:val="false"/>
                <w:color w:val="1A1A1A"/>
                <w:sz w:val="24"/>
                <w:szCs w:val="24"/>
              </w:rPr>
              <w:t xml:space="preserve">5.  </w:t>
            </w:r>
            <w:r>
              <w:rPr>
                <w:b w:val="false"/>
                <w:bCs w:val="false"/>
                <w:i w:val="false"/>
                <w:iCs w:val="false"/>
                <w:color w:val="1A1A1A"/>
                <w:sz w:val="24"/>
                <w:szCs w:val="24"/>
              </w:rPr>
              <w:t xml:space="preserve"/>
            </w:r>
            <w:r>
              <w:rPr>
                <w:b/>
                <w:bCs/>
                <w:i w:val="false"/>
                <w:iCs w:val="false"/>
                <w:color w:val="1A1A1A"/>
                <w:sz w:val="24"/>
                <w:szCs w:val="24"/>
              </w:rPr>
              <w:t xml:space="preserve">Produce six documents:</w:t>
            </w:r>
            <w:r>
              <w:rPr>
                <w:b w:val="false"/>
                <w:bCs w:val="false"/>
                <w:i w:val="false"/>
                <w:iCs w:val="false"/>
                <w:color w:val="1A1A1A"/>
                <w:sz w:val="24"/>
                <w:szCs w:val="24"/>
              </w:rPr>
              <w:t xml:space="preserve"> the PREA Policy itself, OO 1352.5 on transgender and intersex youth, OO 1354 on separation, the resident handbook, the hiring procedure, and the contractor and volunteer screening procedure. Some findings close on handing the document over, with nothing else to fix. The PREA Policy matters most: three of the written amendments are aimed at it, and until we see it those three are written against our best reconstruction of what it says rather than its real words. OO 1352.5 is the cheapest of the six to act on, because one provision of it is the only thing we are asking to change.</w:t>
            </w:r>
          </w:p>
          <w:p>
            <w:pPr>
              <w:spacing w:after="90" w:before="90" w:line="272"/>
            </w:pPr>
            <w:r>
              <w:rPr>
                <w:b/>
                <w:bCs/>
                <w:i w:val="false"/>
                <w:iCs w:val="false"/>
                <w:color w:val="1A1A1A"/>
                <w:sz w:val="24"/>
                <w:szCs w:val="24"/>
              </w:rPr>
              <w:t xml:space="preserve">6.  </w:t>
            </w:r>
            <w:r>
              <w:rPr>
                <w:b w:val="false"/>
                <w:bCs w:val="false"/>
                <w:i w:val="false"/>
                <w:iCs w:val="false"/>
                <w:color w:val="1A1A1A"/>
                <w:sz w:val="24"/>
                <w:szCs w:val="24"/>
              </w:rPr>
              <w:t xml:space="preserve"/>
            </w:r>
            <w:r>
              <w:rPr>
                <w:b/>
                <w:bCs/>
                <w:i w:val="false"/>
                <w:iCs w:val="false"/>
                <w:color w:val="1A1A1A"/>
                <w:sz w:val="24"/>
                <w:szCs w:val="24"/>
              </w:rPr>
              <w:t xml:space="preserve">Confirm whether the county has named Probation</w:t>
            </w:r>
            <w:r>
              <w:rPr>
                <w:b w:val="false"/>
                <w:bCs w:val="false"/>
                <w:i w:val="false"/>
                <w:iCs w:val="false"/>
                <w:color w:val="1A1A1A"/>
                <w:sz w:val="24"/>
                <w:szCs w:val="24"/>
              </w:rPr>
              <w:t xml:space="preserve"> as an agency that receives mandated child abuse reports. One paragraph of a drafted amendment depends on it.</w:t>
            </w:r>
          </w:p>
          <w:p>
            <w:pPr>
              <w:spacing w:after="90" w:before="90" w:line="272"/>
            </w:pPr>
            <w:r>
              <w:rPr>
                <w:b/>
                <w:bCs/>
                <w:i w:val="false"/>
                <w:iCs w:val="false"/>
                <w:color w:val="1A1A1A"/>
                <w:sz w:val="24"/>
                <w:szCs w:val="24"/>
              </w:rPr>
              <w:t xml:space="preserve">7.  </w:t>
            </w:r>
            <w:r>
              <w:rPr>
                <w:b w:val="false"/>
                <w:bCs w:val="false"/>
                <w:i w:val="false"/>
                <w:iCs w:val="false"/>
                <w:color w:val="1A1A1A"/>
                <w:sz w:val="24"/>
                <w:szCs w:val="24"/>
              </w:rPr>
              <w:t xml:space="preserve"/>
            </w:r>
            <w:r>
              <w:rPr>
                <w:b/>
                <w:bCs/>
                <w:i w:val="false"/>
                <w:iCs w:val="false"/>
                <w:color w:val="1A1A1A"/>
                <w:sz w:val="24"/>
                <w:szCs w:val="24"/>
              </w:rPr>
              <w:t xml:space="preserve">Put a name and a date against each of the 22 critical items.</w:t>
            </w:r>
            <w:r>
              <w:rPr>
                <w:b w:val="false"/>
                <w:bCs w:val="false"/>
                <w:i w:val="false"/>
                <w:iCs w:val="false"/>
                <w:color w:val="1A1A1A"/>
                <w:sz w:val="24"/>
                <w:szCs w:val="24"/>
              </w:rPr>
              <w:t xml:space="preserve"> The register has the columns and they are empty on purpose, because they are yours to fill.</w:t>
            </w:r>
          </w:p>
          <w:p>
            <w:pPr>
              <w:spacing w:after="90" w:before="90" w:line="272"/>
            </w:pPr>
            <w:r>
              <w:rPr>
                <w:b/>
                <w:bCs/>
                <w:i w:val="false"/>
                <w:iCs w:val="false"/>
                <w:color w:val="1A1A1A"/>
                <w:sz w:val="24"/>
                <w:szCs w:val="24"/>
              </w:rPr>
              <w:t xml:space="preserve">8.  </w:t>
            </w:r>
            <w:r>
              <w:rPr>
                <w:b w:val="false"/>
                <w:bCs w:val="false"/>
                <w:i w:val="false"/>
                <w:iCs w:val="false"/>
                <w:color w:val="1A1A1A"/>
                <w:sz w:val="24"/>
                <w:szCs w:val="24"/>
              </w:rPr>
              <w:t xml:space="preserve"/>
            </w:r>
            <w:r>
              <w:rPr>
                <w:b/>
                <w:bCs/>
                <w:i w:val="false"/>
                <w:iCs w:val="false"/>
                <w:color w:val="1A1A1A"/>
                <w:sz w:val="24"/>
                <w:szCs w:val="24"/>
              </w:rPr>
              <w:t xml:space="preserve">Approve rewriting the PREA Policy</w:t>
            </w:r>
            <w:r>
              <w:rPr>
                <w:b w:val="false"/>
                <w:bCs w:val="false"/>
                <w:i w:val="false"/>
                <w:iCs w:val="false"/>
                <w:color w:val="1A1A1A"/>
                <w:sz w:val="24"/>
                <w:szCs w:val="24"/>
              </w:rPr>
              <w:t xml:space="preserve"> instead of another round of patches, and put the two year review on a calendar.</w:t>
            </w:r>
          </w:p>
        </w:tc>
      </w:tr>
    </w:tbl>
    <w:p>
      <w:r>
        <w:br w:type="page"/>
      </w:r>
    </w:p>
    <w:p>
      <w:pPr>
        <w:pStyle w:val="Heading1"/>
      </w:pPr>
      <w:r>
        <w:t xml:space="preserve">Where we stand</w:t>
      </w:r>
    </w:p>
    <w:p>
      <w:pPr>
        <w:spacing w:after="140" w:line="276"/>
      </w:pPr>
      <w:r>
        <w:rPr>
          <w:b w:val="false"/>
          <w:bCs w:val="false"/>
          <w:i w:val="false"/>
          <w:iCs w:val="false"/>
          <w:color w:val="1A1A1A"/>
          <w:sz w:val="24"/>
          <w:szCs w:val="24"/>
        </w:rPr>
        <w:t xml:space="preserve">Read the Conflict line first. Not Addressed means a requirement is not written down yet. Conflict means a departmental document states a rule that contradicts the law or another departmental document. The second is the more serious of the two: it is already in staff hands, it is harder to defend, and it is usually cheaper to fix.</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1800"/>
        <w:gridCol w:w="700"/>
        <w:gridCol w:w="2900"/>
        <w:gridCol w:w="1780"/>
      </w:tblGrid>
      <w:tr>
        <w:trPr>
          <w:tblHeader/>
        </w:trPr>
        <w:tc>
          <w:tcPr>
            <w:tcW w:type="dxa" w:w="290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Status</w:t>
            </w:r>
          </w:p>
        </w:tc>
        <w:tc>
          <w:tcPr>
            <w:tcW w:type="dxa" w:w="1800"/>
            <w:shd w:fill="EDEDED" w:color="auto" w:val="clear"/>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Requirements</w:t>
            </w:r>
          </w:p>
        </w:tc>
        <w:tc>
          <w:tcPr>
            <w:tcW w:type="dxa" w:w="7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90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Priority</w:t>
            </w:r>
          </w:p>
        </w:tc>
        <w:tc>
          <w:tcPr>
            <w:tcW w:type="dxa" w:w="1780"/>
            <w:shd w:fill="EDEDED" w:color="auto" w:val="clear"/>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Requirements</w:t>
            </w:r>
          </w:p>
        </w:tc>
      </w:tr>
      <w:tr>
        <w:tc>
          <w:tcPr>
            <w:tcW w:type="dxa" w:w="2900"/>
            <w:shd w:fill="F2DEDE"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Conflict</w:t>
            </w:r>
          </w:p>
        </w:tc>
        <w:tc>
          <w:tcPr>
            <w:tcW w:type="dxa" w:w="1800"/>
            <w:shd w:fill="F2DEDE" w:color="auto" w:val="clear"/>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13</w:t>
            </w:r>
          </w:p>
        </w:tc>
        <w:tc>
          <w:tcPr>
            <w:tcW w:type="dxa" w:w="7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900"/>
            <w:shd w:fill="F2DEDE"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Critical</w:t>
            </w:r>
          </w:p>
        </w:tc>
        <w:tc>
          <w:tcPr>
            <w:tcW w:type="dxa" w:w="1780"/>
            <w:shd w:fill="F2DEDE" w:color="auto" w:val="clear"/>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22</w:t>
            </w:r>
          </w:p>
        </w:tc>
      </w:tr>
      <w:tr>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Not Addressed</w:t>
            </w:r>
          </w:p>
        </w:tc>
        <w:tc>
          <w:tcPr>
            <w:tcW w:type="dxa" w:w="18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21</w:t>
            </w:r>
          </w:p>
        </w:tc>
        <w:tc>
          <w:tcPr>
            <w:tcW w:type="dxa" w:w="7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High</w:t>
            </w:r>
          </w:p>
        </w:tc>
        <w:tc>
          <w:tcPr>
            <w:tcW w:type="dxa" w:w="178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39</w:t>
            </w:r>
          </w:p>
        </w:tc>
      </w:tr>
      <w:tr>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Partial</w:t>
            </w:r>
          </w:p>
        </w:tc>
        <w:tc>
          <w:tcPr>
            <w:tcW w:type="dxa" w:w="18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41</w:t>
            </w:r>
          </w:p>
        </w:tc>
        <w:tc>
          <w:tcPr>
            <w:tcW w:type="dxa" w:w="7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Medium</w:t>
            </w:r>
          </w:p>
        </w:tc>
        <w:tc>
          <w:tcPr>
            <w:tcW w:type="dxa" w:w="178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16</w:t>
            </w:r>
          </w:p>
        </w:tc>
      </w:tr>
      <w:tr>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Addressed</w:t>
            </w:r>
          </w:p>
        </w:tc>
        <w:tc>
          <w:tcPr>
            <w:tcW w:type="dxa" w:w="18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14</w:t>
            </w:r>
          </w:p>
        </w:tc>
        <w:tc>
          <w:tcPr>
            <w:tcW w:type="dxa" w:w="7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Low</w:t>
            </w:r>
          </w:p>
        </w:tc>
        <w:tc>
          <w:tcPr>
            <w:tcW w:type="dxa" w:w="178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14</w:t>
            </w:r>
          </w:p>
        </w:tc>
      </w:tr>
      <w:tr>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Not Evidenced</w:t>
            </w:r>
          </w:p>
        </w:tc>
        <w:tc>
          <w:tcPr>
            <w:tcW w:type="dxa" w:w="18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2</w:t>
            </w:r>
          </w:p>
        </w:tc>
        <w:tc>
          <w:tcPr>
            <w:tcW w:type="dxa" w:w="7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29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p>
        </w:tc>
        <w:tc>
          <w:tcPr>
            <w:tcW w:type="dxa" w:w="178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
            </w:r>
          </w:p>
        </w:tc>
      </w:tr>
    </w:tbl>
    <w:p>
      <w:pPr>
        <w:spacing w:after="140"/>
      </w:pPr>
    </w:p>
    <w:p>
      <w:pPr>
        <w:spacing w:after="140" w:line="276"/>
      </w:pPr>
      <w:r>
        <w:rPr>
          <w:b w:val="false"/>
          <w:bCs w:val="false"/>
          <w:i/>
          <w:iCs/>
          <w:color w:val="1A1A1A"/>
          <w:sz w:val="24"/>
          <w:szCs w:val="24"/>
        </w:rPr>
        <w:t xml:space="preserve">Not Evidenced means a document is referenced in a departmental policy but has not been produced to this review, so no finding is made either way.</w:t>
      </w:r>
    </w:p>
    <w:p>
      <w:r>
        <w:br w:type="page"/>
      </w:r>
    </w:p>
    <w:p>
      <w:pPr>
        <w:pStyle w:val="Heading1"/>
      </w:pPr>
      <w:r>
        <w:t xml:space="preserve">What is in this package</w:t>
      </w:r>
    </w:p>
    <w:p>
      <w:pPr>
        <w:spacing w:after="140" w:line="276"/>
      </w:pPr>
      <w:r>
        <w:rPr>
          <w:b w:val="false"/>
          <w:bCs w:val="false"/>
          <w:i w:val="false"/>
          <w:iCs w:val="false"/>
          <w:color w:val="1A1A1A"/>
          <w:sz w:val="24"/>
          <w:szCs w:val="24"/>
        </w:rPr>
        <w:t xml:space="preserve">Ten documents. Every one is generated from the register or from a single source, so none is hand-maintained and none can drift out of step with the others. Do not edit them in Word: the next build overwrites the edit, and in the meantime the document is internally inconsistent. Two of them are exceptions, Attachments H and I, which are meant to be worked on in Word: accepting and rejecting their tracked changes is the point of them, and the copy saved afterwards is the department's. Attachment J looks like those two and is not one of them: it carries no tracked changes, because the order it addresses has never been produced to the review and so none of its wording is held.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820"/>
        <w:gridCol w:w="3760"/>
        <w:gridCol w:w="900"/>
        <w:gridCol w:w="4600"/>
      </w:tblGrid>
      <w:tr>
        <w:trPr>
          <w:tblHeader/>
        </w:trPr>
        <w:tc>
          <w:tcPr>
            <w:tcW w:type="dxa" w:w="820"/>
            <w:shd w:fill="EDEDED" w:color="auto" w:val="clear"/>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Tab</w:t>
            </w:r>
          </w:p>
        </w:tc>
        <w:tc>
          <w:tcPr>
            <w:tcW w:type="dxa" w:w="376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Document</w:t>
            </w:r>
          </w:p>
        </w:tc>
        <w:tc>
          <w:tcPr>
            <w:tcW w:type="dxa" w:w="900"/>
            <w:shd w:fill="EDEDED" w:color="auto" w:val="clear"/>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Page</w:t>
            </w:r>
          </w:p>
        </w:tc>
        <w:tc>
          <w:tcPr>
            <w:tcW w:type="dxa" w:w="460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Who it is for</w:t>
            </w:r>
          </w:p>
        </w:tc>
      </w:tr>
      <w:tr>
        <w:tc>
          <w:tcPr>
            <w:tcW w:type="dxa" w:w="82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A</w:t>
            </w:r>
          </w:p>
        </w:tc>
        <w:tc>
          <w:tcPr>
            <w:tcW w:type="dxa" w:w="376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Management Brief</w:t>
            </w:r>
          </w:p>
        </w:tc>
        <w:tc>
          <w:tcPr>
            <w:tcW w:type="dxa" w:w="9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10</w:t>
            </w:r>
          </w:p>
        </w:tc>
        <w:tc>
          <w:tcPr>
            <w:tcW w:type="dxa" w:w="4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Administrators, managers, and anyone who has to decide something.</w:t>
            </w:r>
          </w:p>
        </w:tc>
      </w:tr>
      <w:tr>
        <w:tc>
          <w:tcPr>
            <w:tcW w:type="dxa" w:w="82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B</w:t>
            </w:r>
          </w:p>
        </w:tc>
        <w:tc>
          <w:tcPr>
            <w:tcW w:type="dxa" w:w="376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Redlines, Changes 1 to 7</w:t>
            </w:r>
          </w:p>
        </w:tc>
        <w:tc>
          <w:tcPr>
            <w:tcW w:type="dxa" w:w="9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28</w:t>
            </w:r>
          </w:p>
        </w:tc>
        <w:tc>
          <w:tcPr>
            <w:tcW w:type="dxa" w:w="4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Policy revision, and County Counsel.</w:t>
            </w:r>
          </w:p>
        </w:tc>
      </w:tr>
      <w:tr>
        <w:tc>
          <w:tcPr>
            <w:tcW w:type="dxa" w:w="82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C</w:t>
            </w:r>
          </w:p>
        </w:tc>
        <w:tc>
          <w:tcPr>
            <w:tcW w:type="dxa" w:w="376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PREA versus Policy Crosswalk</w:t>
            </w:r>
          </w:p>
        </w:tc>
        <w:tc>
          <w:tcPr>
            <w:tcW w:type="dxa" w:w="9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50</w:t>
            </w:r>
          </w:p>
        </w:tc>
        <w:tc>
          <w:tcPr>
            <w:tcW w:type="dxa" w:w="4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Reference. Nobody reads it front to back.</w:t>
            </w:r>
          </w:p>
        </w:tc>
      </w:tr>
      <w:tr>
        <w:tc>
          <w:tcPr>
            <w:tcW w:type="dxa" w:w="82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D</w:t>
            </w:r>
          </w:p>
        </w:tc>
        <w:tc>
          <w:tcPr>
            <w:tcW w:type="dxa" w:w="376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Supervisor Decision Guide</w:t>
            </w:r>
          </w:p>
        </w:tc>
        <w:tc>
          <w:tcPr>
            <w:tcW w:type="dxa" w:w="9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130</w:t>
            </w:r>
          </w:p>
        </w:tc>
        <w:tc>
          <w:tcPr>
            <w:tcW w:type="dxa" w:w="4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Supervisors, read once in advance. Training.</w:t>
            </w:r>
          </w:p>
        </w:tc>
      </w:tr>
      <w:tr>
        <w:tc>
          <w:tcPr>
            <w:tcW w:type="dxa" w:w="82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E</w:t>
            </w:r>
          </w:p>
        </w:tc>
        <w:tc>
          <w:tcPr>
            <w:tcW w:type="dxa" w:w="376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Supervisor Classification Card</w:t>
            </w:r>
          </w:p>
        </w:tc>
        <w:tc>
          <w:tcPr>
            <w:tcW w:type="dxa" w:w="9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160</w:t>
            </w:r>
          </w:p>
        </w:tc>
        <w:tc>
          <w:tcPr>
            <w:tcW w:type="dxa" w:w="4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Every supervisor, on shift.</w:t>
            </w:r>
          </w:p>
        </w:tc>
      </w:tr>
      <w:tr>
        <w:tc>
          <w:tcPr>
            <w:tcW w:type="dxa" w:w="82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F</w:t>
            </w:r>
          </w:p>
        </w:tc>
        <w:tc>
          <w:tcPr>
            <w:tcW w:type="dxa" w:w="376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Supervisor Incident Memo Template</w:t>
            </w:r>
          </w:p>
        </w:tc>
        <w:tc>
          <w:tcPr>
            <w:tcW w:type="dxa" w:w="9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162</w:t>
            </w:r>
          </w:p>
        </w:tc>
        <w:tc>
          <w:tcPr>
            <w:tcW w:type="dxa" w:w="4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Supervisors.</w:t>
            </w:r>
          </w:p>
        </w:tc>
      </w:tr>
      <w:tr>
        <w:tc>
          <w:tcPr>
            <w:tcW w:type="dxa" w:w="82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G</w:t>
            </w:r>
          </w:p>
        </w:tc>
        <w:tc>
          <w:tcPr>
            <w:tcW w:type="dxa" w:w="376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Staffing Plan Factors</w:t>
            </w:r>
          </w:p>
        </w:tc>
        <w:tc>
          <w:tcPr>
            <w:tcW w:type="dxa" w:w="9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167</w:t>
            </w:r>
          </w:p>
        </w:tc>
        <w:tc>
          <w:tcPr>
            <w:tcW w:type="dxa" w:w="4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Whoever answers the staffing question.</w:t>
            </w:r>
          </w:p>
        </w:tc>
      </w:tr>
      <w:tr>
        <w:tc>
          <w:tcPr>
            <w:tcW w:type="dxa" w:w="82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H</w:t>
            </w:r>
          </w:p>
        </w:tc>
        <w:tc>
          <w:tcPr>
            <w:tcW w:type="dxa" w:w="376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OO 1453 with the fixes marked</w:t>
            </w:r>
          </w:p>
        </w:tc>
        <w:tc>
          <w:tcPr>
            <w:tcW w:type="dxa" w:w="9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169</w:t>
            </w:r>
          </w:p>
        </w:tc>
        <w:tc>
          <w:tcPr>
            <w:tcW w:type="dxa" w:w="4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Policy revision, County Counsel, and anyone who wants to see the actual words change rather than read about it.</w:t>
            </w:r>
          </w:p>
        </w:tc>
      </w:tr>
      <w:tr>
        <w:tc>
          <w:tcPr>
            <w:tcW w:type="dxa" w:w="82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I</w:t>
            </w:r>
          </w:p>
        </w:tc>
        <w:tc>
          <w:tcPr>
            <w:tcW w:type="dxa" w:w="376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OO 1352, the provisions that change</w:t>
            </w:r>
          </w:p>
        </w:tc>
        <w:tc>
          <w:tcPr>
            <w:tcW w:type="dxa" w:w="9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176</w:t>
            </w:r>
          </w:p>
        </w:tc>
        <w:tc>
          <w:tcPr>
            <w:tcW w:type="dxa" w:w="4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Policy revision, classification staff, and County Counsel.</w:t>
            </w:r>
          </w:p>
        </w:tc>
      </w:tr>
      <w:tr>
        <w:tc>
          <w:tcPr>
            <w:tcW w:type="dxa" w:w="82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J</w:t>
            </w:r>
          </w:p>
        </w:tc>
        <w:tc>
          <w:tcPr>
            <w:tcW w:type="dxa" w:w="376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OO 1352.5, citations and required actions</w:t>
            </w:r>
          </w:p>
        </w:tc>
        <w:tc>
          <w:tcPr>
            <w:tcW w:type="dxa" w:w="90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182</w:t>
            </w:r>
          </w:p>
        </w:tc>
        <w:tc>
          <w:tcPr>
            <w:tcW w:type="dxa" w:w="4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Policy revision, and County Counsel.</w:t>
            </w:r>
          </w:p>
        </w:tc>
      </w:tr>
    </w:tbl>
    <w:p>
      <w:pPr>
        <w:pStyle w:val="Heading2"/>
      </w:pPr>
      <w:r>
        <w:rPr>
          <w:b/>
          <w:bCs/>
          <w:i w:val="false"/>
          <w:iCs w:val="false"/>
          <w:color w:val="1A1A1A"/>
          <w:sz w:val="30"/>
          <w:szCs w:val="30"/>
        </w:rPr>
        <w:t xml:space="preserve">Attachment A.  </w:t>
      </w:r>
      <w:r>
        <w:rPr>
          <w:b/>
          <w:bCs/>
          <w:i w:val="false"/>
          <w:iCs w:val="false"/>
          <w:color w:val="1A1A1A"/>
          <w:sz w:val="30"/>
          <w:szCs w:val="30"/>
        </w:rPr>
        <w:t xml:space="preserve">Management Brief</w:t>
      </w:r>
    </w:p>
    <w:p>
      <w:pPr>
        <w:spacing w:after="140" w:line="276"/>
      </w:pPr>
      <w:r>
        <w:rPr>
          <w:b w:val="false"/>
          <w:bCs w:val="false"/>
          <w:i w:val="false"/>
          <w:iCs w:val="false"/>
          <w:color w:val="1A1A1A"/>
          <w:sz w:val="24"/>
          <w:szCs w:val="24"/>
        </w:rPr>
        <w:t xml:space="preserve">The document to brief from. Where the exposure is, how the liability runs, what the department already has right, and the fifteen recommended changes in three waves. Seven exposure items out of 91 requirements, one page each.</w:t>
      </w:r>
    </w:p>
    <w:p>
      <w:pPr>
        <w:spacing w:after="160" w:line="268"/>
      </w:pPr>
      <w:r>
        <w:rPr>
          <w:b w:val="false"/>
          <w:bCs w:val="false"/>
          <w:i/>
          <w:iCs/>
          <w:color w:val="1A1A1A"/>
          <w:sz w:val="24"/>
          <w:szCs w:val="24"/>
        </w:rPr>
        <w:t xml:space="preserve">Start here. Page 3 is the entire review in five numbered points.</w:t>
      </w:r>
    </w:p>
    <w:p>
      <w:pPr>
        <w:pStyle w:val="Heading2"/>
      </w:pPr>
      <w:r>
        <w:rPr>
          <w:b/>
          <w:bCs/>
          <w:i w:val="false"/>
          <w:iCs w:val="false"/>
          <w:color w:val="1A1A1A"/>
          <w:sz w:val="30"/>
          <w:szCs w:val="30"/>
        </w:rPr>
        <w:t xml:space="preserve">Attachment B.  </w:t>
      </w:r>
      <w:r>
        <w:rPr>
          <w:b/>
          <w:bCs/>
          <w:i w:val="false"/>
          <w:iCs w:val="false"/>
          <w:color w:val="1A1A1A"/>
          <w:sz w:val="30"/>
          <w:szCs w:val="30"/>
        </w:rPr>
        <w:t xml:space="preserve">Redlines, Changes 1 to 7</w:t>
      </w:r>
    </w:p>
    <w:p>
      <w:pPr>
        <w:spacing w:after="140" w:line="276"/>
      </w:pPr>
      <w:r>
        <w:rPr>
          <w:b w:val="false"/>
          <w:bCs w:val="false"/>
          <w:i w:val="false"/>
          <w:iCs w:val="false"/>
          <w:color w:val="1A1A1A"/>
          <w:sz w:val="24"/>
          <w:szCs w:val="24"/>
        </w:rPr>
        <w:t xml:space="preserve">The amended policy text for the seven changes correctable by amendment, with the legal authority for each and a note on what has to be confirmed before adoption.</w:t>
      </w:r>
    </w:p>
    <w:p>
      <w:pPr>
        <w:spacing w:after="160" w:line="268"/>
      </w:pPr>
      <w:r>
        <w:rPr>
          <w:b w:val="false"/>
          <w:bCs w:val="false"/>
          <w:i/>
          <w:iCs/>
          <w:color w:val="1A1A1A"/>
          <w:sz w:val="24"/>
          <w:szCs w:val="24"/>
        </w:rPr>
        <w:t xml:space="preserve">Three of the orders amended here have not been produced to the review. For those, the struck text is a reconstruction of what the register describes rather than a quotation of the order, and each item says so on its face. </w:t>
      </w:r>
      <w:r>
        <w:rPr>
          <w:b/>
          <w:bCs/>
          <w:i/>
          <w:iCs/>
          <w:color w:val="1A1A1A"/>
          <w:sz w:val="24"/>
          <w:szCs w:val="24"/>
        </w:rPr>
        <w:t xml:space="preserve">Do not let any of it circulate as though the struck text were the order's real words.</w:t>
      </w:r>
      <w:r>
        <w:rPr>
          <w:b w:val="false"/>
          <w:bCs w:val="false"/>
          <w:i/>
          <w:iCs/>
          <w:color w:val="1A1A1A"/>
          <w:sz w:val="24"/>
          <w:szCs w:val="24"/>
        </w:rPr>
        <w:t xml:space="preserve"/>
      </w:r>
    </w:p>
    <w:p>
      <w:pPr>
        <w:pStyle w:val="Heading2"/>
      </w:pPr>
      <w:r>
        <w:rPr>
          <w:b/>
          <w:bCs/>
          <w:i w:val="false"/>
          <w:iCs w:val="false"/>
          <w:color w:val="1A1A1A"/>
          <w:sz w:val="30"/>
          <w:szCs w:val="30"/>
        </w:rPr>
        <w:t xml:space="preserve">Attachment C.  </w:t>
      </w:r>
      <w:r>
        <w:rPr>
          <w:b/>
          <w:bCs/>
          <w:i w:val="false"/>
          <w:iCs w:val="false"/>
          <w:color w:val="1A1A1A"/>
          <w:sz w:val="30"/>
          <w:szCs w:val="30"/>
        </w:rPr>
        <w:t xml:space="preserve">PREA versus Policy Crosswalk</w:t>
      </w:r>
    </w:p>
    <w:p>
      <w:pPr>
        <w:spacing w:after="140" w:line="276"/>
      </w:pPr>
      <w:r>
        <w:rPr>
          <w:b w:val="false"/>
          <w:bCs w:val="false"/>
          <w:i w:val="false"/>
          <w:iCs w:val="false"/>
          <w:color w:val="1A1A1A"/>
          <w:sz w:val="24"/>
          <w:szCs w:val="24"/>
        </w:rPr>
        <w:t xml:space="preserve">The complete record. All 91 requirements with the departmental provision beside each one, then the same findings regrouped under each of the 17 policies so one document can be worked at a time.</w:t>
      </w:r>
    </w:p>
    <w:p>
      <w:pPr>
        <w:spacing w:after="160" w:line="268"/>
      </w:pPr>
      <w:r>
        <w:rPr>
          <w:b w:val="false"/>
          <w:bCs w:val="false"/>
          <w:i/>
          <w:iCs/>
          <w:color w:val="1A1A1A"/>
          <w:sz w:val="24"/>
          <w:szCs w:val="24"/>
        </w:rPr>
        <w:t xml:space="preserve">The second view is the one to use when opening a specific order: it answers what has to change inside that document.</w:t>
      </w:r>
    </w:p>
    <w:p>
      <w:pPr>
        <w:pStyle w:val="Heading2"/>
      </w:pPr>
      <w:r>
        <w:rPr>
          <w:b/>
          <w:bCs/>
          <w:i w:val="false"/>
          <w:iCs w:val="false"/>
          <w:color w:val="1A1A1A"/>
          <w:sz w:val="30"/>
          <w:szCs w:val="30"/>
        </w:rPr>
        <w:t xml:space="preserve">Attachment D.  </w:t>
      </w:r>
      <w:r>
        <w:rPr>
          <w:b/>
          <w:bCs/>
          <w:i w:val="false"/>
          <w:iCs w:val="false"/>
          <w:color w:val="1A1A1A"/>
          <w:sz w:val="30"/>
          <w:szCs w:val="30"/>
        </w:rPr>
        <w:t xml:space="preserve">Supervisor Decision Guide</w:t>
      </w:r>
    </w:p>
    <w:p>
      <w:pPr>
        <w:spacing w:after="140" w:line="276"/>
      </w:pPr>
      <w:r>
        <w:rPr>
          <w:b w:val="false"/>
          <w:bCs w:val="false"/>
          <w:i w:val="false"/>
          <w:iCs w:val="false"/>
          <w:color w:val="1A1A1A"/>
          <w:sz w:val="24"/>
          <w:szCs w:val="24"/>
        </w:rPr>
        <w:t xml:space="preserve">The long form behind the classification card: the six conduct tiers with the statutory basis for each, the mixed age rules, the full action list, the response sequence after an incident is classified, and who does what.</w:t>
      </w:r>
    </w:p>
    <w:p>
      <w:pPr>
        <w:spacing w:after="160" w:line="268"/>
      </w:pPr>
      <w:r>
        <w:rPr>
          <w:b w:val="false"/>
          <w:bCs w:val="false"/>
          <w:i/>
          <w:iCs/>
          <w:color w:val="1A1A1A"/>
          <w:sz w:val="24"/>
          <w:szCs w:val="24"/>
        </w:rPr>
        <w:t xml:space="preserve">Carries the three ages question, which decides the reporting answer before the conduct is even looked at.</w:t>
      </w:r>
    </w:p>
    <w:p>
      <w:pPr>
        <w:pStyle w:val="Heading2"/>
      </w:pPr>
      <w:r>
        <w:rPr>
          <w:b/>
          <w:bCs/>
          <w:i w:val="false"/>
          <w:iCs w:val="false"/>
          <w:color w:val="1A1A1A"/>
          <w:sz w:val="30"/>
          <w:szCs w:val="30"/>
        </w:rPr>
        <w:t xml:space="preserve">Attachment E.  </w:t>
      </w:r>
      <w:r>
        <w:rPr>
          <w:b/>
          <w:bCs/>
          <w:i w:val="false"/>
          <w:iCs w:val="false"/>
          <w:color w:val="1A1A1A"/>
          <w:sz w:val="30"/>
          <w:szCs w:val="30"/>
        </w:rPr>
        <w:t xml:space="preserve">Supervisor Classification Card</w:t>
      </w:r>
    </w:p>
    <w:p>
      <w:pPr>
        <w:spacing w:after="140" w:line="276"/>
      </w:pPr>
      <w:r>
        <w:rPr>
          <w:b w:val="false"/>
          <w:bCs w:val="false"/>
          <w:i w:val="false"/>
          <w:iCs w:val="false"/>
          <w:color w:val="1A1A1A"/>
          <w:sz w:val="24"/>
          <w:szCs w:val="24"/>
        </w:rPr>
        <w:t xml:space="preserve">One sheet, printed double sided. Ages, the tier chart, the factors that move an incident up a tier, what to do, and the classification block that goes in the incident report.</w:t>
      </w:r>
    </w:p>
    <w:p>
      <w:pPr>
        <w:spacing w:after="160" w:line="268"/>
      </w:pPr>
      <w:r>
        <w:rPr>
          <w:b w:val="false"/>
          <w:bCs w:val="false"/>
          <w:i/>
          <w:iCs/>
          <w:color w:val="1A1A1A"/>
          <w:sz w:val="24"/>
          <w:szCs w:val="24"/>
        </w:rPr>
        <w:t xml:space="preserve">Built from the same source as Attachment D, and the build fails if the two ever disagree about a tier.</w:t>
      </w:r>
    </w:p>
    <w:p>
      <w:pPr>
        <w:pStyle w:val="Heading2"/>
      </w:pPr>
      <w:r>
        <w:rPr>
          <w:b/>
          <w:bCs/>
          <w:i w:val="false"/>
          <w:iCs w:val="false"/>
          <w:color w:val="1A1A1A"/>
          <w:sz w:val="30"/>
          <w:szCs w:val="30"/>
        </w:rPr>
        <w:t xml:space="preserve">Attachment F.  </w:t>
      </w:r>
      <w:r>
        <w:rPr>
          <w:b/>
          <w:bCs/>
          <w:i w:val="false"/>
          <w:iCs w:val="false"/>
          <w:color w:val="1A1A1A"/>
          <w:sz w:val="30"/>
          <w:szCs w:val="30"/>
        </w:rPr>
        <w:t xml:space="preserve">Supervisor Incident Memo Template</w:t>
      </w:r>
    </w:p>
    <w:p>
      <w:pPr>
        <w:spacing w:after="140" w:line="276"/>
      </w:pPr>
      <w:r>
        <w:rPr>
          <w:b w:val="false"/>
          <w:bCs w:val="false"/>
          <w:i w:val="false"/>
          <w:iCs w:val="false"/>
          <w:color w:val="1A1A1A"/>
          <w:sz w:val="24"/>
          <w:szCs w:val="24"/>
        </w:rPr>
        <w:t xml:space="preserve">The memo a supervisor writes after classifying an incident, with the classification options matched to the tier chart.</w:t>
      </w:r>
    </w:p>
    <w:p>
      <w:pPr>
        <w:spacing w:after="160" w:line="268"/>
      </w:pPr>
      <w:r>
        <w:rPr>
          <w:b w:val="false"/>
          <w:bCs w:val="false"/>
          <w:i/>
          <w:iCs/>
          <w:color w:val="1A1A1A"/>
          <w:sz w:val="24"/>
          <w:szCs w:val="24"/>
        </w:rPr>
        <w:t xml:space="preserve">The referral line is blank on purpose. The department has not yet said who conducts youth on youth administrative investigations in the band below sexual assault, which is one of the items under What we need.</w:t>
      </w:r>
    </w:p>
    <w:p>
      <w:pPr>
        <w:pStyle w:val="Heading2"/>
      </w:pPr>
      <w:r>
        <w:rPr>
          <w:b/>
          <w:bCs/>
          <w:i w:val="false"/>
          <w:iCs w:val="false"/>
          <w:color w:val="1A1A1A"/>
          <w:sz w:val="30"/>
          <w:szCs w:val="30"/>
        </w:rPr>
        <w:t xml:space="preserve">Attachment G.  </w:t>
      </w:r>
      <w:r>
        <w:rPr>
          <w:b/>
          <w:bCs/>
          <w:i w:val="false"/>
          <w:iCs w:val="false"/>
          <w:color w:val="1A1A1A"/>
          <w:sz w:val="30"/>
          <w:szCs w:val="30"/>
        </w:rPr>
        <w:t xml:space="preserve">Staffing Plan Factors</w:t>
      </w:r>
    </w:p>
    <w:p>
      <w:pPr>
        <w:spacing w:after="140" w:line="276"/>
      </w:pPr>
      <w:r>
        <w:rPr>
          <w:b w:val="false"/>
          <w:bCs w:val="false"/>
          <w:i w:val="false"/>
          <w:iCs w:val="false"/>
          <w:color w:val="1A1A1A"/>
          <w:sz w:val="24"/>
          <w:szCs w:val="24"/>
        </w:rPr>
        <w:t xml:space="preserve">The factors the federal standard requires a documented staffing plan to address.</w:t>
      </w:r>
    </w:p>
    <w:p>
      <w:pPr>
        <w:spacing w:after="160" w:line="268"/>
      </w:pPr>
      <w:r>
        <w:rPr>
          <w:b w:val="false"/>
          <w:bCs w:val="false"/>
          <w:i/>
          <w:iCs/>
          <w:color w:val="1A1A1A"/>
          <w:sz w:val="24"/>
          <w:szCs w:val="24"/>
        </w:rPr>
        <w:t xml:space="preserve">The staffing finding cannot be called either way until rosters are produced. The state floor sits at the department's written ratio, so the gap may be documentation rather than staffing. That is a materially different conversation and it is cheap to settle.</w:t>
      </w:r>
    </w:p>
    <w:p>
      <w:pPr>
        <w:pStyle w:val="Heading2"/>
      </w:pPr>
      <w:r>
        <w:rPr>
          <w:b/>
          <w:bCs/>
          <w:i w:val="false"/>
          <w:iCs w:val="false"/>
          <w:color w:val="1A1A1A"/>
          <w:sz w:val="30"/>
          <w:szCs w:val="30"/>
        </w:rPr>
        <w:t xml:space="preserve">Attachment H.  </w:t>
      </w:r>
      <w:r>
        <w:rPr>
          <w:b/>
          <w:bCs/>
          <w:i w:val="false"/>
          <w:iCs w:val="false"/>
          <w:color w:val="1A1A1A"/>
          <w:sz w:val="30"/>
          <w:szCs w:val="30"/>
        </w:rPr>
        <w:t xml:space="preserve">OO 1453 with the fixes marked</w:t>
      </w:r>
    </w:p>
    <w:p>
      <w:pPr>
        <w:spacing w:after="140" w:line="276"/>
      </w:pPr>
      <w:r>
        <w:rPr>
          <w:b w:val="false"/>
          <w:bCs w:val="false"/>
          <w:i w:val="false"/>
          <w:iCs w:val="false"/>
          <w:color w:val="1A1A1A"/>
          <w:sz w:val="24"/>
          <w:szCs w:val="24"/>
        </w:rPr>
        <w:t xml:space="preserve">The Sexual Assault order itself, with the proposed amendments shown as Word tracked changes. Struck text is what comes out, underlined text is what goes in. Open it in Word, use Review, and accept or reject each change one at a time. Accepting them all leaves a clean amended order.</w:t>
      </w:r>
    </w:p>
    <w:p>
      <w:pPr>
        <w:spacing w:after="160" w:line="268"/>
      </w:pPr>
      <w:r>
        <w:rPr>
          <w:b w:val="false"/>
          <w:bCs w:val="false"/>
          <w:i/>
          <w:iCs/>
          <w:color w:val="1A1A1A"/>
          <w:sz w:val="24"/>
          <w:szCs w:val="24"/>
        </w:rPr>
        <w:t xml:space="preserve">The base text is the order's own words, transcribed from the PDF produced to this review. Two paragraphs are amended: I.A.6 for the youth interrogation statutes (change 8) and I.A.9 for the child abuse reporting deadline (change 3). Three further defects are recorded in its notes and deliberately not amended, because the fix for those is not a change of wording. </w:t>
      </w:r>
      <w:r>
        <w:rPr>
          <w:b/>
          <w:bCs/>
          <w:i/>
          <w:iCs/>
          <w:color w:val="1A1A1A"/>
          <w:sz w:val="24"/>
          <w:szCs w:val="24"/>
        </w:rPr>
        <w:t xml:space="preserve">Read its Before adoption page first: one open legal question has to go to County Counsel before any of it is relied on.</w:t>
      </w:r>
      <w:r>
        <w:rPr>
          <w:b w:val="false"/>
          <w:bCs w:val="false"/>
          <w:i/>
          <w:iCs/>
          <w:color w:val="1A1A1A"/>
          <w:sz w:val="24"/>
          <w:szCs w:val="24"/>
        </w:rPr>
        <w:t xml:space="preserve"/>
      </w:r>
    </w:p>
    <w:p>
      <w:pPr>
        <w:pStyle w:val="Heading2"/>
      </w:pPr>
      <w:r>
        <w:rPr>
          <w:b/>
          <w:bCs/>
          <w:i w:val="false"/>
          <w:iCs w:val="false"/>
          <w:color w:val="1A1A1A"/>
          <w:sz w:val="30"/>
          <w:szCs w:val="30"/>
        </w:rPr>
        <w:t xml:space="preserve">Attachment I.  </w:t>
      </w:r>
      <w:r>
        <w:rPr>
          <w:b/>
          <w:bCs/>
          <w:i w:val="false"/>
          <w:iCs w:val="false"/>
          <w:color w:val="1A1A1A"/>
          <w:sz w:val="30"/>
          <w:szCs w:val="30"/>
        </w:rPr>
        <w:t xml:space="preserve">OO 1352, the provisions that change</w:t>
      </w:r>
    </w:p>
    <w:p>
      <w:pPr>
        <w:spacing w:after="140" w:line="276"/>
      </w:pPr>
      <w:r>
        <w:rPr>
          <w:b w:val="false"/>
          <w:bCs w:val="false"/>
          <w:i w:val="false"/>
          <w:iCs w:val="false"/>
          <w:color w:val="1A1A1A"/>
          <w:sz w:val="24"/>
          <w:szCs w:val="24"/>
        </w:rPr>
        <w:t xml:space="preserve">The Classification order's amended provisions, shown as Word tracked changes the same way Attachment H shows OO 1453. Covers changes 1 and 6: rescinding the S-8 classification and its automatic single room rule, and separating the risk of being abusive from the risk of being victimised.</w:t>
      </w:r>
    </w:p>
    <w:p>
      <w:pPr>
        <w:spacing w:after="160" w:line="268"/>
      </w:pPr>
      <w:r>
        <w:rPr>
          <w:b w:val="false"/>
          <w:bCs w:val="false"/>
          <w:i/>
          <w:iCs/>
          <w:color w:val="1A1A1A"/>
          <w:sz w:val="24"/>
          <w:szCs w:val="24"/>
        </w:rPr>
        <w:t xml:space="preserve"/>
      </w:r>
      <w:r>
        <w:rPr>
          <w:b/>
          <w:bCs/>
          <w:i/>
          <w:iCs/>
          <w:color w:val="1A1A1A"/>
          <w:sz w:val="24"/>
          <w:szCs w:val="24"/>
        </w:rPr>
        <w:t xml:space="preserve">This one is not the whole order, and Attachment H is.</w:t>
      </w:r>
      <w:r>
        <w:rPr>
          <w:b w:val="false"/>
          <w:bCs w:val="false"/>
          <w:i/>
          <w:iCs/>
          <w:color w:val="1A1A1A"/>
          <w:sz w:val="24"/>
          <w:szCs w:val="24"/>
        </w:rPr>
        <w:t xml:space="preserve"> OO 1352 runs to twelve pages. It was read in full, but the PDF did not survive, so only the provisions quoted at the time are held. Six provisions carry real redlines because their words are the order's. Two are marked as described rather than quoted, carry no redline, and state the required action instead. </w:t>
      </w:r>
      <w:r>
        <w:rPr>
          <w:b/>
          <w:bCs/>
          <w:i/>
          <w:iCs/>
          <w:color w:val="1A1A1A"/>
          <w:sz w:val="24"/>
          <w:szCs w:val="24"/>
        </w:rPr>
        <w:t xml:space="preserve">Upload the OO 1352 PDF again and a complete version can be built, the same way OO 1453 was.</w:t>
      </w:r>
      <w:r>
        <w:rPr>
          <w:b w:val="false"/>
          <w:bCs w:val="false"/>
          <w:i/>
          <w:iCs/>
          <w:color w:val="1A1A1A"/>
          <w:sz w:val="24"/>
          <w:szCs w:val="24"/>
        </w:rPr>
        <w:t xml:space="preserve"/>
      </w:r>
    </w:p>
    <w:p>
      <w:pPr>
        <w:pStyle w:val="Heading2"/>
      </w:pPr>
      <w:r>
        <w:rPr>
          <w:b/>
          <w:bCs/>
          <w:i w:val="false"/>
          <w:iCs w:val="false"/>
          <w:color w:val="1A1A1A"/>
          <w:sz w:val="30"/>
          <w:szCs w:val="30"/>
        </w:rPr>
        <w:t xml:space="preserve">Attachment J.  </w:t>
      </w:r>
      <w:r>
        <w:rPr>
          <w:b/>
          <w:bCs/>
          <w:i w:val="false"/>
          <w:iCs w:val="false"/>
          <w:color w:val="1A1A1A"/>
          <w:sz w:val="30"/>
          <w:szCs w:val="30"/>
        </w:rPr>
        <w:t xml:space="preserve">OO 1352.5, citations and required actions</w:t>
      </w:r>
    </w:p>
    <w:p>
      <w:pPr>
        <w:spacing w:after="140" w:line="276"/>
      </w:pPr>
      <w:r>
        <w:rPr>
          <w:b w:val="false"/>
          <w:bCs w:val="false"/>
          <w:i w:val="false"/>
          <w:iCs w:val="false"/>
          <w:color w:val="1A1A1A"/>
          <w:sz w:val="24"/>
          <w:szCs w:val="24"/>
        </w:rPr>
        <w:t xml:space="preserve">The thirteen provisions of the transgender and intersex order that bear on PREA, what each one does, and the action required. Twelve need no amendment and four exceed the federal standard. One provision, III.I, is the whole finding, and the replacement language for it is drafted here.</w:t>
      </w:r>
    </w:p>
    <w:p>
      <w:pPr>
        <w:spacing w:after="160" w:line="268"/>
      </w:pPr>
      <w:r>
        <w:rPr>
          <w:b w:val="false"/>
          <w:bCs w:val="false"/>
          <w:i/>
          <w:iCs/>
          <w:color w:val="1A1A1A"/>
          <w:sz w:val="24"/>
          <w:szCs w:val="24"/>
        </w:rPr>
        <w:t xml:space="preserve"/>
      </w:r>
      <w:r>
        <w:rPr>
          <w:b/>
          <w:bCs/>
          <w:i/>
          <w:iCs/>
          <w:color w:val="1A1A1A"/>
          <w:sz w:val="24"/>
          <w:szCs w:val="24"/>
        </w:rPr>
        <w:t xml:space="preserve">This one is not a redline and shows no struck text.</w:t>
      </w:r>
      <w:r>
        <w:rPr>
          <w:b w:val="false"/>
          <w:bCs w:val="false"/>
          <w:i/>
          <w:iCs/>
          <w:color w:val="1A1A1A"/>
          <w:sz w:val="24"/>
          <w:szCs w:val="24"/>
        </w:rPr>
        <w:t xml:space="preserve"> OO 1352.5 has never been produced to the review, so its wording is not held and nothing here is a quotation. Produce the order and this becomes a tracked changes document built like Attachment H.</w:t>
      </w:r>
    </w:p>
    <w:p>
      <w:r>
        <w:br w:type="page"/>
      </w:r>
    </w:p>
    <w:p>
      <w:pPr>
        <w:pStyle w:val="Heading1"/>
      </w:pPr>
      <w:r>
        <w:t xml:space="preserve">How to use this package</w:t>
      </w:r>
    </w:p>
    <w:p>
      <w:pPr>
        <w:spacing w:after="140" w:line="276"/>
      </w:pPr>
      <w:r>
        <w:rPr>
          <w:b w:val="false"/>
          <w:bCs w:val="false"/>
          <w:i w:val="false"/>
          <w:iCs w:val="false"/>
          <w:color w:val="1A1A1A"/>
          <w:sz w:val="24"/>
          <w:szCs w:val="24"/>
        </w:rPr>
        <w:t xml:space="preserve">Nobody needs to read all of it. By role:</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Administrators and managers: Attachment A, and page 3 of it is the whole review in five numbered points.</w:t>
      </w:r>
      <w:r>
        <w:rPr>
          <w:b w:val="false"/>
          <w:bCs w:val="false"/>
          <w:i w:val="false"/>
          <w:iCs w:val="false"/>
          <w:color w:val="1A1A1A"/>
          <w:sz w:val="24"/>
          <w:szCs w:val="24"/>
        </w:rPr>
        <w:t xml:space="preserve"> The rest of A is the backup for each point, one page apiece. Twenty minutes.</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Whoever owns policy revision: Attachment B</w:t>
      </w:r>
      <w:r>
        <w:rPr>
          <w:b w:val="false"/>
          <w:bCs w:val="false"/>
          <w:i w:val="false"/>
          <w:iCs w:val="false"/>
          <w:color w:val="1A1A1A"/>
          <w:sz w:val="24"/>
          <w:szCs w:val="24"/>
        </w:rPr>
        <w:t xml:space="preserve">, the amended text for the first seven changes, then </w:t>
      </w:r>
      <w:r>
        <w:rPr>
          <w:b/>
          <w:bCs/>
          <w:i w:val="false"/>
          <w:iCs w:val="false"/>
          <w:color w:val="1A1A1A"/>
          <w:sz w:val="24"/>
          <w:szCs w:val="24"/>
        </w:rPr>
        <w:t xml:space="preserve">Attachment C</w:t>
      </w:r>
      <w:r>
        <w:rPr>
          <w:b w:val="false"/>
          <w:bCs w:val="false"/>
          <w:i w:val="false"/>
          <w:iCs w:val="false"/>
          <w:color w:val="1A1A1A"/>
          <w:sz w:val="24"/>
          <w:szCs w:val="24"/>
        </w:rPr>
        <w:t xml:space="preserve"> for the full requirement by requirement record.</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Supervisors: Attachment E</w:t>
      </w:r>
      <w:r>
        <w:rPr>
          <w:b w:val="false"/>
          <w:bCs w:val="false"/>
          <w:i w:val="false"/>
          <w:iCs w:val="false"/>
          <w:color w:val="1A1A1A"/>
          <w:sz w:val="24"/>
          <w:szCs w:val="24"/>
        </w:rPr>
        <w:t xml:space="preserve">, one sheet printed double sided. Attachment D is the longer version behind it, read once in advance rather than during an incident, and Attachment F is the memo written after an incident is classified.</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Whoever answers the staffing question: Attachment G.</w:t>
      </w:r>
      <w:r>
        <w:rPr>
          <w:b w:val="false"/>
          <w:bCs w:val="false"/>
          <w:i w:val="false"/>
          <w:iCs w:val="false"/>
          <w:color w:val="1A1A1A"/>
          <w:sz w:val="24"/>
          <w:szCs w:val="24"/>
        </w:rPr>
        <w:t xml:space="preserve"/>
      </w:r>
    </w:p>
    <w:p>
      <w:r>
        <w:br w:type="page"/>
      </w:r>
    </w:p>
    <w:p>
      <w:pPr>
        <w:pStyle w:val="Heading1"/>
      </w:pPr>
      <w:r>
        <w:t xml:space="preserve">What is not in this package</w:t>
      </w:r>
    </w:p>
    <w:p>
      <w:pPr>
        <w:spacing w:after="140" w:line="276"/>
      </w:pPr>
      <w:r>
        <w:rPr>
          <w:b w:val="false"/>
          <w:bCs w:val="false"/>
          <w:i w:val="false"/>
          <w:iCs w:val="false"/>
          <w:color w:val="1A1A1A"/>
          <w:sz w:val="24"/>
          <w:szCs w:val="24"/>
        </w:rPr>
        <w:t xml:space="preserve">Stated so the package is not mistaken for the whole file.</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Six earlier documents</w:t>
      </w:r>
      <w:r>
        <w:rPr>
          <w:b w:val="false"/>
          <w:bCs w:val="false"/>
          <w:i w:val="false"/>
          <w:iCs w:val="false"/>
          <w:color w:val="1A1A1A"/>
          <w:sz w:val="24"/>
          <w:szCs w:val="24"/>
        </w:rPr>
        <w:t xml:space="preserve"> are part of this work and are not attached here: the master Policy Review Report, the Applicability Memo, the Liability Exposure Assessment, the Training Gap and Curriculum Plan, the Audit Evidence Request, and the Excel version of the register. They can be supplied on request. </w:t>
      </w:r>
      <w:r>
        <w:rPr>
          <w:b/>
          <w:bCs/>
          <w:i w:val="false"/>
          <w:iCs w:val="false"/>
          <w:color w:val="1A1A1A"/>
          <w:sz w:val="24"/>
          <w:szCs w:val="24"/>
        </w:rPr>
        <w:t xml:space="preserve">The Liability Exposure Assessment carries its own handling warning and should route through County Counsel before it is circulated at all.</w:t>
      </w:r>
      <w:r>
        <w:rPr>
          <w:b w:val="false"/>
          <w:bCs w:val="false"/>
          <w:i w:val="false"/>
          <w:iCs w:val="false"/>
          <w:color w:val="1A1A1A"/>
          <w:sz w:val="24"/>
          <w:szCs w:val="24"/>
        </w:rPr>
        <w:t xml:space="preserve"/>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Seven documents the review asked for and has not received.</w:t>
      </w:r>
      <w:r>
        <w:rPr>
          <w:b w:val="false"/>
          <w:bCs w:val="false"/>
          <w:i w:val="false"/>
          <w:iCs w:val="false"/>
          <w:color w:val="1A1A1A"/>
          <w:sz w:val="24"/>
          <w:szCs w:val="24"/>
        </w:rPr>
        <w:t xml:space="preserve"> Several findings may close on production rather than on any remediation, so producing them is the cheapest work available: the PREA Policy itself, OO 1352.5 on transgender and intersex youth, the separation order OO 1354, the Resident Orientation Handbook, the hiring procedure, the contractor and volunteer screening procedure, and staffing rosters with post assignments.</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The PREA Policy is the highest value of those.</w:t>
      </w:r>
      <w:r>
        <w:rPr>
          <w:b w:val="false"/>
          <w:bCs w:val="false"/>
          <w:i w:val="false"/>
          <w:iCs w:val="false"/>
          <w:color w:val="1A1A1A"/>
          <w:sz w:val="24"/>
          <w:szCs w:val="24"/>
        </w:rPr>
        <w:t xml:space="preserve"> It carries three of the thirteen conflicts and it is the document three of the drafted amendments at Attachment B are written against, which is why those three rest on a reconstruction rather than on the order's real words. </w:t>
      </w:r>
      <w:r>
        <w:rPr>
          <w:b/>
          <w:bCs/>
          <w:i w:val="false"/>
          <w:iCs w:val="false"/>
          <w:color w:val="1A1A1A"/>
          <w:sz w:val="24"/>
          <w:szCs w:val="24"/>
        </w:rPr>
        <w:t xml:space="preserve">OO 1352.5 is the cheapest of them.</w:t>
      </w:r>
      <w:r>
        <w:rPr>
          <w:b w:val="false"/>
          <w:bCs w:val="false"/>
          <w:i w:val="false"/>
          <w:iCs w:val="false"/>
          <w:color w:val="1A1A1A"/>
          <w:sz w:val="24"/>
          <w:szCs w:val="24"/>
        </w:rPr>
        <w:t xml:space="preserve"> Attachment J sets out its provisions and the one amendment wanted, and producing the order turns that attachment into a redline like Attachment H.</w:t>
      </w:r>
    </w:p>
    <w:p>
      <w:pPr>
        <w:pStyle w:val="ListParagraph"/>
        <w:numPr>
          <w:ilvl w:val="0"/>
          <w:numId w:val="1"/>
        </w:numPr>
        <w:spacing w:after="110" w:line="272"/>
      </w:pPr>
      <w:r>
        <w:rPr>
          <w:b w:val="false"/>
          <w:bCs w:val="false"/>
          <w:i w:val="false"/>
          <w:iCs w:val="false"/>
          <w:color w:val="1A1A1A"/>
          <w:sz w:val="24"/>
          <w:szCs w:val="24"/>
        </w:rPr>
        <w:t xml:space="preserve"/>
      </w:r>
      <w:r>
        <w:rPr>
          <w:b/>
          <w:bCs/>
          <w:i w:val="false"/>
          <w:iCs w:val="false"/>
          <w:color w:val="1A1A1A"/>
          <w:sz w:val="24"/>
          <w:szCs w:val="24"/>
        </w:rPr>
        <w:t xml:space="preserve">Training lesson plans are not built yet.</w:t>
      </w:r>
      <w:r>
        <w:rPr>
          <w:b w:val="false"/>
          <w:bCs w:val="false"/>
          <w:i w:val="false"/>
          <w:iCs w:val="false"/>
          <w:color w:val="1A1A1A"/>
          <w:sz w:val="24"/>
          <w:szCs w:val="24"/>
        </w:rPr>
        <w:t xml:space="preserve"> The curriculum analysis exists in one of the six documents above. The all staff and supervisor lesson plans are the next build after the items under What we need are answered.</w:t>
      </w:r>
    </w:p>
    <w:p>
      <w:pPr>
        <w:spacing w:after="2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8"/>
            </w:pPr>
            <w:r>
              <w:rPr>
                <w:b w:val="false"/>
                <w:bCs w:val="false"/>
                <w:i/>
                <w:iCs/>
                <w:color w:val="1A1A1A"/>
                <w:sz w:val="24"/>
                <w:szCs w:val="24"/>
              </w:rPr>
              <w:t xml:space="preserve">This package is a policy and standards analysis prepared for internal departmental use. It is not legal advice, and no part of it should be treated as a legal opinion. Statutory questions, and the records retention schedule in particular, route to County Counsel. Citations have been verified against the operative text rather than recalled, and where a source could not be reached from the review environment the affected statement says so rather than asserting more than was checked.</w:t>
            </w:r>
          </w:p>
        </w:tc>
      </w:tr>
    </w:tbl>
    <w:p>
      <w:pPr>
        <w:spacing w:before="200" w:line="264"/>
      </w:pPr>
      <w:r>
        <w:rPr>
          <w:b w:val="false"/>
          <w:bCs w:val="false"/>
          <w:i/>
          <w:iCs/>
          <w:color w:val="595959"/>
          <w:sz w:val="24"/>
          <w:szCs w:val="24"/>
        </w:rPr>
        <w:t xml:space="preserve">Generated document, drawn from gap register Revision 11. This copy is regenerated from source; edits made here are not carried forward.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YDF PREA Compliance, Briefing and document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A1A1A"/>
      <w:sz w:val="34"/>
      <w:szCs w:val="34"/>
    </w:rPr>
  </w:style>
  <w:style w:type="paragraph" w:styleId="Heading2">
    <w:name w:val="Heading 2"/>
    <w:basedOn w:val="Normal"/>
    <w:next w:val="Normal"/>
    <w:qFormat/>
    <w:pPr>
      <w:spacing w:after="120" w:before="260"/>
    </w:pPr>
    <w:rPr>
      <w:rFonts w:ascii="Calibri" w:cs="Calibri" w:eastAsia="Calibri" w:hAnsi="Calibri"/>
      <w:b/>
      <w:bCs/>
      <w:color w:val="1A1A1A"/>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2026-10-30T20:04:30.938Z</dcterms:created>
  <dcterms:modified xsi:type="dcterms:W3CDTF">2026-10-30T20:04:30.938Z</dcterms:modified>
</cp:coreProperties>
</file>

<file path=docProps/custom.xml><?xml version="1.0" encoding="utf-8"?>
<Properties xmlns="http://schemas.openxmlformats.org/officeDocument/2006/custom-properties" xmlns:vt="http://schemas.openxmlformats.org/officeDocument/2006/docPropsVTypes"/>
</file>