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i w:val="false"/>
          <w:iCs w:val="false"/>
          <w:color w:val="1A1A1A"/>
          <w:sz w:val="48"/>
          <w:szCs w:val="48"/>
        </w:rPr>
        <w:t xml:space="preserve">PREA Incident Classification Card</w:t>
      </w:r>
    </w:p>
    <w:p>
      <w:pPr>
        <w:spacing w:after="320"/>
        <w:jc w:val="center"/>
      </w:pPr>
      <w:r>
        <w:rPr>
          <w:b w:val="false"/>
          <w:bCs w:val="false"/>
          <w:i w:val="false"/>
          <w:iCs w:val="false"/>
          <w:color w:val="595959"/>
          <w:sz w:val="32"/>
          <w:szCs w:val="32"/>
        </w:rPr>
        <w:t xml:space="preserve">Supervisor field version. Five steps, then write it down.</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Use this to classify an incident and act on it. It is the short form of the Supervisor Decision Guide, which carries the statutory text, the authority and the reasoning behind every answer here. When an answer on this card surprises you, or someone challenges it, go to the full guide. </w:t>
            </w:r>
            <w:r>
              <w:rPr>
                <w:b/>
                <w:bCs/>
                <w:i w:val="false"/>
                <w:iCs w:val="false"/>
                <w:color w:val="1A1A1A"/>
                <w:sz w:val="24"/>
                <w:szCs w:val="24"/>
              </w:rPr>
              <w:t xml:space="preserve">This card is youth-on-youth only.</w:t>
            </w:r>
            <w:r>
              <w:rPr>
                <w:b w:val="false"/>
                <w:bCs w:val="false"/>
                <w:i w:val="false"/>
                <w:iCs w:val="false"/>
                <w:color w:val="1A1A1A"/>
                <w:sz w:val="24"/>
                <w:szCs w:val="24"/>
              </w:rPr>
              <w:t xml:space="preserve"> If any staff member is involved in any way, stop and use the staff track in the full guide instead.</w:t>
            </w:r>
          </w:p>
        </w:tc>
      </w:tr>
    </w:tbl>
    <w:p>
      <w:r>
        <w:br w:type="page"/>
      </w:r>
    </w:p>
    <w:p>
      <w:pPr>
        <w:pStyle w:val="Heading1"/>
        <w:spacing w:after="160" w:before="32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120" w:line="276"/>
      </w:pPr>
      <w:r>
        <w:rPr>
          <w:b w:val="false"/>
          <w:bCs w:val="false"/>
          <w:i w:val="false"/>
          <w:iCs w:val="false"/>
          <w:color w:val="1A1A1A"/>
          <w:sz w:val="24"/>
          <w:szCs w:val="24"/>
        </w:rPr>
        <w:t xml:space="preserve">Age decides the CPS column. Settle it first, because it changes the answer before you even look at the conduct. Residents 18 and over are not children for CANRA, whatever the court jurisdiction, and the department does not treat them as dependent adults.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668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668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r>
        <w:br w:type="page"/>
      </w:r>
    </w:p>
    <w:p>
      <w:pPr>
        <w:pStyle w:val="Heading1"/>
        <w:spacing w:after="160" w:before="32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120" w:line="276"/>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120"/>
        <w:gridCol w:w="2500"/>
        <w:gridCol w:w="2700"/>
      </w:tblGrid>
      <w:tr>
        <w:trPr>
          <w:tblHeader/>
        </w:trPr>
        <w:tc>
          <w:tcPr>
            <w:tcW w:type="dxa" w:w="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12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2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60" w:before="32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120" w:line="276"/>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r>
        <w:br w:type="page"/>
      </w:r>
    </w:p>
    <w:p>
      <w:pPr>
        <w:pStyle w:val="Heading1"/>
        <w:spacing w:after="160" w:before="320"/>
      </w:pPr>
      <w:r>
        <w:rPr>
          <w:b/>
          <w:bCs/>
          <w:i w:val="false"/>
          <w:iCs w:val="false"/>
          <w:color w:val="1A1A1A"/>
          <w:sz w:val="34"/>
          <w:szCs w:val="34"/>
        </w:rPr>
        <w:t xml:space="preserve">Step 4.  </w:t>
      </w:r>
      <w:r>
        <w:rPr>
          <w:b/>
          <w:bCs/>
          <w:i w:val="false"/>
          <w:iCs w:val="false"/>
          <w:color w:val="1A1A1A"/>
          <w:sz w:val="34"/>
          <w:szCs w:val="34"/>
        </w:rPr>
        <w:t xml:space="preserve">Act</w:t>
      </w:r>
    </w:p>
    <w:p>
      <w:pPr>
        <w:spacing w:after="120" w:line="276"/>
      </w:pPr>
      <w:r>
        <w:rPr>
          <w:b w:val="false"/>
          <w:bCs w:val="false"/>
          <w:i w:val="false"/>
          <w:iCs w:val="false"/>
          <w:color w:val="1A1A1A"/>
          <w:sz w:val="24"/>
          <w:szCs w:val="24"/>
        </w:rPr>
        <w:t xml:space="preserve">Cumulative. Each block adds to the one above it.</w:t>
      </w:r>
    </w:p>
    <w:p>
      <w:pPr>
        <w:pStyle w:val="Heading2"/>
      </w:pPr>
      <w:r>
        <w:t xml:space="preserve">Every tier, including tier 1</w:t>
      </w:r>
    </w:p>
    <w:p>
      <w:pPr>
        <w:pStyle w:val="ListParagraph"/>
        <w:numPr>
          <w:ilvl w:val="0"/>
          <w:numId w:val="1"/>
        </w:numPr>
        <w:spacing w:after="70" w:line="264"/>
      </w:pPr>
      <w:r>
        <w:rPr>
          <w:b w:val="false"/>
          <w:bCs w:val="false"/>
          <w:i w:val="false"/>
          <w:iCs w:val="false"/>
          <w:color w:val="1A1A1A"/>
          <w:sz w:val="24"/>
          <w:szCs w:val="24"/>
        </w:rPr>
        <w:t xml:space="preserve">Separate the youth. Check the target is safe.</w:t>
      </w:r>
    </w:p>
    <w:p>
      <w:pPr>
        <w:pStyle w:val="ListParagraph"/>
        <w:numPr>
          <w:ilvl w:val="0"/>
          <w:numId w:val="1"/>
        </w:numPr>
        <w:spacing w:after="70" w:line="264"/>
      </w:pPr>
      <w:r>
        <w:rPr>
          <w:b w:val="false"/>
          <w:bCs w:val="false"/>
          <w:i w:val="false"/>
          <w:iCs w:val="false"/>
          <w:color w:val="1A1A1A"/>
          <w:sz w:val="24"/>
          <w:szCs w:val="24"/>
        </w:rPr>
        <w:t xml:space="preserve">Staff tells the Duty Supervisor immediately.</w:t>
      </w:r>
    </w:p>
    <w:p>
      <w:pPr>
        <w:pStyle w:val="ListParagraph"/>
        <w:numPr>
          <w:ilvl w:val="0"/>
          <w:numId w:val="1"/>
        </w:numPr>
        <w:spacing w:after="70" w:line="264"/>
      </w:pPr>
      <w:r>
        <w:rPr>
          <w:b w:val="false"/>
          <w:bCs w:val="false"/>
          <w:i w:val="false"/>
          <w:iCs w:val="false"/>
          <w:color w:val="1A1A1A"/>
          <w:sz w:val="24"/>
          <w:szCs w:val="24"/>
        </w:rPr>
        <w:t xml:space="preserve">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and the target's response verbatim.</w:t>
      </w:r>
    </w:p>
    <w:p>
      <w:pPr>
        <w:pStyle w:val="ListParagraph"/>
        <w:numPr>
          <w:ilvl w:val="0"/>
          <w:numId w:val="1"/>
        </w:numPr>
        <w:spacing w:after="70" w:line="264"/>
      </w:pPr>
      <w:r>
        <w:rPr>
          <w:b w:val="false"/>
          <w:bCs w:val="false"/>
          <w:i w:val="false"/>
          <w:iCs w:val="false"/>
          <w:color w:val="1A1A1A"/>
          <w:sz w:val="24"/>
          <w:szCs w:val="24"/>
        </w:rPr>
        <w:t xml:space="preserve">Record your classification and the reason, including a decision not to make a CPS report.</w:t>
      </w:r>
    </w:p>
    <w:p>
      <w:pPr>
        <w:pStyle w:val="ListParagraph"/>
        <w:numPr>
          <w:ilvl w:val="0"/>
          <w:numId w:val="1"/>
        </w:numPr>
        <w:spacing w:after="70" w:line="264"/>
      </w:pPr>
      <w:r>
        <w:rPr>
          <w:b w:val="false"/>
          <w:bCs w:val="false"/>
          <w:i w:val="false"/>
          <w:iCs w:val="false"/>
          <w:color w:val="1A1A1A"/>
          <w:sz w:val="24"/>
          <w:szCs w:val="24"/>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70" w:line="264"/>
      </w:pPr>
      <w:r>
        <w:rPr>
          <w:b w:val="false"/>
          <w:bCs w:val="false"/>
          <w:i w:val="false"/>
          <w:iCs w:val="false"/>
          <w:color w:val="1A1A1A"/>
          <w:sz w:val="24"/>
          <w:szCs w:val="24"/>
        </w:rPr>
        <w:t xml:space="preserve">Log it as a PREA incident.</w:t>
      </w:r>
    </w:p>
    <w:p>
      <w:pPr>
        <w:pStyle w:val="ListParagraph"/>
        <w:numPr>
          <w:ilvl w:val="0"/>
          <w:numId w:val="1"/>
        </w:numPr>
        <w:spacing w:after="70" w:line="264"/>
      </w:pPr>
      <w:r>
        <w:rPr>
          <w:b w:val="false"/>
          <w:bCs w:val="false"/>
          <w:i w:val="false"/>
          <w:iCs w:val="false"/>
          <w:color w:val="1A1A1A"/>
          <w:sz w:val="24"/>
          <w:szCs w:val="24"/>
        </w:rPr>
        <w:t xml:space="preserve">Decide whether the target is at substantial risk of imminent sexual abuse. If yes, act to protect now, separately from any investigation.</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Telephone the mandated report immediately</w:t>
      </w:r>
      <w:r>
        <w:rPr>
          <w:b w:val="false"/>
          <w:bCs w:val="false"/>
          <w:i w:val="false"/>
          <w:iCs w:val="false"/>
          <w:color w:val="1A1A1A"/>
          <w:sz w:val="24"/>
          <w:szCs w:val="24"/>
        </w:rPr>
        <w:t xml:space="preserve">, or as soon as practicably possible. Written report on form SS 8572 within 36 hours.</w:t>
      </w:r>
    </w:p>
    <w:p>
      <w:pPr>
        <w:pStyle w:val="ListParagraph"/>
        <w:numPr>
          <w:ilvl w:val="0"/>
          <w:numId w:val="1"/>
        </w:numPr>
        <w:spacing w:after="70" w:line="264"/>
      </w:pPr>
      <w:r>
        <w:rPr>
          <w:b w:val="false"/>
          <w:bCs w:val="false"/>
          <w:i w:val="false"/>
          <w:iCs w:val="false"/>
          <w:color w:val="1A1A1A"/>
          <w:sz w:val="24"/>
          <w:szCs w:val="24"/>
        </w:rPr>
        <w:t xml:space="preserve">Do not wait for the investigation, the end of shift, or anyone's approval.</w:t>
      </w:r>
    </w:p>
    <w:p>
      <w:pPr>
        <w:pStyle w:val="ListParagraph"/>
        <w:numPr>
          <w:ilvl w:val="0"/>
          <w:numId w:val="1"/>
        </w:numPr>
        <w:spacing w:after="70" w:line="264"/>
      </w:pPr>
      <w:r>
        <w:rPr>
          <w:b w:val="false"/>
          <w:bCs w:val="false"/>
          <w:i w:val="false"/>
          <w:iCs w:val="false"/>
          <w:color w:val="1A1A1A"/>
          <w:sz w:val="24"/>
          <w:szCs w:val="24"/>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70" w:line="264"/>
      </w:pPr>
      <w:r>
        <w:rPr>
          <w:b w:val="false"/>
          <w:bCs w:val="false"/>
          <w:i w:val="false"/>
          <w:iCs w:val="false"/>
          <w:color w:val="1A1A1A"/>
          <w:sz w:val="24"/>
          <w:szCs w:val="24"/>
        </w:rPr>
        <w:t xml:space="preserve">Treat it as a sexual abuse allegation from the first moment.</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changing or cleaning up. Secure the area.</w:t>
      </w:r>
    </w:p>
    <w:p>
      <w:pPr>
        <w:pStyle w:val="ListParagraph"/>
        <w:numPr>
          <w:ilvl w:val="0"/>
          <w:numId w:val="1"/>
        </w:numPr>
        <w:spacing w:after="70" w:line="264"/>
      </w:pPr>
      <w:r>
        <w:rPr>
          <w:b w:val="false"/>
          <w:bCs w:val="false"/>
          <w:i w:val="false"/>
          <w:iCs w:val="false"/>
          <w:color w:val="1A1A1A"/>
          <w:sz w:val="24"/>
          <w:szCs w:val="24"/>
        </w:rPr>
        <w:t xml:space="preserve">Refer for investigation. Every allegation gets one. There is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Tier 6 adds: law enforcement notification, forensic exam off site, and notice to the parent or guardian and counsel.</w:t>
      </w:r>
    </w:p>
    <w:p>
      <w:r>
        <w:br w:type="page"/>
      </w:r>
    </w:p>
    <w:p>
      <w:pPr>
        <w:pStyle w:val="Heading1"/>
        <w:spacing w:after="160" w:before="32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120" w:line="276"/>
      </w:pPr>
      <w:r>
        <w:rPr>
          <w:b w:val="false"/>
          <w:bCs w:val="false"/>
          <w:i w:val="false"/>
          <w:iCs w:val="false"/>
          <w:color w:val="1A1A1A"/>
          <w:sz w:val="24"/>
          <w:szCs w:val="24"/>
        </w:rPr>
        <w:t xml:space="preserve">Put this block in the incident report every time, including when you decide it is nothing. PREA sexual harassment requires conduct that is repeated, and repetition only exists if the first one was written down.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p>
      <w:r>
        <w:br w:type="page"/>
      </w:r>
    </w:p>
    <w:p>
      <w:pPr>
        <w:pStyle w:val="Heading1"/>
        <w:spacing w:after="160" w:before="320"/>
      </w:pPr>
      <w:r>
        <w:rPr>
          <w:b/>
          <w:bCs/>
          <w:i w:val="false"/>
          <w:iCs w:val="false"/>
          <w:color w:val="1A1A1A"/>
          <w:sz w:val="34"/>
          <w:szCs w:val="34"/>
        </w:rPr>
        <w:t xml:space="preserve">Step 6.  </w:t>
      </w:r>
      <w:r>
        <w:rPr>
          <w:b/>
          <w:bCs/>
          <w:i w:val="false"/>
          <w:iCs w:val="false"/>
          <w:color w:val="1A1A1A"/>
          <w:sz w:val="34"/>
          <w:szCs w:val="34"/>
        </w:rPr>
        <w:t xml:space="preserve">What happens after you call it PREA</w:t>
      </w:r>
    </w:p>
    <w:p>
      <w:pPr>
        <w:spacing w:after="120" w:line="276"/>
      </w:pPr>
      <w:r>
        <w:rPr>
          <w:b w:val="false"/>
          <w:bCs w:val="false"/>
          <w:i w:val="false"/>
          <w:iCs w:val="false"/>
          <w:color w:val="1A1A1A"/>
          <w:sz w:val="24"/>
          <w:szCs w:val="24"/>
        </w:rPr>
        <w:t xml:space="preserve">Classifying it is the start, not the end. This is the sequence OO 1453 and the PREA Policy set out, in order. Provenance: OO 1453 has never been produced to this review, so these section numbers and their content trace to the gap register, which traces to the earlier review that did read the order. Confirm against the order before relying on a number.</w:t>
      </w:r>
    </w:p>
    <w:p>
      <w:pPr>
        <w:pStyle w:val="Heading2"/>
      </w:pPr>
      <w:r>
        <w:t xml:space="preserve">1. First response, immediately</w:t>
      </w:r>
    </w:p>
    <w:p>
      <w:pPr>
        <w:spacing w:after="90"/>
      </w:pPr>
      <w:r>
        <w:rPr>
          <w:b w:val="false"/>
          <w:bCs w:val="false"/>
          <w:i/>
          <w:iCs/>
          <w:color w:val="595959"/>
          <w:sz w:val="24"/>
          <w:szCs w:val="24"/>
        </w:rPr>
        <w:t xml:space="preserve">OO 1453 I.A.1, I.A.3 to I.A.5</w:t>
      </w:r>
    </w:p>
    <w:p>
      <w:pPr>
        <w:pStyle w:val="ListParagraph"/>
        <w:numPr>
          <w:ilvl w:val="0"/>
          <w:numId w:val="1"/>
        </w:numPr>
        <w:spacing w:after="70" w:line="264"/>
      </w:pPr>
      <w:r>
        <w:rPr>
          <w:b w:val="false"/>
          <w:bCs w:val="false"/>
          <w:i w:val="false"/>
          <w:iCs w:val="false"/>
          <w:color w:val="1A1A1A"/>
          <w:sz w:val="24"/>
          <w:szCs w:val="24"/>
        </w:rPr>
        <w:t xml:space="preserve">Separate victim and suspect. </w:t>
      </w:r>
      <w:r>
        <w:rPr>
          <w:b/>
          <w:bCs/>
          <w:i w:val="false"/>
          <w:iCs w:val="false"/>
          <w:color w:val="1A1A1A"/>
          <w:sz w:val="24"/>
          <w:szCs w:val="24"/>
        </w:rPr>
        <w:t xml:space="preserve">No contact between them.</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Protect the crime scene: the youth's room, the shower area, the laundry room. Seal it off and deny access to other staff and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Neither youth showers, changes or cleans up.</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Keep both out of the bathroom where you can. If one is used, collect the toilet tissue as evidence.</w:t>
      </w:r>
    </w:p>
    <w:p>
      <w:pPr>
        <w:pStyle w:val="Heading2"/>
      </w:pPr>
      <w:r>
        <w:t xml:space="preserve">2. Initial statement, and the trap in it</w:t>
      </w:r>
    </w:p>
    <w:p>
      <w:pPr>
        <w:spacing w:after="90"/>
      </w:pPr>
      <w:r>
        <w:rPr>
          <w:b w:val="false"/>
          <w:bCs w:val="false"/>
          <w:i/>
          <w:iCs/>
          <w:color w:val="595959"/>
          <w:sz w:val="24"/>
          <w:szCs w:val="24"/>
        </w:rPr>
        <w:t xml:space="preserve">OO 1453 I.A.6; WIC 625.6</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I.A.6: "The duty supervisor shall take an initial statement from the victim and suspect."</w:t>
      </w:r>
      <w:r>
        <w:rPr>
          <w:b w:val="false"/>
          <w:bCs w:val="false"/>
          <w:i w:val="false"/>
          <w:iCs w:val="false"/>
          <w:color w:val="1A1A1A"/>
          <w:sz w:val="24"/>
          <w:szCs w:val="24"/>
        </w:rPr>
        <w:t xml:space="preserve"> This is directed, not optional, and it is yours.</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I.A.6 also says all suspects "shall be read a Miranda Warning, prior to any questioning."</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STOP THERE IF THE SUSPECT IS 17 OR UNDER.</w:t>
      </w:r>
      <w:r>
        <w:rPr>
          <w:b w:val="false"/>
          <w:bCs w:val="false"/>
          <w:i w:val="false"/>
          <w:iCs w:val="false"/>
          <w:color w:val="1A1A1A"/>
          <w:sz w:val="24"/>
          <w:szCs w:val="24"/>
        </w:rPr>
        <w:t xml:space="preserve"> WIC 625.6 requires that youth to consult legal counsel, in person, by telephone or by video, BEFORE any custodial interrogation and BEFORE waiving Miranda. </w:t>
      </w:r>
      <w:r>
        <w:rPr>
          <w:b/>
          <w:bCs/>
          <w:i w:val="false"/>
          <w:iCs w:val="false"/>
          <w:color w:val="1A1A1A"/>
          <w:sz w:val="24"/>
          <w:szCs w:val="24"/>
        </w:rPr>
        <w:t xml:space="preserve">The consultation cannot be waived.</w:t>
      </w:r>
      <w:r>
        <w:rPr>
          <w:b w:val="false"/>
          <w:bCs w:val="false"/>
          <w:i w:val="false"/>
          <w:iCs w:val="false"/>
          <w:color w:val="1A1A1A"/>
          <w:sz w:val="24"/>
          <w:szCs w:val="24"/>
        </w:rPr>
        <w:t xml:space="preserve"> The order predates that statute by more than a year and does not mention it. Get the consultation, then question, and write down that you did.</w:t>
      </w:r>
    </w:p>
    <w:p>
      <w:pPr>
        <w:pStyle w:val="ListParagraph"/>
        <w:numPr>
          <w:ilvl w:val="0"/>
          <w:numId w:val="1"/>
        </w:numPr>
        <w:spacing w:after="70" w:line="264"/>
      </w:pPr>
      <w:r>
        <w:rPr>
          <w:b w:val="false"/>
          <w:bCs w:val="false"/>
          <w:i w:val="false"/>
          <w:iCs w:val="false"/>
          <w:color w:val="1A1A1A"/>
          <w:sz w:val="24"/>
          <w:szCs w:val="24"/>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b w:val="false"/>
          <w:bCs w:val="false"/>
          <w:i/>
          <w:iCs/>
          <w:color w:val="595959"/>
          <w:sz w:val="24"/>
          <w:szCs w:val="24"/>
        </w:rPr>
        <w:t xml:space="preserve">OO 1453 I.A.8 to I.A.10; PC 11166(a)</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Duty Supervisor notifies the Sheriff's Department immediately</w:t>
      </w:r>
      <w:r>
        <w:rPr>
          <w:b w:val="false"/>
          <w:bCs w:val="false"/>
          <w:i w:val="false"/>
          <w:iCs w:val="false"/>
          <w:color w:val="1A1A1A"/>
          <w:sz w:val="24"/>
          <w:szCs w:val="24"/>
        </w:rPr>
        <w:t xml:space="preserve"> once it is believed a sexual assault occurred.</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CPS by telephone immediately</w:t>
      </w:r>
      <w:r>
        <w:rPr>
          <w:b w:val="false"/>
          <w:bCs w:val="false"/>
          <w:i w:val="false"/>
          <w:iCs w:val="false"/>
          <w:color w:val="1A1A1A"/>
          <w:sz w:val="24"/>
          <w:szCs w:val="24"/>
        </w:rPr>
        <w:t xml:space="preserve">, where the age chart says a report is due. Written report on SS 8572 within 36 hours. Note: PREA Policy V.A.4 and OO 1453 I.A.9 both say 24 hours. </w:t>
      </w:r>
      <w:r>
        <w:rPr>
          <w:b/>
          <w:bCs/>
          <w:i w:val="false"/>
          <w:iCs w:val="false"/>
          <w:color w:val="1A1A1A"/>
          <w:sz w:val="24"/>
          <w:szCs w:val="24"/>
        </w:rPr>
        <w:t xml:space="preserve">That is wrong and the law controls.</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b w:val="false"/>
          <w:bCs w:val="false"/>
          <w:i/>
          <w:iCs/>
          <w:color w:val="595959"/>
          <w:sz w:val="24"/>
          <w:szCs w:val="24"/>
        </w:rPr>
        <w:t xml:space="preserve">OO 1453 I.A.11</w:t>
      </w:r>
    </w:p>
    <w:p>
      <w:pPr>
        <w:pStyle w:val="ListParagraph"/>
        <w:numPr>
          <w:ilvl w:val="0"/>
          <w:numId w:val="1"/>
        </w:numPr>
        <w:spacing w:after="70" w:line="264"/>
      </w:pPr>
      <w:r>
        <w:rPr>
          <w:b w:val="false"/>
          <w:bCs w:val="false"/>
          <w:i w:val="false"/>
          <w:iCs w:val="false"/>
          <w:color w:val="1A1A1A"/>
          <w:sz w:val="24"/>
          <w:szCs w:val="24"/>
        </w:rPr>
        <w:t xml:space="preserve">Duty Supervisor photographs the scene, gloves up, collects and marks each item with date, time, location, ownership and description.</w:t>
      </w:r>
    </w:p>
    <w:p>
      <w:pPr>
        <w:pStyle w:val="ListParagraph"/>
        <w:numPr>
          <w:ilvl w:val="0"/>
          <w:numId w:val="1"/>
        </w:numPr>
        <w:spacing w:after="70" w:line="264"/>
      </w:pPr>
      <w:r>
        <w:rPr>
          <w:b w:val="false"/>
          <w:bCs w:val="false"/>
          <w:i w:val="false"/>
          <w:iCs w:val="false"/>
          <w:color w:val="1A1A1A"/>
          <w:sz w:val="24"/>
          <w:szCs w:val="24"/>
        </w:rPr>
        <w:t xml:space="preserve">Seal it, log it, place it in the evidence locker at Intake and Booking.</w:t>
      </w:r>
    </w:p>
    <w:p>
      <w:pPr>
        <w:pStyle w:val="Heading2"/>
      </w:pPr>
      <w:r>
        <w:t xml:space="preserve">5. Medical and advocate</w:t>
      </w:r>
    </w:p>
    <w:p>
      <w:pPr>
        <w:spacing w:after="90"/>
      </w:pPr>
      <w:r>
        <w:rPr>
          <w:b w:val="false"/>
          <w:bCs w:val="false"/>
          <w:i/>
          <w:iCs/>
          <w:color w:val="595959"/>
          <w:sz w:val="24"/>
          <w:szCs w:val="24"/>
        </w:rPr>
        <w:t xml:space="preserve">OO 1453 I.A.13; PREA Policy VIII.A and XV.A; PC 264.2, PC 679.04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Evidentiary examination happens off site</w:t>
      </w:r>
      <w:r>
        <w:rPr>
          <w:b w:val="false"/>
          <w:bCs w:val="false"/>
          <w:i w:val="false"/>
          <w:iCs w:val="false"/>
          <w:color w:val="1A1A1A"/>
          <w:sz w:val="24"/>
          <w:szCs w:val="24"/>
        </w:rPr>
        <w:t xml:space="preserve">, at a health facility separate from the custodial facility.</w:t>
      </w:r>
    </w:p>
    <w:p>
      <w:pPr>
        <w:pStyle w:val="ListParagraph"/>
        <w:numPr>
          <w:ilvl w:val="0"/>
          <w:numId w:val="1"/>
        </w:numPr>
        <w:spacing w:after="70" w:line="264"/>
      </w:pPr>
      <w:r>
        <w:rPr>
          <w:b w:val="false"/>
          <w:bCs w:val="false"/>
          <w:i w:val="false"/>
          <w:iCs w:val="false"/>
          <w:color w:val="1A1A1A"/>
          <w:sz w:val="24"/>
          <w:szCs w:val="24"/>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70" w:line="264"/>
      </w:pPr>
      <w:r>
        <w:rPr>
          <w:b w:val="false"/>
          <w:bCs w:val="false"/>
          <w:i w:val="false"/>
          <w:iCs w:val="false"/>
          <w:color w:val="1A1A1A"/>
          <w:sz w:val="24"/>
          <w:szCs w:val="24"/>
        </w:rPr>
        <w:t xml:space="preserve">Crisis counseling.</w:t>
      </w:r>
    </w:p>
    <w:p>
      <w:pPr>
        <w:pStyle w:val="Heading2"/>
      </w:pPr>
      <w:r>
        <w:t xml:space="preserve">6. Investigation</w:t>
      </w:r>
    </w:p>
    <w:p>
      <w:pPr>
        <w:spacing w:after="90"/>
      </w:pPr>
      <w:r>
        <w:rPr>
          <w:b w:val="false"/>
          <w:bCs w:val="false"/>
          <w:i/>
          <w:iCs/>
          <w:color w:val="595959"/>
          <w:sz w:val="24"/>
          <w:szCs w:val="24"/>
        </w:rPr>
        <w:t xml:space="preserve">28 CFR 115.371(a); OO 1453 I.A.14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Every allegation gets an administrative or criminal investigation.</w:t>
      </w:r>
      <w:r>
        <w:rPr>
          <w:b w:val="false"/>
          <w:bCs w:val="false"/>
          <w:i w:val="false"/>
          <w:iCs w:val="false"/>
          <w:color w:val="1A1A1A"/>
          <w:sz w:val="24"/>
          <w:szCs w:val="24"/>
        </w:rPr>
        <w:t xml:space="preserve"> There is no threshold of plausibility and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Investigative reports route to the Supervising District Attorney and the Sheriff's Sexual Assaults Unit.</w:t>
      </w:r>
    </w:p>
    <w:p>
      <w:pPr>
        <w:pStyle w:val="Heading2"/>
      </w:pPr>
      <w:r>
        <w:t xml:space="preserve">7. Incident review, at the conclusion</w:t>
      </w:r>
    </w:p>
    <w:p>
      <w:pPr>
        <w:spacing w:after="90"/>
      </w:pPr>
      <w:r>
        <w:rPr>
          <w:b w:val="false"/>
          <w:bCs w:val="false"/>
          <w:i/>
          <w:iCs/>
          <w:color w:val="595959"/>
          <w:sz w:val="24"/>
          <w:szCs w:val="24"/>
        </w:rPr>
        <w:t xml:space="preserve">OO 1453 I.A.15; PREA Policy V.A.8; 28 CFR 115.386</w:t>
      </w:r>
    </w:p>
    <w:p>
      <w:pPr>
        <w:pStyle w:val="ListParagraph"/>
        <w:numPr>
          <w:ilvl w:val="0"/>
          <w:numId w:val="1"/>
        </w:numPr>
        <w:spacing w:after="70" w:line="264"/>
      </w:pPr>
      <w:r>
        <w:rPr>
          <w:b w:val="false"/>
          <w:bCs w:val="false"/>
          <w:i w:val="false"/>
          <w:iCs w:val="false"/>
          <w:color w:val="1A1A1A"/>
          <w:sz w:val="24"/>
          <w:szCs w:val="24"/>
        </w:rPr>
        <w:t xml:space="preserve">Upper management conducts a review, with input from supervisors, investigators and medical or mental health staff.</w:t>
      </w:r>
    </w:p>
    <w:p>
      <w:pPr>
        <w:pStyle w:val="ListParagraph"/>
        <w:numPr>
          <w:ilvl w:val="0"/>
          <w:numId w:val="1"/>
        </w:numPr>
        <w:spacing w:after="70" w:line="264"/>
      </w:pPr>
      <w:r>
        <w:rPr>
          <w:b w:val="false"/>
          <w:bCs w:val="false"/>
          <w:i w:val="false"/>
          <w:iCs w:val="false"/>
          <w:color w:val="1A1A1A"/>
          <w:sz w:val="24"/>
          <w:szCs w:val="24"/>
        </w:rPr>
        <w:t xml:space="preserve">A written report is generated and forwarded to the Department Chief.</w:t>
      </w:r>
    </w:p>
    <w:p>
      <w:pPr>
        <w:pStyle w:val="ListParagraph"/>
        <w:numPr>
          <w:ilvl w:val="0"/>
          <w:numId w:val="1"/>
        </w:numPr>
        <w:spacing w:after="70" w:line="264"/>
      </w:pPr>
      <w:r>
        <w:rPr>
          <w:b w:val="false"/>
          <w:bCs w:val="false"/>
          <w:i w:val="false"/>
          <w:iCs w:val="false"/>
          <w:color w:val="1A1A1A"/>
          <w:sz w:val="24"/>
          <w:szCs w:val="24"/>
        </w:rPr>
        <w:t xml:space="preserve">The review is required for </w:t>
      </w:r>
      <w:r>
        <w:rPr>
          <w:b/>
          <w:bCs/>
          <w:i w:val="false"/>
          <w:iCs w:val="false"/>
          <w:color w:val="1A1A1A"/>
          <w:sz w:val="24"/>
          <w:szCs w:val="24"/>
        </w:rPr>
        <w:t xml:space="preserve">unsubstantiated</w:t>
      </w:r>
      <w:r>
        <w:rPr>
          <w:b w:val="false"/>
          <w:bCs w:val="false"/>
          <w:i w:val="false"/>
          <w:iCs w:val="false"/>
          <w:color w:val="1A1A1A"/>
          <w:sz w:val="24"/>
          <w:szCs w:val="24"/>
        </w:rPr>
        <w:t xml:space="preserve"> allegations too. Only an </w:t>
      </w:r>
      <w:r>
        <w:rPr>
          <w:b/>
          <w:bCs/>
          <w:i w:val="false"/>
          <w:iCs w:val="false"/>
          <w:color w:val="1A1A1A"/>
          <w:sz w:val="24"/>
          <w:szCs w:val="24"/>
        </w:rPr>
        <w:t xml:space="preserve">unfounded</w:t>
      </w:r>
      <w:r>
        <w:rPr>
          <w:b w:val="false"/>
          <w:bCs w:val="false"/>
          <w:i w:val="false"/>
          <w:iCs w:val="false"/>
          <w:color w:val="1A1A1A"/>
          <w:sz w:val="24"/>
          <w:szCs w:val="24"/>
        </w:rPr>
        <w:t xml:space="preserve"> finding switches it off.</w:t>
      </w:r>
    </w:p>
    <w:p>
      <w:pPr>
        <w:pStyle w:val="Heading2"/>
      </w:pPr>
      <w:r>
        <w:t xml:space="preserve">8. Ongoing, and the part most often missed</w:t>
      </w:r>
    </w:p>
    <w:p>
      <w:pPr>
        <w:spacing w:after="90"/>
      </w:pPr>
      <w:r>
        <w:rPr>
          <w:b w:val="false"/>
          <w:bCs w:val="false"/>
          <w:i/>
          <w:iCs/>
          <w:color w:val="595959"/>
          <w:sz w:val="24"/>
          <w:szCs w:val="24"/>
        </w:rPr>
        <w:t xml:space="preserve">28 CFR 115.362, 115.367; PREA Policy XVIII.B</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Retaliation monitoring for at least 90 days</w:t>
      </w:r>
      <w:r>
        <w:rPr>
          <w:b w:val="false"/>
          <w:bCs w:val="false"/>
          <w:i w:val="false"/>
          <w:iCs w:val="false"/>
          <w:color w:val="1A1A1A"/>
          <w:sz w:val="24"/>
          <w:szCs w:val="24"/>
        </w:rPr>
        <w:t xml:space="preserve"> for anyone who reported or was the target, with periodic checks.</w:t>
      </w:r>
    </w:p>
    <w:p>
      <w:pPr>
        <w:pStyle w:val="ListParagraph"/>
        <w:numPr>
          <w:ilvl w:val="0"/>
          <w:numId w:val="1"/>
        </w:numPr>
        <w:spacing w:after="70" w:line="264"/>
      </w:pPr>
      <w:r>
        <w:rPr>
          <w:b w:val="false"/>
          <w:bCs w:val="false"/>
          <w:i w:val="false"/>
          <w:iCs w:val="false"/>
          <w:color w:val="1A1A1A"/>
          <w:sz w:val="24"/>
          <w:szCs w:val="24"/>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I.A.6 is a year and a half out of date and it can cost you the case.</w:t>
            </w:r>
            <w:r>
              <w:rPr>
                <w:b w:val="false"/>
                <w:bCs w:val="false"/>
                <w:i w:val="false"/>
                <w:iCs w:val="false"/>
                <w:color w:val="1A1A1A"/>
                <w:sz w:val="24"/>
                <w:szCs w:val="24"/>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CPS timeline in policy is wrong.</w:t>
            </w:r>
            <w:r>
              <w:rPr>
                <w:b w:val="false"/>
                <w:bCs w:val="false"/>
                <w:i w:val="false"/>
                <w:iCs w:val="false"/>
                <w:color w:val="1A1A1A"/>
                <w:sz w:val="24"/>
                <w:szCs w:val="24"/>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incident review report has nowhere to go.</w:t>
            </w:r>
            <w:r>
              <w:rPr>
                <w:b w:val="false"/>
                <w:bCs w:val="false"/>
                <w:i w:val="false"/>
                <w:iCs w:val="false"/>
                <w:color w:val="1A1A1A"/>
                <w:sz w:val="24"/>
                <w:szCs w:val="24"/>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There is no retaliation monitoring program.</w:t>
            </w:r>
            <w:r>
              <w:rPr>
                <w:b w:val="false"/>
                <w:bCs w:val="false"/>
                <w:i w:val="false"/>
                <w:iCs w:val="false"/>
                <w:color w:val="1A1A1A"/>
                <w:sz w:val="24"/>
                <w:szCs w:val="24"/>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Cross-facility notification is wrong.</w:t>
            </w:r>
            <w:r>
              <w:rPr>
                <w:b w:val="false"/>
                <w:bCs w:val="false"/>
                <w:i w:val="false"/>
                <w:iCs w:val="false"/>
                <w:color w:val="1A1A1A"/>
                <w:sz w:val="24"/>
                <w:szCs w:val="24"/>
              </w:rPr>
              <w:t xml:space="preserve"> If the youth says the abuse happened at another facility, PREA Policy V.A.7 gives 14 days. The standard is </w:t>
            </w:r>
            <w:r>
              <w:rPr>
                <w:b/>
                <w:bCs/>
                <w:i w:val="false"/>
                <w:iCs w:val="false"/>
                <w:color w:val="1A1A1A"/>
                <w:sz w:val="24"/>
                <w:szCs w:val="24"/>
              </w:rPr>
              <w:t xml:space="preserve">72 hours</w:t>
            </w:r>
            <w:r>
              <w:rPr>
                <w:b w:val="false"/>
                <w:bCs w:val="false"/>
                <w:i w:val="false"/>
                <w:iCs w:val="false"/>
                <w:color w:val="1A1A1A"/>
                <w:sz w:val="24"/>
                <w:szCs w:val="24"/>
              </w:rPr>
              <w:t xml:space="preserve">.</w:t>
            </w:r>
          </w:p>
        </w:tc>
      </w:tr>
    </w:tbl>
    <w:p>
      <w:r>
        <w:br w:type="page"/>
      </w:r>
    </w:p>
    <w:p>
      <w:pPr>
        <w:pStyle w:val="Heading1"/>
      </w:pPr>
      <w:r>
        <w:t xml:space="preserve">Who does what, and where you stop</w:t>
      </w:r>
    </w:p>
    <w:p>
      <w:pPr>
        <w:spacing w:after="120" w:line="276"/>
      </w:pPr>
      <w:r>
        <w:rPr>
          <w:b w:val="false"/>
          <w:bCs w:val="false"/>
          <w:i w:val="false"/>
          <w:iCs w:val="false"/>
          <w:color w:val="1A1A1A"/>
          <w:sz w:val="24"/>
          <w:szCs w:val="24"/>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Role</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Line staff</w:t>
            </w:r>
            <w:r>
              <w:rPr>
                <w:b w:val="false"/>
                <w:bCs w:val="false"/>
                <w:i w:val="false"/>
                <w:i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Reports to the Duty Supervisor </w:t>
            </w:r>
            <w:r>
              <w:rPr>
                <w:b/>
                <w:bCs/>
                <w:i w:val="false"/>
                <w:iCs w:val="false"/>
                <w:color w:val="1A1A1A"/>
                <w:sz w:val="24"/>
                <w:szCs w:val="24"/>
              </w:rPr>
              <w:t xml:space="preserve">immediately</w:t>
            </w:r>
            <w:r>
              <w:rPr>
                <w:b w:val="false"/>
                <w:bCs w:val="false"/>
                <w:i w:val="false"/>
                <w:iCs w:val="false"/>
                <w:color w:val="1A1A1A"/>
                <w:sz w:val="24"/>
                <w:szCs w:val="24"/>
              </w:rPr>
              <w:t xml:space="preserve">. Separates the youth. Preserves the scene and the clothing. Writes the incident report with </w:t>
            </w:r>
            <w:r>
              <w:rPr>
                <w:b/>
                <w:bCs/>
                <w:i w:val="false"/>
                <w:iCs w:val="false"/>
                <w:color w:val="1A1A1A"/>
                <w:sz w:val="24"/>
                <w:szCs w:val="24"/>
              </w:rPr>
              <w:t xml:space="preserve">the words used verbatim</w:t>
            </w:r>
            <w:r>
              <w:rPr>
                <w:b w:val="false"/>
                <w:bCs w:val="false"/>
                <w:i w:val="false"/>
                <w:i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Duty Supervisor</w:t>
            </w:r>
            <w:r>
              <w:rPr>
                <w:b w:val="false"/>
                <w:bCs w:val="false"/>
                <w:i w:val="false"/>
                <w:i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Classifies the incident against the tier chart. Protects: separation, housing, the 115.362 call. Preserves evidence and video. </w:t>
            </w:r>
            <w:r>
              <w:rPr>
                <w:b/>
                <w:bCs/>
                <w:i w:val="false"/>
                <w:iCs w:val="false"/>
                <w:color w:val="1A1A1A"/>
                <w:sz w:val="24"/>
                <w:szCs w:val="24"/>
              </w:rPr>
              <w:t xml:space="preserve">Takes the initial statement from the victim and the suspect, which OO 1453 I.A.6 directs.</w:t>
            </w:r>
            <w:r>
              <w:rPr>
                <w:b w:val="false"/>
                <w:bCs w:val="false"/>
                <w:i w:val="false"/>
                <w:i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i w:val="false"/>
                <w:iCs w:val="false"/>
                <w:color w:val="1A1A1A"/>
                <w:sz w:val="24"/>
                <w:szCs w:val="24"/>
              </w:rPr>
              <w:t xml:space="preserve">And does not Mirandize and question a suspect aged 17 or under without the WIC 625.6 counsel consultation, which I.A.6 does not mention. See the warning below.</w:t>
            </w:r>
            <w:r>
              <w:rPr>
                <w:b w:val="false"/>
                <w:bCs w:val="false"/>
                <w:i w:val="false"/>
                <w:iCs w:val="false"/>
                <w:color w:val="1A1A1A"/>
                <w:sz w:val="24"/>
                <w:szCs w:val="24"/>
              </w:rPr>
              <w:t xml:space="preserve"/>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Administrative investigator</w:t>
            </w:r>
            <w:r>
              <w:rPr>
                <w:b w:val="false"/>
                <w:bCs w:val="false"/>
                <w:i w:val="false"/>
                <w:iCs w:val="false"/>
                <w:color w:val="1A1A1A"/>
                <w:sz w:val="24"/>
                <w:szCs w:val="24"/>
              </w:rPr>
              <w:t xml:space="preserve"> for youth-on-youth</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CURRENTLY DESIGNATED. This is the hole.</w:t>
            </w:r>
            <w:r>
              <w:rPr>
                <w:b w:val="false"/>
                <w:bCs w:val="false"/>
                <w:i w:val="false"/>
                <w:i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Internal Affairs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Sheriff's Department</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Criminal investigation. Notified </w:t>
            </w:r>
            <w:r>
              <w:rPr>
                <w:b/>
                <w:bCs/>
                <w:i w:val="false"/>
                <w:iCs w:val="false"/>
                <w:color w:val="1A1A1A"/>
                <w:sz w:val="24"/>
                <w:szCs w:val="24"/>
              </w:rPr>
              <w:t xml:space="preserve">immediately</w:t>
            </w:r>
            <w:r>
              <w:rPr>
                <w:b w:val="false"/>
                <w:bCs w:val="false"/>
                <w:i w:val="false"/>
                <w:i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Chief Deputy and Assistant Chief Deputies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Receive the memo. Make the agency-level calls. Own the cross-facility notification where a youth reports abuse at another facility, which is </w:t>
            </w:r>
            <w:r>
              <w:rPr>
                <w:b/>
                <w:bCs/>
                <w:i w:val="false"/>
                <w:iCs w:val="false"/>
                <w:color w:val="1A1A1A"/>
                <w:sz w:val="24"/>
                <w:szCs w:val="24"/>
              </w:rPr>
              <w:t xml:space="preserve">72 hours</w:t>
            </w:r>
            <w:r>
              <w:rPr>
                <w:b w:val="false"/>
                <w:bCs w:val="false"/>
                <w:i w:val="false"/>
                <w:i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Should not be the first point at which anyone decides whether the incident was PREA. That call is made and written down on the unit.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PREA Coordinator and facility Compliance Manager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DOES NOT EXIST.</w:t>
            </w:r>
            <w:r>
              <w:rPr>
                <w:b w:val="false"/>
                <w:bCs w:val="false"/>
                <w:i w:val="false"/>
                <w:i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Medical and Mental Health</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Victim advocate</w:t>
            </w:r>
            <w:r>
              <w:rPr>
                <w:b w:val="false"/>
                <w:bCs w:val="false"/>
                <w:i w:val="false"/>
                <w:i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Accompanies the youth through the medical examination (PC 264.2) and through investigatory interviews </w:t>
            </w:r>
            <w:r>
              <w:rPr>
                <w:b/>
                <w:bCs/>
                <w:i w:val="false"/>
                <w:iCs w:val="false"/>
                <w:color w:val="1A1A1A"/>
                <w:sz w:val="24"/>
                <w:szCs w:val="24"/>
              </w:rPr>
              <w:t xml:space="preserve">conducted by law enforcement, the district attorney or defense counsel</w:t>
            </w:r>
            <w:r>
              <w:rPr>
                <w:b w:val="false"/>
                <w:bCs w:val="false"/>
                <w:i w:val="false"/>
                <w:i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Retaliation monitor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Watches the reporter, the target and any corroborating witness for at least </w:t>
            </w:r>
            <w:r>
              <w:rPr>
                <w:b/>
                <w:bCs/>
                <w:i w:val="false"/>
                <w:iCs w:val="false"/>
                <w:color w:val="1A1A1A"/>
                <w:sz w:val="24"/>
                <w:szCs w:val="24"/>
              </w:rPr>
              <w:t xml:space="preserve">90 days</w:t>
            </w:r>
            <w:r>
              <w:rPr>
                <w:b w:val="false"/>
                <w:bCs w:val="false"/>
                <w:i w:val="false"/>
                <w:iCs w:val="false"/>
                <w:color w:val="1A1A1A"/>
                <w:sz w:val="24"/>
                <w:szCs w:val="24"/>
              </w:rPr>
              <w:t xml:space="preserve">, with periodic status checks.</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DESIGNATED, and no monitoring period exists in policy.</w:t>
            </w:r>
            <w:r>
              <w:rPr>
                <w:b w:val="false"/>
                <w:bCs w:val="false"/>
                <w:i w:val="false"/>
                <w:i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Corrected on 10/29.</w:t>
      </w:r>
      <w:r>
        <w:rPr>
          <w:b w:val="false"/>
          <w:bCs w:val="false"/>
          <w:i w:val="false"/>
          <w:iCs w:val="false"/>
          <w:color w:val="1A1A1A"/>
          <w:sz w:val="24"/>
          <w:szCs w:val="24"/>
        </w:rPr>
        <w:t xml:space="preserve"> An earlier version of this matrix told supervisors they do not conduct fact finding and do not interview. </w:t>
      </w:r>
      <w:r>
        <w:rPr>
          <w:b/>
          <w:bCs/>
          <w:i w:val="false"/>
          <w:iCs w:val="false"/>
          <w:color w:val="1A1A1A"/>
          <w:sz w:val="24"/>
          <w:szCs w:val="24"/>
        </w:rPr>
        <w:t xml:space="preserve">OO 1453 I.A.6 says otherwise:</w:t>
      </w:r>
      <w:r>
        <w:rPr>
          <w:b w:val="false"/>
          <w:bCs w:val="false"/>
          <w:i w:val="false"/>
          <w:iCs w:val="false"/>
          <w:color w:val="1A1A1A"/>
          <w:sz w:val="24"/>
          <w:szCs w:val="24"/>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70" w:line="264"/>
      </w:pPr>
      <w:r>
        <w:rPr>
          <w:b w:val="false"/>
          <w:bCs w:val="false"/>
          <w:i w:val="false"/>
          <w:iCs w:val="false"/>
          <w:color w:val="1A1A1A"/>
          <w:sz w:val="24"/>
          <w:szCs w:val="24"/>
        </w:rPr>
        <w:t xml:space="preserve">You classify. You protect. You preserve. </w:t>
      </w:r>
      <w:r>
        <w:rPr>
          <w:b/>
          <w:bCs/>
          <w:i w:val="false"/>
          <w:iCs w:val="false"/>
          <w:color w:val="1A1A1A"/>
          <w:sz w:val="24"/>
          <w:szCs w:val="24"/>
        </w:rPr>
        <w:t xml:space="preserve">You take the initial statement from the victim and the suspect, because I.A.6 directs it.</w:t>
      </w:r>
      <w:r>
        <w:rPr>
          <w:b w:val="false"/>
          <w:bCs w:val="false"/>
          <w:i w:val="false"/>
          <w:iCs w:val="false"/>
          <w:color w:val="1A1A1A"/>
          <w:sz w:val="24"/>
          <w:szCs w:val="24"/>
        </w:rPr>
        <w:t xml:space="preserve"> You notify. You document. </w:t>
      </w:r>
      <w:r>
        <w:rPr>
          <w:b/>
          <w:bCs/>
          <w:i w:val="false"/>
          <w:iCs w:val="false"/>
          <w:color w:val="1A1A1A"/>
          <w:sz w:val="24"/>
          <w:szCs w:val="24"/>
        </w:rPr>
        <w:t xml:space="preserve">Then you stop and hand off.</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What is still on the far side of the line:</w:t>
      </w:r>
      <w:r>
        <w:rPr>
          <w:b w:val="false"/>
          <w:bCs w:val="false"/>
          <w:i w:val="false"/>
          <w:iCs w:val="false"/>
          <w:color w:val="1A1A1A"/>
          <w:sz w:val="24"/>
          <w:szCs w:val="24"/>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Anonymity is the practical test.</w:t>
      </w:r>
      <w:r>
        <w:rPr>
          <w:b w:val="false"/>
          <w:bCs w:val="false"/>
          <w:i w:val="false"/>
          <w:iCs w:val="false"/>
          <w:color w:val="1A1A1A"/>
          <w:sz w:val="24"/>
          <w:szCs w:val="24"/>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URGENT, AND IT IS A LEGAL EXPOSURE ON THE SUPERVISOR PERSONALLY.</w:t>
            </w:r>
            <w:r>
              <w:rPr>
                <w:b w:val="false"/>
                <w:bCs w:val="false"/>
                <w:i w:val="false"/>
                <w:iCs w:val="false"/>
                <w:color w:val="1A1A1A"/>
                <w:sz w:val="24"/>
                <w:szCs w:val="24"/>
              </w:rPr>
              <w:t xml:space="preserve"> I.A.6 directs a Miranda warning before questioning a suspect. It says nothing about </w:t>
            </w:r>
            <w:r>
              <w:rPr>
                <w:b/>
                <w:bCs/>
                <w:i w:val="false"/>
                <w:iCs w:val="false"/>
                <w:color w:val="1A1A1A"/>
                <w:sz w:val="24"/>
                <w:szCs w:val="24"/>
              </w:rPr>
              <w:t xml:space="preserve">WIC 625.6</w:t>
            </w:r>
            <w:r>
              <w:rPr>
                <w:b w:val="false"/>
                <w:bCs w:val="false"/>
                <w:i w:val="false"/>
                <w:iCs w:val="false"/>
                <w:color w:val="1A1A1A"/>
                <w:sz w:val="24"/>
                <w:szCs w:val="24"/>
              </w:rPr>
              <w:t xml:space="preserve">, which since 01/01/2021 requires a youth </w:t>
            </w:r>
            <w:r>
              <w:rPr>
                <w:b/>
                <w:bCs/>
                <w:i w:val="false"/>
                <w:iCs w:val="false"/>
                <w:color w:val="1A1A1A"/>
                <w:sz w:val="24"/>
                <w:szCs w:val="24"/>
              </w:rPr>
              <w:t xml:space="preserve">17 or younger</w:t>
            </w:r>
            <w:r>
              <w:rPr>
                <w:b w:val="false"/>
                <w:bCs w:val="false"/>
                <w:i w:val="false"/>
                <w:iCs w:val="false"/>
                <w:color w:val="1A1A1A"/>
                <w:sz w:val="24"/>
                <w:szCs w:val="24"/>
              </w:rPr>
              <w:t xml:space="preserve"> to consult legal counsel, in person, by telephone or by video, </w:t>
            </w:r>
            <w:r>
              <w:rPr>
                <w:b/>
                <w:bCs/>
                <w:i w:val="false"/>
                <w:iCs w:val="false"/>
                <w:color w:val="1A1A1A"/>
                <w:sz w:val="24"/>
                <w:szCs w:val="24"/>
              </w:rPr>
              <w:t xml:space="preserve">before</w:t>
            </w:r>
            <w:r>
              <w:rPr>
                <w:b w:val="false"/>
                <w:bCs w:val="false"/>
                <w:i w:val="false"/>
                <w:iCs w:val="false"/>
                <w:color w:val="1A1A1A"/>
                <w:sz w:val="24"/>
                <w:szCs w:val="24"/>
              </w:rPr>
              <w:t xml:space="preserve"> a custodial interrogation and </w:t>
            </w:r>
            <w:r>
              <w:rPr>
                <w:b/>
                <w:bCs/>
                <w:i w:val="false"/>
                <w:iCs w:val="false"/>
                <w:color w:val="1A1A1A"/>
                <w:sz w:val="24"/>
                <w:szCs w:val="24"/>
              </w:rPr>
              <w:t xml:space="preserve">before</w:t>
            </w:r>
            <w:r>
              <w:rPr>
                <w:b w:val="false"/>
                <w:bCs w:val="false"/>
                <w:i w:val="false"/>
                <w:iCs w:val="false"/>
                <w:color w:val="1A1A1A"/>
                <w:sz w:val="24"/>
                <w:szCs w:val="24"/>
              </w:rPr>
              <w:t xml:space="preserve"> waiving Miranda, and which provides that the consultation </w:t>
            </w:r>
            <w:r>
              <w:rPr>
                <w:b/>
                <w:bCs/>
                <w:i w:val="false"/>
                <w:iCs w:val="false"/>
                <w:color w:val="1A1A1A"/>
                <w:sz w:val="24"/>
                <w:szCs w:val="24"/>
              </w:rPr>
              <w:t xml:space="preserve">may not be waived</w:t>
            </w:r>
            <w:r>
              <w:rPr>
                <w:b w:val="false"/>
                <w:bCs w:val="false"/>
                <w:i w:val="false"/>
                <w:iCs w:val="false"/>
                <w:color w:val="1A1A1A"/>
                <w:sz w:val="24"/>
                <w:szCs w:val="24"/>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i w:val="false"/>
                <w:iCs w:val="false"/>
                <w:color w:val="1A1A1A"/>
                <w:sz w:val="24"/>
                <w:szCs w:val="24"/>
              </w:rPr>
              <w:t xml:space="preserve">Second, and structural:</w:t>
            </w:r>
            <w:r>
              <w:rPr>
                <w:b w:val="false"/>
                <w:bCs w:val="false"/>
                <w:i w:val="false"/>
                <w:iCs w:val="false"/>
                <w:color w:val="1A1A1A"/>
                <w:sz w:val="24"/>
                <w:szCs w:val="24"/>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r>
        <w:br w:type="page"/>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7DDDD"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after="120" w:before="240" w:line="264"/>
      </w:pPr>
      <w:r>
        <w:rPr>
          <w:b w:val="false"/>
          <w:bCs w:val="false"/>
          <w:i/>
          <w:iCs/>
          <w:color w:val="1A1A1A"/>
          <w:sz w:val="24"/>
          <w:szCs w:val="24"/>
        </w:rPr>
        <w:t xml:space="preserve">This is not legal advice, and statutory questions go to County Counsel. The CANRA and 28 CFR 115.6 text behind this card was corroborated by exact-phrase search and has NOT been read from the Penal Code or the Code of Federal Regulations directly. Confirm before this issues. Two provisions in current departmental orders will mislead you: the CPS timeline in the PREA Policy and OO 1453 says 24 hours, and the law says immediately. Follow the law.</w:t>
      </w:r>
    </w:p>
    <w:p>
      <w:pPr>
        <w:spacing w:after="120" w:line="264"/>
      </w:pPr>
      <w:r>
        <w:rPr>
          <w:b w:val="false"/>
          <w:bCs w:val="false"/>
          <w:i/>
          <w:iCs/>
          <w:color w:val="595959"/>
          <w:sz w:val="24"/>
          <w:szCs w:val="24"/>
        </w:rPr>
        <w:t xml:space="preserve">Generated from drafts/supervisor-guide.json by npm run field-card. Do not hand-edit this file; the next build overwrites it. Drawn from gap register Revision 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2026-10-29T21:33:07.213Z</dcterms:created>
  <dcterms:modified xsi:type="dcterms:W3CDTF">2026-10-29T21:33:07.213Z</dcterms:modified>
</cp:coreProperties>
</file>

<file path=docProps/custom.xml><?xml version="1.0" encoding="utf-8"?>
<Properties xmlns="http://schemas.openxmlformats.org/officeDocument/2006/custom-properties" xmlns:vt="http://schemas.openxmlformats.org/officeDocument/2006/docPropsVTypes"/>
</file>