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00"/>
        <w:jc w:val="center"/>
      </w:pPr>
      <w:r>
        <w:rPr>
          <w:b/>
          <w:bCs/>
          <w:i w:val="false"/>
          <w:iCs w:val="false"/>
          <w:color w:val="1A1A1A"/>
          <w:sz w:val="48"/>
          <w:szCs w:val="48"/>
        </w:rPr>
        <w:t xml:space="preserve">PREA Incident Memo</w:t>
      </w:r>
    </w:p>
    <w:p>
      <w:pPr>
        <w:spacing w:after="320"/>
        <w:jc w:val="center"/>
      </w:pPr>
      <w:r>
        <w:rPr>
          <w:b w:val="false"/>
          <w:bCs w:val="false"/>
          <w:i w:val="false"/>
          <w:iCs w:val="false"/>
          <w:color w:val="595959"/>
          <w:sz w:val="32"/>
          <w:szCs w:val="32"/>
        </w:rPr>
        <w:t xml:space="preserve">Supervisor template. Copy it, fill it, send it.</w:t>
      </w:r>
    </w:p>
    <w:p>
      <w:pPr>
        <w:spacing w:after="40"/>
        <w:jc w:val="center"/>
      </w:pPr>
      <w:r>
        <w:rPr>
          <w:b w:val="false"/>
          <w:bCs w:val="false"/>
          <w:i w:val="false"/>
          <w:iCs w:val="false"/>
          <w:color w:val="1A1A1A"/>
          <w:sz w:val="26"/>
          <w:szCs w:val="26"/>
        </w:rPr>
        <w:t xml:space="preserve">Sacramento County Probation Department</w:t>
      </w:r>
    </w:p>
    <w:p>
      <w:pPr>
        <w:spacing w:after="320"/>
        <w:jc w:val="center"/>
      </w:pPr>
      <w:r>
        <w:rPr>
          <w:b w:val="false"/>
          <w:bCs w:val="false"/>
          <w:i w:val="false"/>
          <w:iCs w:val="false"/>
          <w:color w:val="1A1A1A"/>
          <w:sz w:val="26"/>
          <w:szCs w:val="26"/>
        </w:rPr>
        <w:t xml:space="preserve">Youth Detention Facility</w:t>
      </w:r>
    </w:p>
    <w:p>
      <w:pPr>
        <w:spacing w:after="320"/>
        <w:jc w:val="center"/>
      </w:pPr>
      <w:r>
        <w:rPr>
          <w:b/>
          <w:bCs/>
          <w:i w:val="false"/>
          <w:iCs w:val="false"/>
          <w:color w:val="1A1A1A"/>
          <w:sz w:val="32"/>
          <w:szCs w:val="32"/>
        </w:rPr>
        <w:t xml:space="preserve">DRAFT FOR COUNTY COUNSEL REVIEW. Not for issuance to supervisors until the CANRA column is confirmed.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90"/>
              <w:left w:type="dxa" w:w="140"/>
              <w:bottom w:type="dxa" w:w="90"/>
              <w:right w:type="dxa" w:w="140"/>
            </w:tcMar>
          </w:tcPr>
          <w:p>
            <w:pPr>
              <w:spacing w:after="60" w:before="60" w:line="264"/>
            </w:pPr>
            <w:r>
              <w:rPr>
                <w:b w:val="false"/>
                <w:bCs w:val="false"/>
                <w:i w:val="false"/>
                <w:iCs w:val="false"/>
                <w:color w:val="1A1A1A"/>
                <w:sz w:val="24"/>
                <w:szCs w:val="24"/>
              </w:rPr>
              <w:t xml:space="preserve">Modelled on the memo format already in use at YDF, which does several things well and is worth keeping: it is prompt, it quotes the reporting staff member, it attaches the incident report and the video, and where the video did not support the allegation it said so plainly rather than stretching it. What this template adds is the part a reader cannot currently find: </w:t>
            </w:r>
            <w:r>
              <w:rPr>
                <w:b/>
                <w:bCs/>
                <w:i w:val="false"/>
                <w:iCs w:val="false"/>
                <w:color w:val="1A1A1A"/>
                <w:sz w:val="24"/>
                <w:szCs w:val="24"/>
              </w:rPr>
              <w:t xml:space="preserve">what you classified the incident as, what you reported out, and who has it now.</w:t>
            </w:r>
            <w:r>
              <w:rPr>
                <w:b w:val="false"/>
                <w:bCs w:val="false"/>
                <w:i w:val="false"/>
                <w:iCs w:val="false"/>
                <w:color w:val="1A1A1A"/>
                <w:sz w:val="24"/>
                <w:szCs w:val="24"/>
              </w:rPr>
              <w:t xml:space="preserve"> Fill every heading. Where something did not happen, write that it did not happen and why, rather than leaving the heading blank. A blank heading reads later as an omission. A stated negative reads as a decision.</w:t>
            </w:r>
          </w:p>
        </w:tc>
      </w:tr>
    </w:tbl>
    <w:p>
      <w:r>
        <w:br w:type="page"/>
      </w:r>
    </w:p>
    <w:p>
      <w:pPr>
        <w:pStyle w:val="Heading1"/>
        <w:spacing w:after="140" w:before="0"/>
      </w:pPr>
      <w:r>
        <w:t xml:space="preserve">Header</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4F6F8" w:color="auto" w:val="clear"/>
            <w:tcMar>
              <w:top w:type="dxa" w:w="90"/>
              <w:left w:type="dxa" w:w="140"/>
              <w:bottom w:type="dxa" w:w="90"/>
              <w:right w:type="dxa" w:w="140"/>
            </w:tcMar>
          </w:tcPr>
          <w:p>
            <w:pPr>
              <w:spacing w:after="20" w:before="20" w:line="264"/>
            </w:pPr>
            <w:r>
              <w:rPr>
                <w:rFonts w:ascii="Consolas" w:cs="Consolas" w:eastAsia="Consolas" w:hAnsi="Consolas"/>
                <w:b w:val="false"/>
                <w:bCs w:val="false"/>
                <w:i w:val="false"/>
                <w:iCs w:val="false"/>
                <w:color w:val="1A1A1A"/>
                <w:sz w:val="24"/>
                <w:szCs w:val="24"/>
              </w:rPr>
              <w:t xml:space="preserve">To: [Chief Deputy] / [Assistant Chief Deputies]</w:t>
            </w:r>
          </w:p>
          <w:p>
            <w:pPr>
              <w:spacing w:after="20" w:before="70" w:line="264"/>
            </w:pPr>
            <w:r>
              <w:rPr>
                <w:rFonts w:ascii="Consolas" w:cs="Consolas" w:eastAsia="Consolas" w:hAnsi="Consolas"/>
                <w:b w:val="false"/>
                <w:bCs w:val="false"/>
                <w:i w:val="false"/>
                <w:iCs w:val="false"/>
                <w:color w:val="1A1A1A"/>
                <w:sz w:val="24"/>
                <w:szCs w:val="24"/>
              </w:rPr>
              <w:t xml:space="preserve">From: [Rank and name], [shift]</w:t>
            </w:r>
          </w:p>
          <w:p>
            <w:pPr>
              <w:spacing w:after="20" w:before="70" w:line="264"/>
            </w:pPr>
            <w:r>
              <w:rPr>
                <w:rFonts w:ascii="Consolas" w:cs="Consolas" w:eastAsia="Consolas" w:hAnsi="Consolas"/>
                <w:b w:val="false"/>
                <w:bCs w:val="false"/>
                <w:i w:val="false"/>
                <w:iCs w:val="false"/>
                <w:color w:val="1A1A1A"/>
                <w:sz w:val="24"/>
                <w:szCs w:val="24"/>
              </w:rPr>
              <w:t xml:space="preserve">Subject: [facility]-[YYYYMMDD]-[time] PREA Incident Memo</w:t>
            </w:r>
          </w:p>
          <w:p>
            <w:pPr>
              <w:spacing w:after="20" w:before="70" w:line="264"/>
            </w:pPr>
            <w:r>
              <w:rPr>
                <w:rFonts w:ascii="Consolas" w:cs="Consolas" w:eastAsia="Consolas" w:hAnsi="Consolas"/>
                <w:b w:val="false"/>
                <w:bCs w:val="false"/>
                <w:i w:val="false"/>
                <w:iCs w:val="false"/>
                <w:color w:val="1A1A1A"/>
                <w:sz w:val="24"/>
                <w:szCs w:val="24"/>
              </w:rPr>
              <w:t xml:space="preserve">Date and time of this memo: [  ]</w:t>
            </w:r>
          </w:p>
        </w:tc>
      </w:tr>
    </w:tbl>
    <w:p>
      <w:pPr>
        <w:pStyle w:val="Heading1"/>
        <w:spacing w:after="140" w:before="300"/>
      </w:pPr>
      <w:r>
        <w:t xml:space="preserve">1. What was reported, and by whom</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4F6F8" w:color="auto" w:val="clear"/>
            <w:tcMar>
              <w:top w:type="dxa" w:w="90"/>
              <w:left w:type="dxa" w:w="140"/>
              <w:bottom w:type="dxa" w:w="90"/>
              <w:right w:type="dxa" w:w="140"/>
            </w:tcMar>
          </w:tcPr>
          <w:p>
            <w:pPr>
              <w:spacing w:after="20" w:before="20" w:line="264"/>
            </w:pPr>
            <w:r>
              <w:rPr>
                <w:rFonts w:ascii="Consolas" w:cs="Consolas" w:eastAsia="Consolas" w:hAnsi="Consolas"/>
                <w:b w:val="false"/>
                <w:bCs w:val="false"/>
                <w:i w:val="false"/>
                <w:iCs w:val="false"/>
                <w:color w:val="1A1A1A"/>
                <w:sz w:val="24"/>
                <w:szCs w:val="24"/>
              </w:rPr>
              <w:t xml:space="preserve">Reported to me by: [name and role] at [time].</w:t>
            </w:r>
          </w:p>
          <w:p>
            <w:pPr>
              <w:spacing w:after="20" w:before="70" w:line="264"/>
            </w:pPr>
            <w:r>
              <w:rPr>
                <w:rFonts w:ascii="Consolas" w:cs="Consolas" w:eastAsia="Consolas" w:hAnsi="Consolas"/>
                <w:b w:val="false"/>
                <w:bCs w:val="false"/>
                <w:i w:val="false"/>
                <w:iCs w:val="false"/>
                <w:color w:val="1A1A1A"/>
                <w:sz w:val="24"/>
                <w:szCs w:val="24"/>
              </w:rPr>
              <w:t xml:space="preserve">Institutional Incident Report number: [  ]</w:t>
            </w:r>
          </w:p>
          <w:p>
            <w:pPr>
              <w:spacing w:after="20" w:before="70" w:line="264"/>
            </w:pPr>
            <w:r>
              <w:rPr>
                <w:rFonts w:ascii="Consolas" w:cs="Consolas" w:eastAsia="Consolas" w:hAnsi="Consolas"/>
                <w:b w:val="false"/>
                <w:bCs w:val="false"/>
                <w:i w:val="false"/>
                <w:iCs w:val="false"/>
                <w:color w:val="1A1A1A"/>
                <w:sz w:val="24"/>
                <w:szCs w:val="24"/>
              </w:rPr>
              <w:t xml:space="preserve">In the reporting staff member's own words:</w:t>
            </w:r>
          </w:p>
          <w:p>
            <w:pPr>
              <w:spacing w:after="20" w:before="70" w:line="264"/>
            </w:pPr>
            <w:r>
              <w:rPr>
                <w:rFonts w:ascii="Consolas" w:cs="Consolas" w:eastAsia="Consolas" w:hAnsi="Consolas"/>
                <w:b w:val="false"/>
                <w:bCs w:val="false"/>
                <w:i w:val="false"/>
                <w:iCs w:val="false"/>
                <w:color w:val="1A1A1A"/>
                <w:sz w:val="24"/>
                <w:szCs w:val="24"/>
              </w:rPr>
              <w:t xml:space="preserve">    "[quote the IIR verbatim]"</w:t>
            </w:r>
          </w:p>
          <w:p>
            <w:pPr>
              <w:spacing w:after="20" w:before="70" w:line="264"/>
            </w:pPr>
            <w:r>
              <w:rPr>
                <w:rFonts w:ascii="Consolas" w:cs="Consolas" w:eastAsia="Consolas" w:hAnsi="Consolas"/>
                <w:b w:val="false"/>
                <w:bCs w:val="false"/>
                <w:i w:val="false"/>
                <w:iCs w:val="false"/>
                <w:color w:val="1A1A1A"/>
                <w:sz w:val="24"/>
                <w:szCs w:val="24"/>
              </w:rPr>
              <w:t xml:space="preserve">Residents involved: [resident] (reporting or target), [resident] (alleged), both by name and number.</w:t>
            </w:r>
          </w:p>
          <w:p>
            <w:pPr>
              <w:spacing w:after="20" w:before="70" w:line="264"/>
            </w:pPr>
            <w:r>
              <w:rPr>
                <w:rFonts w:ascii="Consolas" w:cs="Consolas" w:eastAsia="Consolas" w:hAnsi="Consolas"/>
                <w:b w:val="false"/>
                <w:bCs w:val="false"/>
                <w:i w:val="false"/>
                <w:iCs w:val="false"/>
                <w:color w:val="1A1A1A"/>
                <w:sz w:val="24"/>
                <w:szCs w:val="24"/>
              </w:rPr>
              <w:t xml:space="preserve">Ages at the time of the incident: [  ] and [  ].</w:t>
            </w:r>
          </w:p>
        </w:tc>
      </w:tr>
    </w:tbl>
    <w:p>
      <w:pPr>
        <w:spacing w:after="60" w:before="120" w:line="264"/>
      </w:pPr>
      <w:r>
        <w:rPr>
          <w:b w:val="false"/>
          <w:bCs w:val="false"/>
          <w:i/>
          <w:iCs/>
          <w:color w:val="595959"/>
          <w:sz w:val="24"/>
          <w:szCs w:val="24"/>
        </w:rPr>
        <w:t xml:space="preserve">Quote, do not summarise. The exact words decide the classification, and a paraphrase written at 0200 is the thing that gets read back to you two years later.</w:t>
      </w:r>
    </w:p>
    <w:p>
      <w:pPr>
        <w:pStyle w:val="Heading1"/>
        <w:spacing w:after="140" w:before="300"/>
      </w:pPr>
      <w:r>
        <w:t xml:space="preserve">2. What I observed or reviewed myself</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4F6F8" w:color="auto" w:val="clear"/>
            <w:tcMar>
              <w:top w:type="dxa" w:w="90"/>
              <w:left w:type="dxa" w:w="140"/>
              <w:bottom w:type="dxa" w:w="90"/>
              <w:right w:type="dxa" w:w="140"/>
            </w:tcMar>
          </w:tcPr>
          <w:p>
            <w:pPr>
              <w:spacing w:after="20" w:before="20" w:line="264"/>
            </w:pPr>
            <w:r>
              <w:rPr>
                <w:rFonts w:ascii="Consolas" w:cs="Consolas" w:eastAsia="Consolas" w:hAnsi="Consolas"/>
                <w:b w:val="false"/>
                <w:bCs w:val="false"/>
                <w:i w:val="false"/>
                <w:iCs w:val="false"/>
                <w:color w:val="1A1A1A"/>
                <w:sz w:val="24"/>
                <w:szCs w:val="24"/>
              </w:rPr>
              <w:t xml:space="preserve">Scene: [what you saw, and what you did to secure it].</w:t>
            </w:r>
          </w:p>
          <w:p>
            <w:pPr>
              <w:spacing w:after="20" w:before="70" w:line="264"/>
            </w:pPr>
            <w:r>
              <w:rPr>
                <w:rFonts w:ascii="Consolas" w:cs="Consolas" w:eastAsia="Consolas" w:hAnsi="Consolas"/>
                <w:b w:val="false"/>
                <w:bCs w:val="false"/>
                <w:i w:val="false"/>
                <w:iCs w:val="false"/>
                <w:color w:val="1A1A1A"/>
                <w:sz w:val="24"/>
                <w:szCs w:val="24"/>
              </w:rPr>
              <w:t xml:space="preserve">Video reviewed: Camera [  ], [times]. What it showed: [  ].</w:t>
            </w:r>
          </w:p>
          <w:p>
            <w:pPr>
              <w:spacing w:after="20" w:before="70" w:line="264"/>
            </w:pPr>
            <w:r>
              <w:rPr>
                <w:rFonts w:ascii="Consolas" w:cs="Consolas" w:eastAsia="Consolas" w:hAnsi="Consolas"/>
                <w:b w:val="false"/>
                <w:bCs w:val="false"/>
                <w:i w:val="false"/>
                <w:iCs w:val="false"/>
                <w:color w:val="1A1A1A"/>
                <w:sz w:val="24"/>
                <w:szCs w:val="24"/>
              </w:rPr>
              <w:t xml:space="preserve">What the video did NOT establish: [  ].</w:t>
            </w:r>
          </w:p>
          <w:p>
            <w:pPr>
              <w:spacing w:after="20" w:before="70" w:line="264"/>
            </w:pPr>
            <w:r>
              <w:rPr>
                <w:rFonts w:ascii="Consolas" w:cs="Consolas" w:eastAsia="Consolas" w:hAnsi="Consolas"/>
                <w:b w:val="false"/>
                <w:bCs w:val="false"/>
                <w:i w:val="false"/>
                <w:iCs w:val="false"/>
                <w:color w:val="1A1A1A"/>
                <w:sz w:val="24"/>
                <w:szCs w:val="24"/>
              </w:rPr>
              <w:t xml:space="preserve">Physical evidence: [clothing, bedding, other], and where it is now.</w:t>
            </w:r>
          </w:p>
          <w:p>
            <w:pPr>
              <w:spacing w:after="20" w:before="70" w:line="264"/>
            </w:pPr>
            <w:r>
              <w:rPr>
                <w:rFonts w:ascii="Consolas" w:cs="Consolas" w:eastAsia="Consolas" w:hAnsi="Consolas"/>
                <w:b w:val="false"/>
                <w:bCs w:val="false"/>
                <w:i w:val="false"/>
                <w:iCs w:val="false"/>
                <w:color w:val="1A1A1A"/>
                <w:sz w:val="24"/>
                <w:szCs w:val="24"/>
              </w:rPr>
              <w:t xml:space="preserve">Initial statement taken under OO 1453 I.A.6:</w:t>
            </w:r>
          </w:p>
          <w:p>
            <w:pPr>
              <w:spacing w:after="20" w:before="70" w:line="264"/>
            </w:pPr>
            <w:r>
              <w:rPr>
                <w:rFonts w:ascii="Consolas" w:cs="Consolas" w:eastAsia="Consolas" w:hAnsi="Consolas"/>
                <w:b w:val="false"/>
                <w:bCs w:val="false"/>
                <w:i w:val="false"/>
                <w:iCs w:val="false"/>
                <w:color w:val="1A1A1A"/>
                <w:sz w:val="24"/>
                <w:szCs w:val="24"/>
              </w:rPr>
              <w:t xml:space="preserve">  From the reporting or target resident at [time]: "[verbatim]"</w:t>
            </w:r>
          </w:p>
          <w:p>
            <w:pPr>
              <w:spacing w:after="20" w:before="70" w:line="264"/>
            </w:pPr>
            <w:r>
              <w:rPr>
                <w:rFonts w:ascii="Consolas" w:cs="Consolas" w:eastAsia="Consolas" w:hAnsi="Consolas"/>
                <w:b w:val="false"/>
                <w:bCs w:val="false"/>
                <w:i w:val="false"/>
                <w:iCs w:val="false"/>
                <w:color w:val="1A1A1A"/>
                <w:sz w:val="24"/>
                <w:szCs w:val="24"/>
              </w:rPr>
              <w:t xml:space="preserve">  From the alleged resident at [time]: "[verbatim]"</w:t>
            </w:r>
          </w:p>
          <w:p>
            <w:pPr>
              <w:spacing w:after="20" w:before="70" w:line="264"/>
            </w:pPr>
            <w:r>
              <w:rPr>
                <w:rFonts w:ascii="Consolas" w:cs="Consolas" w:eastAsia="Consolas" w:hAnsi="Consolas"/>
                <w:b w:val="false"/>
                <w:bCs w:val="false"/>
                <w:i w:val="false"/>
                <w:iCs w:val="false"/>
                <w:color w:val="1A1A1A"/>
                <w:sz w:val="24"/>
                <w:szCs w:val="24"/>
              </w:rPr>
              <w:t xml:space="preserve">  Miranda given: [ ] yes at [time]   [ ] not applicable</w:t>
            </w:r>
          </w:p>
          <w:p>
            <w:pPr>
              <w:spacing w:after="20" w:before="70" w:line="264"/>
            </w:pPr>
            <w:r>
              <w:rPr>
                <w:rFonts w:ascii="Consolas" w:cs="Consolas" w:eastAsia="Consolas" w:hAnsi="Consolas"/>
                <w:b w:val="false"/>
                <w:bCs w:val="false"/>
                <w:i w:val="false"/>
                <w:iCs w:val="false"/>
                <w:color w:val="1A1A1A"/>
                <w:sz w:val="24"/>
                <w:szCs w:val="24"/>
              </w:rPr>
              <w:t xml:space="preserve">  WIC 625.6 counsel consultation (suspect aged 17 or under): [ ] completed at [time], with [who]</w:t>
            </w:r>
          </w:p>
          <w:p>
            <w:pPr>
              <w:spacing w:after="20" w:before="70" w:line="264"/>
            </w:pPr>
            <w:r>
              <w:rPr>
                <w:rFonts w:ascii="Consolas" w:cs="Consolas" w:eastAsia="Consolas" w:hAnsi="Consolas"/>
                <w:b w:val="false"/>
                <w:bCs w:val="false"/>
                <w:i w:val="false"/>
                <w:iCs w:val="false"/>
                <w:color w:val="1A1A1A"/>
                <w:sz w:val="24"/>
                <w:szCs w:val="24"/>
              </w:rPr>
              <w:t xml:space="preserve">                                                             [ ] N/A, suspect is 18 or over</w:t>
            </w:r>
          </w:p>
        </w:tc>
      </w:tr>
    </w:tbl>
    <w:p>
      <w:pPr>
        <w:spacing w:after="60" w:before="120" w:line="264"/>
      </w:pPr>
      <w:r>
        <w:rPr>
          <w:b w:val="false"/>
          <w:bCs w:val="false"/>
          <w:i/>
          <w:iCs/>
          <w:color w:val="595959"/>
          <w:sz w:val="24"/>
          <w:szCs w:val="24"/>
        </w:rPr>
        <w:t xml:space="preserve">Keep the honest non-verification line. "The footage did not allow me to verify X" is a stronger sentence than any hedge, and it protects both the resident and the department. Note that reviewing video is not preserving it. Say what you did to put a hold on it. </w:t>
      </w:r>
      <w:r>
        <w:rPr>
          <w:b/>
          <w:bCs/>
          <w:i/>
          <w:iCs/>
          <w:color w:val="595959"/>
          <w:sz w:val="24"/>
          <w:szCs w:val="24"/>
        </w:rPr>
        <w:t xml:space="preserve">On the statement:</w:t>
      </w:r>
      <w:r>
        <w:rPr>
          <w:b w:val="false"/>
          <w:bCs w:val="false"/>
          <w:i/>
          <w:iCs/>
          <w:color w:val="595959"/>
          <w:sz w:val="24"/>
          <w:szCs w:val="24"/>
        </w:rPr>
        <w:t xml:space="preserve"> I.A.6 directs you to take it. If the suspect is 17 or under, WIC 625.6 requires a consultation with counsel before any questioning and before any Miranda waiver, and it cannot be waived. The order predates that statute and does not mention it. Record the consultation here, because the memo is the only place that will show it happened.</w:t>
      </w:r>
    </w:p>
    <w:p>
      <w:pPr>
        <w:pStyle w:val="Heading1"/>
        <w:spacing w:after="140" w:before="300"/>
      </w:pPr>
      <w:r>
        <w:t xml:space="preserve">3. Classification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4F6F8" w:color="auto" w:val="clear"/>
            <w:tcMar>
              <w:top w:type="dxa" w:w="90"/>
              <w:left w:type="dxa" w:w="140"/>
              <w:bottom w:type="dxa" w:w="90"/>
              <w:right w:type="dxa" w:w="140"/>
            </w:tcMar>
          </w:tcPr>
          <w:p>
            <w:pPr>
              <w:spacing w:after="20" w:before="20" w:line="264"/>
            </w:pPr>
            <w:r>
              <w:rPr>
                <w:rFonts w:ascii="Consolas" w:cs="Consolas" w:eastAsia="Consolas" w:hAnsi="Consolas"/>
                <w:b w:val="false"/>
                <w:bCs w:val="false"/>
                <w:i w:val="false"/>
                <w:iCs w:val="false"/>
                <w:color w:val="1A1A1A"/>
                <w:sz w:val="24"/>
                <w:szCs w:val="24"/>
              </w:rPr>
              <w:t xml:space="preserve">Tier on the supervisor card: [1] [2] [3] [4] [5] [6]</w:t>
            </w:r>
          </w:p>
          <w:p>
            <w:pPr>
              <w:spacing w:after="20" w:before="70" w:line="264"/>
            </w:pPr>
            <w:r>
              <w:rPr>
                <w:rFonts w:ascii="Consolas" w:cs="Consolas" w:eastAsia="Consolas" w:hAnsi="Consolas"/>
                <w:b w:val="false"/>
                <w:bCs w:val="false"/>
                <w:i w:val="false"/>
                <w:iCs w:val="false"/>
                <w:color w:val="1A1A1A"/>
                <w:sz w:val="24"/>
                <w:szCs w:val="24"/>
              </w:rPr>
              <w:t xml:space="preserve">PREA classification: [ ] Not PREA   [ ] Sexual harassment   [ ] SEXUAL ABUSE</w:t>
            </w:r>
          </w:p>
          <w:p>
            <w:pPr>
              <w:spacing w:after="20" w:before="70" w:line="264"/>
            </w:pPr>
            <w:r>
              <w:rPr>
                <w:rFonts w:ascii="Consolas" w:cs="Consolas" w:eastAsia="Consolas" w:hAnsi="Consolas"/>
                <w:b w:val="false"/>
                <w:bCs w:val="false"/>
                <w:i w:val="false"/>
                <w:iCs w:val="false"/>
                <w:color w:val="1A1A1A"/>
                <w:sz w:val="24"/>
                <w:szCs w:val="24"/>
              </w:rPr>
              <w:t xml:space="preserve">Basis for that classification, in one sentence: [  ].</w:t>
            </w:r>
          </w:p>
          <w:p>
            <w:pPr>
              <w:spacing w:after="20" w:before="70" w:line="264"/>
            </w:pPr>
            <w:r>
              <w:rPr>
                <w:rFonts w:ascii="Consolas" w:cs="Consolas" w:eastAsia="Consolas" w:hAnsi="Consolas"/>
                <w:b w:val="false"/>
                <w:bCs w:val="false"/>
                <w:i w:val="false"/>
                <w:iCs w:val="false"/>
                <w:color w:val="1A1A1A"/>
                <w:sz w:val="24"/>
                <w:szCs w:val="24"/>
              </w:rPr>
              <w:t xml:space="preserve">Ages: [ ] both under 18   [ ] one under one over   [ ] both 18 or over</w:t>
            </w:r>
          </w:p>
          <w:p>
            <w:pPr>
              <w:spacing w:after="20" w:before="70" w:line="264"/>
            </w:pPr>
            <w:r>
              <w:rPr>
                <w:rFonts w:ascii="Consolas" w:cs="Consolas" w:eastAsia="Consolas" w:hAnsi="Consolas"/>
                <w:b w:val="false"/>
                <w:bCs w:val="false"/>
                <w:i w:val="false"/>
                <w:iCs w:val="false"/>
                <w:color w:val="1A1A1A"/>
                <w:sz w:val="24"/>
                <w:szCs w:val="24"/>
              </w:rPr>
              <w:t xml:space="preserve">Flip factors present: [ ] none   [ ] [list them]</w:t>
            </w:r>
          </w:p>
        </w:tc>
      </w:tr>
    </w:tbl>
    <w:p>
      <w:pPr>
        <w:spacing w:after="60" w:before="120" w:line="264"/>
      </w:pPr>
      <w:r>
        <w:rPr>
          <w:b w:val="false"/>
          <w:bCs w:val="false"/>
          <w:i/>
          <w:iCs/>
          <w:color w:val="595959"/>
          <w:sz w:val="24"/>
          <w:szCs w:val="24"/>
        </w:rPr>
        <w:t xml:space="preserve">This block is the reason the memo exists. Classify on the conduct described, not on the label the resident used. A resident saying "harassment" does not make it harassment, and a touch of the buttocks, groin, breast, inner thigh or anus, through clothing or under it, is sexual abuse under 28 CFR 115.6 whatever anyone calls it.</w:t>
      </w:r>
    </w:p>
    <w:p>
      <w:pPr>
        <w:pStyle w:val="Heading1"/>
        <w:spacing w:after="140" w:before="300"/>
      </w:pPr>
      <w:r>
        <w:t xml:space="preserve">4. Immediate actions taken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4F6F8" w:color="auto" w:val="clear"/>
            <w:tcMar>
              <w:top w:type="dxa" w:w="90"/>
              <w:left w:type="dxa" w:w="140"/>
              <w:bottom w:type="dxa" w:w="90"/>
              <w:right w:type="dxa" w:w="140"/>
            </w:tcMar>
          </w:tcPr>
          <w:p>
            <w:pPr>
              <w:spacing w:after="20" w:before="20" w:line="264"/>
            </w:pPr>
            <w:r>
              <w:rPr>
                <w:rFonts w:ascii="Consolas" w:cs="Consolas" w:eastAsia="Consolas" w:hAnsi="Consolas"/>
                <w:b w:val="false"/>
                <w:bCs w:val="false"/>
                <w:i w:val="false"/>
                <w:iCs w:val="false"/>
                <w:color w:val="1A1A1A"/>
                <w:sz w:val="24"/>
                <w:szCs w:val="24"/>
              </w:rPr>
              <w:t xml:space="preserve">Separation: [when, and what the no-contact arrangement is].</w:t>
            </w:r>
          </w:p>
          <w:p>
            <w:pPr>
              <w:spacing w:after="20" w:before="70" w:line="264"/>
            </w:pPr>
            <w:r>
              <w:rPr>
                <w:rFonts w:ascii="Consolas" w:cs="Consolas" w:eastAsia="Consolas" w:hAnsi="Consolas"/>
                <w:b w:val="false"/>
                <w:bCs w:val="false"/>
                <w:i w:val="false"/>
                <w:iCs w:val="false"/>
                <w:color w:val="1A1A1A"/>
                <w:sz w:val="24"/>
                <w:szCs w:val="24"/>
              </w:rPr>
              <w:t xml:space="preserve">Housing: [moves made, classification changes, and by whose authority].</w:t>
            </w:r>
          </w:p>
          <w:p>
            <w:pPr>
              <w:spacing w:after="20" w:before="70" w:line="264"/>
            </w:pPr>
            <w:r>
              <w:rPr>
                <w:rFonts w:ascii="Consolas" w:cs="Consolas" w:eastAsia="Consolas" w:hAnsi="Consolas"/>
                <w:b w:val="false"/>
                <w:bCs w:val="false"/>
                <w:i w:val="false"/>
                <w:iCs w:val="false"/>
                <w:color w:val="1A1A1A"/>
                <w:sz w:val="24"/>
                <w:szCs w:val="24"/>
              </w:rPr>
              <w:t xml:space="preserve">Evidence preserved: [  ]. Video hold placed: [yes or no, and with whom].</w:t>
            </w:r>
          </w:p>
          <w:p>
            <w:pPr>
              <w:spacing w:after="20" w:before="70" w:line="264"/>
            </w:pPr>
            <w:r>
              <w:rPr>
                <w:rFonts w:ascii="Consolas" w:cs="Consolas" w:eastAsia="Consolas" w:hAnsi="Consolas"/>
                <w:b w:val="false"/>
                <w:bCs w:val="false"/>
                <w:i w:val="false"/>
                <w:iCs w:val="false"/>
                <w:color w:val="1A1A1A"/>
                <w:sz w:val="24"/>
                <w:szCs w:val="24"/>
              </w:rPr>
              <w:t xml:space="preserve">Medical or mental health: [referral made, when, for whom].</w:t>
            </w:r>
          </w:p>
        </w:tc>
      </w:tr>
    </w:tbl>
    <w:p>
      <w:pPr>
        <w:pStyle w:val="Heading1"/>
        <w:spacing w:after="140" w:before="300"/>
      </w:pPr>
      <w:r>
        <w:t xml:space="preserve">5. Notifications made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4F6F8" w:color="auto" w:val="clear"/>
            <w:tcMar>
              <w:top w:type="dxa" w:w="90"/>
              <w:left w:type="dxa" w:w="140"/>
              <w:bottom w:type="dxa" w:w="90"/>
              <w:right w:type="dxa" w:w="140"/>
            </w:tcMar>
          </w:tcPr>
          <w:p>
            <w:pPr>
              <w:spacing w:after="20" w:before="20" w:line="264"/>
            </w:pPr>
            <w:r>
              <w:rPr>
                <w:rFonts w:ascii="Consolas" w:cs="Consolas" w:eastAsia="Consolas" w:hAnsi="Consolas"/>
                <w:b w:val="false"/>
                <w:bCs w:val="false"/>
                <w:i w:val="false"/>
                <w:iCs w:val="false"/>
                <w:color w:val="1A1A1A"/>
                <w:sz w:val="24"/>
                <w:szCs w:val="24"/>
              </w:rPr>
              <w:t xml:space="preserve">CPS mandated report: [ ] made by [who] at [time] by telephone, to [agency]. SS 8572 due by [time + 36 hours].</w:t>
            </w:r>
          </w:p>
          <w:p>
            <w:pPr>
              <w:spacing w:after="20" w:before="70" w:line="264"/>
            </w:pPr>
            <w:r>
              <w:rPr>
                <w:rFonts w:ascii="Consolas" w:cs="Consolas" w:eastAsia="Consolas" w:hAnsi="Consolas"/>
                <w:b w:val="false"/>
                <w:bCs w:val="false"/>
                <w:i w:val="false"/>
                <w:iCs w:val="false"/>
                <w:color w:val="1A1A1A"/>
                <w:sz w:val="24"/>
                <w:szCs w:val="24"/>
              </w:rPr>
              <w:t xml:space="preserve">                     [ ] not made, because [state the reason, for example both residents are 18 or over].</w:t>
            </w:r>
          </w:p>
          <w:p>
            <w:pPr>
              <w:spacing w:after="20" w:before="70" w:line="264"/>
            </w:pPr>
            <w:r>
              <w:rPr>
                <w:rFonts w:ascii="Consolas" w:cs="Consolas" w:eastAsia="Consolas" w:hAnsi="Consolas"/>
                <w:b w:val="false"/>
                <w:bCs w:val="false"/>
                <w:i w:val="false"/>
                <w:iCs w:val="false"/>
                <w:color w:val="1A1A1A"/>
                <w:sz w:val="24"/>
                <w:szCs w:val="24"/>
              </w:rPr>
              <w:t xml:space="preserve">Sheriff's Department: [ ] notified at [time], because a sexual assault was believed to have occurred.</w:t>
            </w:r>
          </w:p>
          <w:p>
            <w:pPr>
              <w:spacing w:after="20" w:before="70" w:line="264"/>
            </w:pPr>
            <w:r>
              <w:rPr>
                <w:rFonts w:ascii="Consolas" w:cs="Consolas" w:eastAsia="Consolas" w:hAnsi="Consolas"/>
                <w:b w:val="false"/>
                <w:bCs w:val="false"/>
                <w:i w:val="false"/>
                <w:iCs w:val="false"/>
                <w:color w:val="1A1A1A"/>
                <w:sz w:val="24"/>
                <w:szCs w:val="24"/>
              </w:rPr>
              <w:t xml:space="preserve">                      [ ] not notified, because [reason].</w:t>
            </w:r>
          </w:p>
          <w:p>
            <w:pPr>
              <w:spacing w:after="20" w:before="70" w:line="264"/>
            </w:pPr>
            <w:r>
              <w:rPr>
                <w:rFonts w:ascii="Consolas" w:cs="Consolas" w:eastAsia="Consolas" w:hAnsi="Consolas"/>
                <w:b w:val="false"/>
                <w:bCs w:val="false"/>
                <w:i w:val="false"/>
                <w:iCs w:val="false"/>
                <w:color w:val="1A1A1A"/>
                <w:sz w:val="24"/>
                <w:szCs w:val="24"/>
              </w:rPr>
              <w:t xml:space="preserve">Parent, guardian or caseworker: [ ] notified at [time] by [who].   [ ] not notified, because [reason].</w:t>
            </w:r>
          </w:p>
          <w:p>
            <w:pPr>
              <w:spacing w:after="20" w:before="70" w:line="264"/>
            </w:pPr>
            <w:r>
              <w:rPr>
                <w:rFonts w:ascii="Consolas" w:cs="Consolas" w:eastAsia="Consolas" w:hAnsi="Consolas"/>
                <w:b w:val="false"/>
                <w:bCs w:val="false"/>
                <w:i w:val="false"/>
                <w:iCs w:val="false"/>
                <w:color w:val="1A1A1A"/>
                <w:sz w:val="24"/>
                <w:szCs w:val="24"/>
              </w:rPr>
              <w:t xml:space="preserve">Counsel: [ ] notified   [ ] not applicable</w:t>
            </w:r>
          </w:p>
          <w:p>
            <w:pPr>
              <w:spacing w:after="20" w:before="70" w:line="264"/>
            </w:pPr>
            <w:r>
              <w:rPr>
                <w:rFonts w:ascii="Consolas" w:cs="Consolas" w:eastAsia="Consolas" w:hAnsi="Consolas"/>
                <w:b w:val="false"/>
                <w:bCs w:val="false"/>
                <w:i w:val="false"/>
                <w:iCs w:val="false"/>
                <w:color w:val="1A1A1A"/>
                <w:sz w:val="24"/>
                <w:szCs w:val="24"/>
              </w:rPr>
              <w:t xml:space="preserve">Up the chain: [who was told, when].</w:t>
            </w:r>
          </w:p>
        </w:tc>
      </w:tr>
    </w:tbl>
    <w:p>
      <w:pPr>
        <w:spacing w:after="60" w:before="120" w:line="264"/>
      </w:pPr>
      <w:r>
        <w:rPr>
          <w:b w:val="false"/>
          <w:bCs w:val="false"/>
          <w:i/>
          <w:iCs/>
          <w:color w:val="595959"/>
          <w:sz w:val="24"/>
          <w:szCs w:val="24"/>
        </w:rPr>
        <w:t xml:space="preserve">The CPS line is the one that carries personal exposure. The duty belongs to the employee who formed the suspicion, and telling you does not discharge it. If the reporting staff member made their own report, say so and give the time. If nobody did, this memo should show why not.</w:t>
      </w:r>
    </w:p>
    <w:p>
      <w:pPr>
        <w:pStyle w:val="Heading1"/>
        <w:spacing w:after="140" w:before="300"/>
      </w:pPr>
      <w:r>
        <w:t xml:space="preserve">6. Protection and monitoring</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4F6F8" w:color="auto" w:val="clear"/>
            <w:tcMar>
              <w:top w:type="dxa" w:w="90"/>
              <w:left w:type="dxa" w:w="140"/>
              <w:bottom w:type="dxa" w:w="90"/>
              <w:right w:type="dxa" w:w="140"/>
            </w:tcMar>
          </w:tcPr>
          <w:p>
            <w:pPr>
              <w:spacing w:after="20" w:before="20" w:line="264"/>
            </w:pPr>
            <w:r>
              <w:rPr>
                <w:rFonts w:ascii="Consolas" w:cs="Consolas" w:eastAsia="Consolas" w:hAnsi="Consolas"/>
                <w:b w:val="false"/>
                <w:bCs w:val="false"/>
                <w:i w:val="false"/>
                <w:iCs w:val="false"/>
                <w:color w:val="1A1A1A"/>
                <w:sz w:val="24"/>
                <w:szCs w:val="24"/>
              </w:rPr>
              <w:t xml:space="preserve">Substantial risk of imminent sexual abuse assessed: [ ] yes, action taken: [  ]   [ ] no</w:t>
            </w:r>
          </w:p>
          <w:p>
            <w:pPr>
              <w:spacing w:after="20" w:before="70" w:line="264"/>
            </w:pPr>
            <w:r>
              <w:rPr>
                <w:rFonts w:ascii="Consolas" w:cs="Consolas" w:eastAsia="Consolas" w:hAnsi="Consolas"/>
                <w:b w:val="false"/>
                <w:bCs w:val="false"/>
                <w:i w:val="false"/>
                <w:iCs w:val="false"/>
                <w:color w:val="1A1A1A"/>
                <w:sz w:val="24"/>
                <w:szCs w:val="24"/>
              </w:rPr>
              <w:t xml:space="preserve">Retaliation monitoring started for: [names or roles], on [date], for at least 90 days.</w:t>
            </w:r>
          </w:p>
          <w:p>
            <w:pPr>
              <w:spacing w:after="20" w:before="70" w:line="264"/>
            </w:pPr>
            <w:r>
              <w:rPr>
                <w:rFonts w:ascii="Consolas" w:cs="Consolas" w:eastAsia="Consolas" w:hAnsi="Consolas"/>
                <w:b w:val="false"/>
                <w:bCs w:val="false"/>
                <w:i w:val="false"/>
                <w:iCs w:val="false"/>
                <w:color w:val="1A1A1A"/>
                <w:sz w:val="24"/>
                <w:szCs w:val="24"/>
              </w:rPr>
              <w:t xml:space="preserve">Who is doing the monitoring: [  ].</w:t>
            </w:r>
          </w:p>
          <w:p>
            <w:pPr>
              <w:spacing w:after="20" w:before="70" w:line="264"/>
            </w:pPr>
            <w:r>
              <w:rPr>
                <w:rFonts w:ascii="Consolas" w:cs="Consolas" w:eastAsia="Consolas" w:hAnsi="Consolas"/>
                <w:b w:val="false"/>
                <w:bCs w:val="false"/>
                <w:i w:val="false"/>
                <w:iCs w:val="false"/>
                <w:color w:val="1A1A1A"/>
                <w:sz w:val="24"/>
                <w:szCs w:val="24"/>
              </w:rPr>
              <w:t xml:space="preserve">Residents who asked to remain anonymous: [ ] none   [ ] yes, and their identities are NOT recorded in this memo.</w:t>
            </w:r>
          </w:p>
        </w:tc>
      </w:tr>
    </w:tbl>
    <w:p>
      <w:pPr>
        <w:spacing w:after="60" w:before="120" w:line="264"/>
      </w:pPr>
      <w:r>
        <w:rPr>
          <w:b w:val="false"/>
          <w:bCs w:val="false"/>
          <w:i/>
          <w:iCs/>
          <w:color w:val="595959"/>
          <w:sz w:val="24"/>
          <w:szCs w:val="24"/>
        </w:rPr>
        <w:t xml:space="preserve">If residents asked for anonymity, honour it here. Identifying them in a memo that goes to three recipients is how anonymity is lost, and once it is lost the next resident watches what happened and says nothing.</w:t>
      </w:r>
    </w:p>
    <w:p>
      <w:pPr>
        <w:pStyle w:val="Heading1"/>
        <w:spacing w:after="140" w:before="300"/>
      </w:pPr>
      <w:r>
        <w:t xml:space="preserve">7. Referred to</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4F6F8" w:color="auto" w:val="clear"/>
            <w:tcMar>
              <w:top w:type="dxa" w:w="90"/>
              <w:left w:type="dxa" w:w="140"/>
              <w:bottom w:type="dxa" w:w="90"/>
              <w:right w:type="dxa" w:w="140"/>
            </w:tcMar>
          </w:tcPr>
          <w:p>
            <w:pPr>
              <w:spacing w:after="20" w:before="20" w:line="264"/>
            </w:pPr>
            <w:r>
              <w:rPr>
                <w:rFonts w:ascii="Consolas" w:cs="Consolas" w:eastAsia="Consolas" w:hAnsi="Consolas"/>
                <w:b w:val="false"/>
                <w:bCs w:val="false"/>
                <w:i w:val="false"/>
                <w:iCs w:val="false"/>
                <w:color w:val="1A1A1A"/>
                <w:sz w:val="24"/>
                <w:szCs w:val="24"/>
              </w:rPr>
              <w:t xml:space="preserve">Administrative or criminal investigation referred to: [  ] on [date].</w:t>
            </w:r>
          </w:p>
          <w:p>
            <w:pPr>
              <w:spacing w:after="20" w:before="70" w:line="264"/>
            </w:pPr>
            <w:r>
              <w:rPr>
                <w:rFonts w:ascii="Consolas" w:cs="Consolas" w:eastAsia="Consolas" w:hAnsi="Consolas"/>
                <w:b w:val="false"/>
                <w:bCs w:val="false"/>
                <w:i w:val="false"/>
                <w:iCs w:val="false"/>
                <w:color w:val="1A1A1A"/>
                <w:sz w:val="24"/>
                <w:szCs w:val="24"/>
              </w:rPr>
              <w:t xml:space="preserve">This memo is a response and documentation record. It is not an investigation report.</w:t>
            </w:r>
          </w:p>
        </w:tc>
      </w:tr>
    </w:tbl>
    <w:p>
      <w:pPr>
        <w:spacing w:after="60" w:before="120" w:line="264"/>
      </w:pPr>
      <w:r>
        <w:rPr>
          <w:b w:val="false"/>
          <w:bCs w:val="false"/>
          <w:i/>
          <w:iCs/>
          <w:color w:val="595959"/>
          <w:sz w:val="24"/>
          <w:szCs w:val="24"/>
        </w:rPr>
        <w:t xml:space="preserve">Name the recipient even if the answer today is "no designated investigator." Writing that down is how the gap becomes visible to the people who can close it.</w:t>
      </w:r>
    </w:p>
    <w:p>
      <w:pPr>
        <w:pStyle w:val="Heading1"/>
        <w:spacing w:after="140" w:before="300"/>
      </w:pPr>
      <w:r>
        <w:t xml:space="preserve">8. Attachments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4F6F8" w:color="auto" w:val="clear"/>
            <w:tcMar>
              <w:top w:type="dxa" w:w="90"/>
              <w:left w:type="dxa" w:w="140"/>
              <w:bottom w:type="dxa" w:w="90"/>
              <w:right w:type="dxa" w:w="140"/>
            </w:tcMar>
          </w:tcPr>
          <w:p>
            <w:pPr>
              <w:spacing w:after="20" w:before="20" w:line="264"/>
            </w:pPr>
            <w:r>
              <w:rPr>
                <w:rFonts w:ascii="Consolas" w:cs="Consolas" w:eastAsia="Consolas" w:hAnsi="Consolas"/>
                <w:b w:val="false"/>
                <w:bCs w:val="false"/>
                <w:i w:val="false"/>
                <w:iCs w:val="false"/>
                <w:color w:val="1A1A1A"/>
                <w:sz w:val="24"/>
                <w:szCs w:val="24"/>
              </w:rPr>
              <w:t xml:space="preserve">[ ] Institutional Incident Report   [ ] Video   [ ] Classification sheet   [ ] Other: [  ]</w:t>
            </w:r>
          </w:p>
        </w:tc>
      </w:tr>
    </w:tbl>
    <w:p>
      <w:r>
        <w:br w:type="page"/>
      </w:r>
    </w:p>
    <w:p>
      <w:pPr>
        <w:pStyle w:val="Heading1"/>
      </w:pPr>
      <w:r>
        <w:t xml:space="preserve">What not to put in this memo</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90"/>
              <w:left w:type="dxa" w:w="140"/>
              <w:bottom w:type="dxa" w:w="90"/>
              <w:right w:type="dxa" w:w="140"/>
            </w:tcMar>
          </w:tcPr>
          <w:p>
            <w:pPr>
              <w:pStyle w:val="ListParagraph"/>
              <w:numPr>
                <w:ilvl w:val="0"/>
                <w:numId w:val="1"/>
              </w:numPr>
              <w:spacing w:after="60" w:before="20" w:line="264"/>
            </w:pPr>
            <w:r>
              <w:rPr>
                <w:b w:val="false"/>
                <w:bCs w:val="false"/>
                <w:i w:val="false"/>
                <w:iCs w:val="false"/>
                <w:color w:val="1A1A1A"/>
                <w:sz w:val="24"/>
                <w:szCs w:val="24"/>
              </w:rPr>
              <w:t xml:space="preserve"/>
            </w:r>
            <w:r>
              <w:rPr>
                <w:b/>
                <w:bCs/>
                <w:i w:val="false"/>
                <w:iCs w:val="false"/>
                <w:color w:val="1A1A1A"/>
                <w:sz w:val="24"/>
                <w:szCs w:val="24"/>
              </w:rPr>
              <w:t xml:space="preserve">Your conclusion about whether it happened.</w:t>
            </w:r>
            <w:r>
              <w:rPr>
                <w:b w:val="false"/>
                <w:bCs w:val="false"/>
                <w:i w:val="false"/>
                <w:iCs w:val="false"/>
                <w:color w:val="1A1A1A"/>
                <w:sz w:val="24"/>
                <w:szCs w:val="24"/>
              </w:rPr>
              <w:t xml:space="preserve"> You are recording what was reported and what you did. Whether the allegation is true is the investigation's answer, and a supervisor's guess in writing becomes the exhibit that undermines the finding either way.</w:t>
            </w:r>
          </w:p>
          <w:p>
            <w:pPr>
              <w:pStyle w:val="ListParagraph"/>
              <w:numPr>
                <w:ilvl w:val="0"/>
                <w:numId w:val="1"/>
              </w:numPr>
              <w:spacing w:after="60" w:before="60" w:line="264"/>
            </w:pPr>
            <w:r>
              <w:rPr>
                <w:b w:val="false"/>
                <w:bCs w:val="false"/>
                <w:i w:val="false"/>
                <w:iCs w:val="false"/>
                <w:color w:val="1A1A1A"/>
                <w:sz w:val="24"/>
                <w:szCs w:val="24"/>
              </w:rPr>
              <w:t xml:space="preserve"/>
            </w:r>
            <w:r>
              <w:rPr>
                <w:b/>
                <w:bCs/>
                <w:i w:val="false"/>
                <w:iCs w:val="false"/>
                <w:color w:val="1A1A1A"/>
                <w:sz w:val="24"/>
                <w:szCs w:val="24"/>
              </w:rPr>
              <w:t xml:space="preserve">Characterisations.</w:t>
            </w:r>
            <w:r>
              <w:rPr>
                <w:b w:val="false"/>
                <w:bCs w:val="false"/>
                <w:i w:val="false"/>
                <w:iCs w:val="false"/>
                <w:color w:val="1A1A1A"/>
                <w:sz w:val="24"/>
                <w:szCs w:val="24"/>
              </w:rPr>
              <w:t xml:space="preserve"> Not horseplay, not consensual, not attention seeking, not just talk. Those words decide the case in advance and none of them is a classification on the card.</w:t>
            </w:r>
          </w:p>
          <w:p>
            <w:pPr>
              <w:pStyle w:val="ListParagraph"/>
              <w:numPr>
                <w:ilvl w:val="0"/>
                <w:numId w:val="1"/>
              </w:numPr>
              <w:spacing w:after="60" w:before="60" w:line="264"/>
            </w:pPr>
            <w:r>
              <w:rPr>
                <w:b w:val="false"/>
                <w:bCs w:val="false"/>
                <w:i w:val="false"/>
                <w:iCs w:val="false"/>
                <w:color w:val="1A1A1A"/>
                <w:sz w:val="24"/>
                <w:szCs w:val="24"/>
              </w:rPr>
              <w:t xml:space="preserve"/>
            </w:r>
            <w:r>
              <w:rPr>
                <w:b/>
                <w:bCs/>
                <w:i w:val="false"/>
                <w:iCs w:val="false"/>
                <w:color w:val="1A1A1A"/>
                <w:sz w:val="24"/>
                <w:szCs w:val="24"/>
              </w:rPr>
              <w:t xml:space="preserve">A witness canvass written up as though it were part of the response.</w:t>
            </w:r>
            <w:r>
              <w:rPr>
                <w:b w:val="false"/>
                <w:bCs w:val="false"/>
                <w:i w:val="false"/>
                <w:iCs w:val="false"/>
                <w:color w:val="1A1A1A"/>
                <w:sz w:val="24"/>
                <w:szCs w:val="24"/>
              </w:rPr>
              <w:t xml:space="preserve"> OO 1453 I.A.6 directs you to take an initial statement from the victim and the suspect, so that belongs in section 3 below. Going on to question other residents to find out whether the allegation is true is not directed anywhere in the order, and it is what belongs to a trained investigator under 115.334.</w:t>
            </w:r>
          </w:p>
          <w:p>
            <w:pPr>
              <w:pStyle w:val="ListParagraph"/>
              <w:numPr>
                <w:ilvl w:val="0"/>
                <w:numId w:val="1"/>
              </w:numPr>
              <w:spacing w:after="60" w:before="60" w:line="264"/>
            </w:pPr>
            <w:r>
              <w:rPr>
                <w:b w:val="false"/>
                <w:bCs w:val="false"/>
                <w:i w:val="false"/>
                <w:iCs w:val="false"/>
                <w:color w:val="1A1A1A"/>
                <w:sz w:val="24"/>
                <w:szCs w:val="24"/>
              </w:rPr>
              <w:t xml:space="preserve"/>
            </w:r>
            <w:r>
              <w:rPr>
                <w:b/>
                <w:bCs/>
                <w:i w:val="false"/>
                <w:iCs w:val="false"/>
                <w:color w:val="1A1A1A"/>
                <w:sz w:val="24"/>
                <w:szCs w:val="24"/>
              </w:rPr>
              <w:t xml:space="preserve">The names of residents who asked to stay anonymous.</w:t>
            </w:r>
            <w:r>
              <w:rPr>
                <w:b w:val="false"/>
                <w:bCs w:val="false"/>
                <w:i w:val="false"/>
                <w:iCs w:val="false"/>
                <w:color w:val="1A1A1A"/>
                <w:sz w:val="24"/>
                <w:szCs w:val="24"/>
              </w:rPr>
              <w:t xml:space="preserve"/>
            </w:r>
          </w:p>
          <w:p>
            <w:pPr>
              <w:pStyle w:val="ListParagraph"/>
              <w:numPr>
                <w:ilvl w:val="0"/>
                <w:numId w:val="1"/>
              </w:numPr>
              <w:spacing w:after="60" w:before="60" w:line="264"/>
            </w:pPr>
            <w:r>
              <w:rPr>
                <w:b w:val="false"/>
                <w:bCs w:val="false"/>
                <w:i w:val="false"/>
                <w:iCs w:val="false"/>
                <w:color w:val="1A1A1A"/>
                <w:sz w:val="24"/>
                <w:szCs w:val="24"/>
              </w:rPr>
              <w:t xml:space="preserve"/>
            </w:r>
            <w:r>
              <w:rPr>
                <w:b/>
                <w:bCs/>
                <w:i w:val="false"/>
                <w:iCs w:val="false"/>
                <w:color w:val="1A1A1A"/>
                <w:sz w:val="24"/>
                <w:szCs w:val="24"/>
              </w:rPr>
              <w:t xml:space="preserve">Anything you did not personally do or observe, written as though you did.</w:t>
            </w:r>
            <w:r>
              <w:rPr>
                <w:b w:val="false"/>
                <w:bCs w:val="false"/>
                <w:i w:val="false"/>
                <w:iCs w:val="false"/>
                <w:color w:val="1A1A1A"/>
                <w:sz w:val="24"/>
                <w:szCs w:val="24"/>
              </w:rPr>
              <w:t xml:space="preserve"> Attribute it.</w:t>
            </w:r>
          </w:p>
        </w:tc>
      </w:tr>
    </w:tbl>
    <w:p>
      <w:pPr>
        <w:pStyle w:val="Heading1"/>
      </w:pPr>
      <w:r>
        <w:t xml:space="preserve">What the current YDF memo already does well, and this template keeps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8F0E4" w:color="auto" w:val="clear"/>
            <w:tcMar>
              <w:top w:type="dxa" w:w="90"/>
              <w:left w:type="dxa" w:w="140"/>
              <w:bottom w:type="dxa" w:w="90"/>
              <w:right w:type="dxa" w:w="140"/>
            </w:tcMar>
          </w:tcPr>
          <w:p>
            <w:pPr>
              <w:pStyle w:val="ListParagraph"/>
              <w:numPr>
                <w:ilvl w:val="0"/>
                <w:numId w:val="1"/>
              </w:numPr>
              <w:spacing w:after="60" w:before="20" w:line="264"/>
            </w:pPr>
            <w:r>
              <w:rPr>
                <w:b w:val="false"/>
                <w:bCs w:val="false"/>
                <w:i w:val="false"/>
                <w:iCs w:val="false"/>
                <w:color w:val="1A1A1A"/>
                <w:sz w:val="24"/>
                <w:szCs w:val="24"/>
              </w:rPr>
              <w:t xml:space="preserve">Prompt, and timed to the minute.</w:t>
            </w:r>
          </w:p>
          <w:p>
            <w:pPr>
              <w:pStyle w:val="ListParagraph"/>
              <w:numPr>
                <w:ilvl w:val="0"/>
                <w:numId w:val="1"/>
              </w:numPr>
              <w:spacing w:after="60" w:before="60" w:line="264"/>
            </w:pPr>
            <w:r>
              <w:rPr>
                <w:b w:val="false"/>
                <w:bCs w:val="false"/>
                <w:i w:val="false"/>
                <w:iCs w:val="false"/>
                <w:color w:val="1A1A1A"/>
                <w:sz w:val="24"/>
                <w:szCs w:val="24"/>
              </w:rPr>
              <w:t xml:space="preserve">Quotes the reporting staff member rather than summarising.</w:t>
            </w:r>
          </w:p>
          <w:p>
            <w:pPr>
              <w:pStyle w:val="ListParagraph"/>
              <w:numPr>
                <w:ilvl w:val="0"/>
                <w:numId w:val="1"/>
              </w:numPr>
              <w:spacing w:after="60" w:before="60" w:line="264"/>
            </w:pPr>
            <w:r>
              <w:rPr>
                <w:b w:val="false"/>
                <w:bCs w:val="false"/>
                <w:i w:val="false"/>
                <w:iCs w:val="false"/>
                <w:color w:val="1A1A1A"/>
                <w:sz w:val="24"/>
                <w:szCs w:val="24"/>
              </w:rPr>
              <w:t xml:space="preserve">Attaches the incident report and the video.</w:t>
            </w:r>
          </w:p>
          <w:p>
            <w:pPr>
              <w:pStyle w:val="ListParagraph"/>
              <w:numPr>
                <w:ilvl w:val="0"/>
                <w:numId w:val="1"/>
              </w:numPr>
              <w:spacing w:after="60" w:before="60" w:line="264"/>
            </w:pPr>
            <w:r>
              <w:rPr>
                <w:b w:val="false"/>
                <w:bCs w:val="false"/>
                <w:i w:val="false"/>
                <w:iCs w:val="false"/>
                <w:color w:val="1A1A1A"/>
                <w:sz w:val="24"/>
                <w:szCs w:val="24"/>
              </w:rPr>
              <w:t xml:space="preserve">States plainly where the video did not establish the allegation, instead of stretching it.</w:t>
            </w:r>
          </w:p>
          <w:p>
            <w:pPr>
              <w:pStyle w:val="ListParagraph"/>
              <w:numPr>
                <w:ilvl w:val="0"/>
                <w:numId w:val="1"/>
              </w:numPr>
              <w:spacing w:after="60" w:before="60" w:line="264"/>
            </w:pPr>
            <w:r>
              <w:rPr>
                <w:b w:val="false"/>
                <w:bCs w:val="false"/>
                <w:i w:val="false"/>
                <w:iCs w:val="false"/>
                <w:color w:val="1A1A1A"/>
                <w:sz w:val="24"/>
                <w:szCs w:val="24"/>
              </w:rPr>
              <w:t xml:space="preserve">Records the housing and classification action taken, and by whom.</w:t>
            </w:r>
          </w:p>
        </w:tc>
      </w:tr>
    </w:tbl>
    <w:p>
      <w:pPr>
        <w:spacing w:after="120" w:before="280" w:line="264"/>
      </w:pPr>
      <w:r>
        <w:rPr>
          <w:b w:val="false"/>
          <w:bCs w:val="false"/>
          <w:i/>
          <w:iCs/>
          <w:color w:val="1A1A1A"/>
          <w:sz w:val="24"/>
          <w:szCs w:val="24"/>
        </w:rPr>
        <w:t xml:space="preserve">This is a template, not legal advice, and statutory questions go to County Counsel. The CANRA and 28 CFR 115.6 references behind it were corroborated by exact-phrase search and have NOT been read from the Penal Code or the Code of Federal Regulations directly. The OO 1453 response sequence it assumes traces to the gap register rather than to the order, which has never been produced to this review. Confirm both before this template issues.</w:t>
      </w:r>
    </w:p>
    <w:p>
      <w:pPr>
        <w:spacing w:after="120" w:line="264"/>
      </w:pPr>
      <w:r>
        <w:rPr>
          <w:b w:val="false"/>
          <w:bCs w:val="false"/>
          <w:i/>
          <w:iCs/>
          <w:color w:val="595959"/>
          <w:sz w:val="24"/>
          <w:szCs w:val="24"/>
        </w:rPr>
        <w:t xml:space="preserve">Generated from drafts/supervisor-guide.json by npm run memo-template. Do not hand-edit this file. Drawn from gap register Revision 9.</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PREA Incident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00"/>
    </w:pPr>
    <w:rPr>
      <w:rFonts w:ascii="Calibri" w:cs="Calibri" w:eastAsia="Calibri" w:hAnsi="Calibri"/>
      <w:b/>
      <w:bCs/>
      <w:color w:val="1A1A1A"/>
      <w:sz w:val="30"/>
      <w:szCs w:val="30"/>
    </w:rPr>
  </w:style>
  <w:style w:type="paragraph" w:styleId="Heading2">
    <w:name w:val="Heading 2"/>
    <w:basedOn w:val="Normal"/>
    <w:next w:val="Normal"/>
    <w:qFormat/>
    <w:pPr>
      <w:spacing w:after="110" w:before="240"/>
    </w:pPr>
    <w:rPr>
      <w:rFonts w:ascii="Calibri" w:cs="Calibri" w:eastAsia="Calibri" w:hAnsi="Calibri"/>
      <w:b/>
      <w:bCs/>
      <w:color w:val="1A1A1A"/>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2026-10-29T21:33:07.551Z</dcterms:created>
  <dcterms:modified xsi:type="dcterms:W3CDTF">2026-10-29T21:33:07.552Z</dcterms:modified>
</cp:coreProperties>
</file>

<file path=docProps/custom.xml><?xml version="1.0" encoding="utf-8"?>
<Properties xmlns="http://schemas.openxmlformats.org/officeDocument/2006/custom-properties" xmlns:vt="http://schemas.openxmlformats.org/officeDocument/2006/docPropsVTypes"/>
</file>