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400"/>
        <w:jc w:val="center"/>
      </w:pPr>
      <w:r>
        <w:rPr>
          <w:b/>
          <w:bCs/>
          <w:color w:val="1A1A1A"/>
          <w:sz w:val="44"/>
          <w:szCs w:val="44"/>
        </w:rPr>
        <w:t xml:space="preserve">PREA versus Policy</w:t>
      </w:r>
    </w:p>
    <w:p>
      <w:pPr>
        <w:spacing w:after="500"/>
        <w:jc w:val="center"/>
      </w:pPr>
      <w:r>
        <w:rPr>
          <w:color w:val="5A5A5A"/>
          <w:sz w:val="28"/>
          <w:szCs w:val="28"/>
        </w:rPr>
        <w:t xml:space="preserve">A standard-by-standard crosswalk</w:t>
      </w:r>
    </w:p>
    <w:p>
      <w:pPr>
        <w:spacing w:after="60"/>
        <w:jc w:val="center"/>
      </w:pPr>
      <w:r>
        <w:rPr>
          <w:color w:val="1A1A1A"/>
          <w:sz w:val="24"/>
          <w:szCs w:val="24"/>
        </w:rPr>
        <w:t xml:space="preserve">Sacramento County Probation Department</w:t>
      </w:r>
    </w:p>
    <w:p>
      <w:pPr>
        <w:spacing w:after="400"/>
        <w:jc w:val="center"/>
      </w:pPr>
      <w:r>
        <w:rPr>
          <w:color w:val="1A1A1A"/>
          <w:sz w:val="24"/>
          <w:szCs w:val="24"/>
        </w:rPr>
        <w:t xml:space="preserve">Youth Detention Facility</w:t>
      </w:r>
    </w:p>
    <w:p>
      <w:pPr>
        <w:spacing w:after="900"/>
        <w:jc w:val="center"/>
      </w:pPr>
      <w:r>
        <w:rPr>
          <w:color w:val="5A5A5A"/>
          <w:sz w:val="22"/>
          <w:szCs w:val="22"/>
        </w:rPr>
        <w:t xml:space="preserve">Gap register Revision 3. 83 requirements assessed against 14 departmental policies.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10080"/>
      </w:tblGrid>
      <w:tr>
        <w:tc>
          <w:tcPr>
            <w:tcW w:type="dxa" w:w="10080"/>
            <w:shd w:fill="F5F5F5" w:color="auto" w:val="clear"/>
            <w:tcMar>
              <w:top w:type="dxa" w:w="60"/>
              <w:left w:type="dxa" w:w="100"/>
              <w:bottom w:type="dxa" w:w="60"/>
              <w:right w:type="dxa" w:w="100"/>
            </w:tcMar>
          </w:tcPr>
          <w:p>
            <w:pPr>
              <w:spacing w:after="60" w:before="60" w:line="260"/>
            </w:pPr>
            <w:r>
              <w:rPr>
                <w:b/>
                <w:bCs/>
                <w:color w:val="1A1A1A"/>
                <w:sz w:val="20"/>
                <w:szCs w:val="20"/>
              </w:rPr>
              <w:t xml:space="preserve">This is not legal advice. </w:t>
            </w:r>
            <w:r>
              <w:rPr>
                <w:color w:val="1A1A1A"/>
                <w:sz w:val="20"/>
                <w:szCs w:val="20"/>
              </w:rPr>
              <w:t xml:space="preserve">It is a policy-to-standard comparison prepared for internal remediation planning. Findings state what the documents reviewed contain. Where a requirement is recorded as not addressed, that means no provision appeared in the 14 documents reviewed, not that the practice does not occur. Statutory questions route to County Counsel.</w:t>
            </w:r>
          </w:p>
        </w:tc>
      </w:tr>
    </w:tbl>
    <w:p>
      <w:r>
        <w:br w:type="page"/>
      </w:r>
    </w:p>
    <w:p>
      <w:pPr>
        <w:pStyle w:val="Heading1"/>
        <w:spacing w:after="200"/>
      </w:pPr>
      <w:r>
        <w:t xml:space="preserve">Contents</w:t>
      </w:r>
    </w:p>
    <w:sdt>
      <w:sdtPr>
        <w:alias w:val="Contents"/>
      </w:sdtPr>
      <w:sdtContent>
        <w:p>
          <w:r>
            <w:fldChar w:fldCharType="begin" w:dirty="true"/>
            <w:instrText xml:space="preserve">TOC \h \o "1-3"</w:instrText>
            <w:fldChar w:fldCharType="separate"/>
          </w:r>
        </w:p>
        <w:p>
          <w:r>
            <w:fldChar w:fldCharType="end"/>
          </w:r>
        </w:p>
      </w:sdtContent>
    </w:sdt>
    <w:p>
      <w:r>
        <w:br w:type="page"/>
      </w:r>
    </w:p>
    <w:p>
      <w:pPr>
        <w:pStyle w:val="Heading1"/>
      </w:pPr>
      <w:r>
        <w:t xml:space="preserve">1. What this document does</w:t>
      </w:r>
    </w:p>
    <w:p>
      <w:pPr>
        <w:spacing w:after="120" w:line="276"/>
      </w:pPr>
      <w:r>
        <w:rPr>
          <w:color w:val="1A1A1A"/>
        </w:rPr>
        <w:t xml:space="preserve">The gap register records, for each requirement, what the department has. This document sets the requirement and the departmental provision next to each other so the divergence is visible on its face, and then inverts the view so each of the 14 reviewed policies can be worked one at a time.</w:t>
      </w:r>
    </w:p>
    <w:p>
      <w:pPr>
        <w:spacing w:after="120" w:line="276"/>
      </w:pPr>
      <w:r>
        <w:rPr>
          <w:color w:val="1A1A1A"/>
        </w:rPr>
        <w:t xml:space="preserve">Three divergence classes are used throughout.</w:t>
      </w:r>
    </w:p>
    <w:p>
      <w:pPr>
        <w:spacing w:after="120" w:line="276"/>
      </w:pPr>
      <w:r>
        <w:rPr>
          <w:b/>
          <w:bCs/>
          <w:color w:val="1A1A1A"/>
        </w:rPr>
        <w:t xml:space="preserve">Conflict. </w:t>
      </w:r>
      <w:r>
        <w:rPr>
          <w:color w:val="1A1A1A"/>
        </w:rPr>
        <w:t xml:space="preserve">The policy states a rule, and the rule is wrong. This is the worst class, because staff following policy are out of compliance by doing what they were told. Twelve requirements sit here, and they are set out in full at part 3.</w:t>
      </w:r>
    </w:p>
    <w:p>
      <w:pPr>
        <w:spacing w:after="120" w:line="276"/>
      </w:pPr>
      <w:r>
        <w:rPr>
          <w:b/>
          <w:bCs/>
          <w:color w:val="1A1A1A"/>
        </w:rPr>
        <w:t xml:space="preserve">Not Addressed. </w:t>
      </w:r>
      <w:r>
        <w:rPr>
          <w:color w:val="1A1A1A"/>
        </w:rPr>
        <w:t xml:space="preserve">The documents reviewed contain no provision on the point. Seventeen requirements sit here. Eleven of them cite no departmental document at all, so they cannot be closed by amendment: they need drafting or an administrative decision.</w:t>
      </w:r>
    </w:p>
    <w:p>
      <w:pPr>
        <w:spacing w:after="120" w:line="276"/>
      </w:pPr>
      <w:r>
        <w:rPr>
          <w:b/>
          <w:bCs/>
          <w:color w:val="1A1A1A"/>
        </w:rPr>
        <w:t xml:space="preserve">Partial. </w:t>
      </w:r>
      <w:r>
        <w:rPr>
          <w:color w:val="1A1A1A"/>
        </w:rPr>
        <w:t xml:space="preserve">A provision exists and does part of the work. Thirty-nine requirements sit here, and this is where most of the remediation labor is. A partial finding is usually cheaper to close than it looks, because the drafting anchor already exists.</w:t>
      </w:r>
    </w:p>
    <w:p>
      <w:pPr>
        <w:spacing w:after="120" w:line="276"/>
      </w:pPr>
      <w:r>
        <w:rPr>
          <w:color w:val="1A1A1A"/>
        </w:rPr>
        <w:t xml:space="preserve">Part 4 is the crosswalk in the order an auditor scores. Part 5 is the same findings reorganized by departmental document, which is the order the drafting actually gets done in.</w:t>
      </w:r>
    </w:p>
    <w:p>
      <w:r>
        <w:br w:type="page"/>
      </w:r>
    </w:p>
    <w:p>
      <w:pPr>
        <w:pStyle w:val="Heading1"/>
      </w:pPr>
      <w:r>
        <w:t xml:space="preserve">2. Where policy and standard diverge</w:t>
      </w:r>
    </w:p>
    <w:p>
      <w:pPr>
        <w:pStyle w:val="Heading2"/>
      </w:pPr>
      <w:r>
        <w:t xml:space="preserve">By status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1800"/>
        <w:gridCol w:w="18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c>
          <w:tcPr>
            <w:tcW w:type="dxa" w:w="18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Share</w:t>
            </w:r>
          </w:p>
        </w:tc>
      </w:tr>
      <w:tr>
        <w:tc>
          <w:tcPr>
            <w:tcW w:type="dxa" w:w="648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Conflict</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12</w:t>
            </w:r>
          </w:p>
        </w:tc>
        <w:tc>
          <w:tcPr>
            <w:tcW w:type="dxa" w:w="1800"/>
            <w:shd w:fill="F2DEDE"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r>
        <w:tc>
          <w:tcPr>
            <w:tcW w:type="dxa" w:w="64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c>
          <w:tcPr>
            <w:tcW w:type="dxa" w:w="1800"/>
            <w:shd w:fill="FCF0DC" w:color="auto" w:val="clear"/>
            <w:tcMar>
              <w:top w:type="dxa" w:w="60"/>
              <w:left w:type="dxa" w:w="100"/>
              <w:bottom w:type="dxa" w:w="60"/>
              <w:right w:type="dxa" w:w="100"/>
            </w:tcMar>
          </w:tcPr>
          <w:p>
            <w:pPr>
              <w:spacing w:after="40" w:before="40" w:line="240"/>
              <w:jc w:val="right"/>
            </w:pPr>
            <w:r>
              <w:rPr>
                <w:b w:val="false"/>
                <w:bCs w:val="false"/>
                <w:color w:val="1A1A1A"/>
                <w:sz w:val="19"/>
                <w:szCs w:val="19"/>
              </w:rPr>
              <w:t xml:space="preserve">20%</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Partial</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39</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47%</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Not Evidenced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Addressed</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c>
          <w:tcPr>
            <w:tcW w:type="dxa" w:w="18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bCs/>
                <w:color w:val="1A1A1A"/>
                <w:sz w:val="19"/>
                <w:szCs w:val="19"/>
              </w:rPr>
              <w:t xml:space="preserve">Total</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83</w:t>
            </w:r>
          </w:p>
        </w:tc>
        <w:tc>
          <w:tcPr>
            <w:tcW w:type="dxa" w:w="1800"/>
            <w:tcMar>
              <w:top w:type="dxa" w:w="60"/>
              <w:left w:type="dxa" w:w="100"/>
              <w:bottom w:type="dxa" w:w="60"/>
              <w:right w:type="dxa" w:w="100"/>
            </w:tcMar>
          </w:tcPr>
          <w:p>
            <w:pPr>
              <w:spacing w:after="40" w:before="40" w:line="240"/>
              <w:jc w:val="right"/>
            </w:pPr>
            <w:r>
              <w:rPr>
                <w:b/>
                <w:bCs/>
                <w:color w:val="1A1A1A"/>
                <w:sz w:val="19"/>
                <w:szCs w:val="19"/>
              </w:rPr>
              <w:t xml:space="preserve">100%</w:t>
            </w:r>
          </w:p>
        </w:tc>
      </w:tr>
    </w:tbl>
    <w:p>
      <w:pPr>
        <w:spacing w:after="240"/>
      </w:pPr>
    </w:p>
    <w:p>
      <w:pPr>
        <w:pStyle w:val="Heading2"/>
      </w:pPr>
      <w:r>
        <w:t xml:space="preserve">By priority</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6480"/>
        <w:gridCol w:w="3600"/>
      </w:tblGrid>
      <w:tr>
        <w:trPr>
          <w:tblHeader/>
        </w:trPr>
        <w:tc>
          <w:tcPr>
            <w:tcW w:type="dxa" w:w="6480"/>
            <w:shd w:fill="E8E8E8" w:color="auto" w:val="clear"/>
            <w:tcMar>
              <w:top w:type="dxa" w:w="60"/>
              <w:left w:type="dxa" w:w="100"/>
              <w:bottom w:type="dxa" w:w="60"/>
              <w:right w:type="dxa" w:w="100"/>
            </w:tcMar>
          </w:tcPr>
          <w:p>
            <w:pPr>
              <w:spacing w:after="40" w:before="40" w:line="240"/>
            </w:pPr>
            <w:r>
              <w:rPr>
                <w:b/>
                <w:bCs/>
                <w:color w:val="1A1A1A"/>
                <w:sz w:val="19"/>
                <w:szCs w:val="19"/>
              </w:rPr>
              <w:t xml:space="preserve">Priority</w:t>
            </w:r>
          </w:p>
        </w:tc>
        <w:tc>
          <w:tcPr>
            <w:tcW w:type="dxa" w:w="36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Count</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Critical</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19</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High</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33</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Medium</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17</w:t>
            </w:r>
          </w:p>
        </w:tc>
      </w:tr>
      <w:tr>
        <w:tc>
          <w:tcPr>
            <w:tcW w:type="dxa" w:w="6480"/>
            <w:tcMar>
              <w:top w:type="dxa" w:w="60"/>
              <w:left w:type="dxa" w:w="100"/>
              <w:bottom w:type="dxa" w:w="60"/>
              <w:right w:type="dxa" w:w="100"/>
            </w:tcMar>
          </w:tcPr>
          <w:p>
            <w:pPr>
              <w:spacing w:after="40" w:before="40" w:line="240"/>
            </w:pPr>
            <w:r>
              <w:rPr>
                <w:b w:val="false"/>
                <w:bCs w:val="false"/>
                <w:color w:val="1A1A1A"/>
                <w:sz w:val="19"/>
                <w:szCs w:val="19"/>
              </w:rPr>
              <w:t xml:space="preserve">Low</w:t>
            </w:r>
          </w:p>
        </w:tc>
        <w:tc>
          <w:tcPr>
            <w:tcW w:type="dxa" w:w="3600"/>
            <w:tcMar>
              <w:top w:type="dxa" w:w="60"/>
              <w:left w:type="dxa" w:w="100"/>
              <w:bottom w:type="dxa" w:w="60"/>
              <w:right w:type="dxa" w:w="100"/>
            </w:tcMar>
          </w:tcPr>
          <w:p>
            <w:pPr>
              <w:spacing w:after="40" w:before="40" w:line="240"/>
              <w:jc w:val="right"/>
            </w:pPr>
            <w:r>
              <w:rPr>
                <w:b w:val="false"/>
                <w:bCs w:val="false"/>
                <w:color w:val="1A1A1A"/>
                <w:sz w:val="19"/>
                <w:szCs w:val="19"/>
              </w:rPr>
              <w:t xml:space="preserve">14</w:t>
            </w:r>
          </w:p>
        </w:tc>
      </w:tr>
    </w:tbl>
    <w:p>
      <w:pPr>
        <w:spacing w:after="240"/>
      </w:pPr>
    </w:p>
    <w:p>
      <w:pPr>
        <w:pStyle w:val="Heading2"/>
      </w:pPr>
      <w:r>
        <w:t xml:space="preserve">By area</w:t>
      </w:r>
    </w:p>
    <w:p>
      <w:pPr>
        <w:spacing w:after="120" w:line="276"/>
      </w:pPr>
      <w:r>
        <w:rPr>
          <w:color w:val="1A1A1A"/>
        </w:rPr>
        <w:t xml:space="preserve">Read the Conflict and Not Addressed columns first. Those are the two classes that cannot be argued away as a documentation gap.</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3000"/>
        <w:gridCol w:w="900"/>
        <w:gridCol w:w="1236"/>
        <w:gridCol w:w="1236"/>
        <w:gridCol w:w="1236"/>
        <w:gridCol w:w="1236"/>
        <w:gridCol w:w="1236"/>
      </w:tblGrid>
      <w:tr>
        <w:trPr>
          <w:tblHeader/>
        </w:trPr>
        <w:tc>
          <w:tcPr>
            <w:tcW w:type="dxa" w:w="3000"/>
            <w:shd w:fill="E8E8E8" w:color="auto" w:val="clear"/>
            <w:tcMar>
              <w:top w:type="dxa" w:w="60"/>
              <w:left w:type="dxa" w:w="100"/>
              <w:bottom w:type="dxa" w:w="60"/>
              <w:right w:type="dxa" w:w="100"/>
            </w:tcMar>
          </w:tcPr>
          <w:p>
            <w:pPr>
              <w:spacing w:after="40" w:before="40" w:line="240"/>
            </w:pPr>
            <w:r>
              <w:rPr>
                <w:b/>
                <w:bCs/>
                <w:color w:val="1A1A1A"/>
                <w:sz w:val="19"/>
                <w:szCs w:val="19"/>
              </w:rPr>
              <w:t xml:space="preserve">Area</w:t>
            </w:r>
          </w:p>
        </w:tc>
        <w:tc>
          <w:tcPr>
            <w:tcW w:type="dxa" w:w="900"/>
            <w:shd w:fill="E8E8E8" w:color="auto" w:val="clear"/>
            <w:tcMar>
              <w:top w:type="dxa" w:w="60"/>
              <w:left w:type="dxa" w:w="100"/>
              <w:bottom w:type="dxa" w:w="60"/>
              <w:right w:type="dxa" w:w="100"/>
            </w:tcMar>
          </w:tcPr>
          <w:p>
            <w:pPr>
              <w:spacing w:after="40" w:before="40" w:line="240"/>
              <w:jc w:val="right"/>
            </w:pPr>
            <w:r>
              <w:rPr>
                <w:b/>
                <w:bCs/>
                <w:color w:val="1A1A1A"/>
                <w:sz w:val="19"/>
                <w:szCs w:val="19"/>
              </w:rPr>
              <w:t xml:space="preserve">All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Conflict</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Addressed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Partial</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Not Evidenced</w:t>
            </w:r>
          </w:p>
        </w:tc>
        <w:tc>
          <w:tcPr>
            <w:tcW w:type="dxa" w:w="1236"/>
            <w:shd w:fill="E8E8E8" w:color="auto" w:val="clear"/>
            <w:tcMar>
              <w:top w:type="dxa" w:w="60"/>
              <w:left w:type="dxa" w:w="100"/>
              <w:bottom w:type="dxa" w:w="60"/>
              <w:right w:type="dxa" w:w="100"/>
            </w:tcMar>
          </w:tcPr>
          <w:p>
            <w:pPr>
              <w:spacing w:after="40" w:before="40" w:line="240"/>
              <w:jc w:val="right"/>
            </w:pPr>
            <w:r>
              <w:rPr>
                <w:b/>
                <w:bCs/>
                <w:color w:val="1A1A1A"/>
                <w:sz w:val="16"/>
                <w:szCs w:val="16"/>
              </w:rPr>
              <w:t xml:space="preserve">Addressed</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Prevention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Responsive Planning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Training and Education</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Screening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8</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Reporting</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10</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Official Response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11</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2</w:t>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7</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Investigations</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5</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Discipline</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3</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Medical and Mental Health</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Data Collection and Review</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4</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Audit</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shd w:fill="FCF0DC" w:color="auto" w:val="clear"/>
            <w:tcMar>
              <w:top w:type="dxa" w:w="60"/>
              <w:left w:type="dxa" w:w="100"/>
              <w:bottom w:type="dxa" w:w="60"/>
              <w:right w:type="dxa" w:w="100"/>
            </w:tcMar>
          </w:tcPr>
          <w:p>
            <w:pPr>
              <w:spacing w:after="40" w:before="40" w:line="240"/>
              <w:jc w:val="right"/>
            </w:pPr>
            <w:r>
              <w:rPr>
                <w:b/>
                <w:bCs/>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r>
      <w:tr>
        <w:tc>
          <w:tcPr>
            <w:tcW w:type="dxa" w:w="3000"/>
            <w:tcMar>
              <w:top w:type="dxa" w:w="60"/>
              <w:left w:type="dxa" w:w="100"/>
              <w:bottom w:type="dxa" w:w="60"/>
              <w:right w:type="dxa" w:w="100"/>
            </w:tcMar>
          </w:tcPr>
          <w:p>
            <w:pPr>
              <w:spacing w:after="40" w:before="40" w:line="240"/>
            </w:pPr>
            <w:r>
              <w:rPr>
                <w:b w:val="false"/>
                <w:bCs w:val="false"/>
                <w:color w:val="1A1A1A"/>
                <w:sz w:val="19"/>
                <w:szCs w:val="19"/>
              </w:rPr>
              <w:t xml:space="preserve">California-Specific</w:t>
            </w:r>
          </w:p>
        </w:tc>
        <w:tc>
          <w:tcPr>
            <w:tcW w:type="dxa" w:w="900"/>
            <w:tcMar>
              <w:top w:type="dxa" w:w="60"/>
              <w:left w:type="dxa" w:w="100"/>
              <w:bottom w:type="dxa" w:w="60"/>
              <w:right w:type="dxa" w:w="100"/>
            </w:tcMar>
          </w:tcPr>
          <w:p>
            <w:pPr>
              <w:spacing w:after="40" w:before="40" w:line="240"/>
              <w:jc w:val="right"/>
            </w:pPr>
            <w:r>
              <w:rPr>
                <w:b w:val="false"/>
                <w:bCs w:val="false"/>
                <w:color w:val="1A1A1A"/>
                <w:sz w:val="19"/>
                <w:szCs w:val="19"/>
              </w:rPr>
              <w:t xml:space="preserve">6</w:t>
            </w:r>
          </w:p>
        </w:tc>
        <w:tc>
          <w:tcPr>
            <w:tcW w:type="dxa" w:w="1236"/>
            <w:shd w:fill="F2DEDE" w:color="auto" w:val="clear"/>
            <w:tcMar>
              <w:top w:type="dxa" w:w="60"/>
              <w:left w:type="dxa" w:w="100"/>
              <w:bottom w:type="dxa" w:w="60"/>
              <w:right w:type="dxa" w:w="100"/>
            </w:tcMar>
          </w:tcPr>
          <w:p>
            <w:pPr>
              <w:spacing w:after="40" w:before="40" w:line="240"/>
              <w:jc w:val="right"/>
            </w:pPr>
            <w:r>
              <w:rPr>
                <w:b/>
                <w:bCs/>
                <w:color w:val="1A1A1A"/>
                <w:sz w:val="19"/>
                <w:szCs w:val="19"/>
              </w:rPr>
              <w:t xml:space="preserve">3</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1</w:t>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
            </w:r>
          </w:p>
        </w:tc>
        <w:tc>
          <w:tcPr>
            <w:tcW w:type="dxa" w:w="1236"/>
            <w:tcMar>
              <w:top w:type="dxa" w:w="60"/>
              <w:left w:type="dxa" w:w="100"/>
              <w:bottom w:type="dxa" w:w="60"/>
              <w:right w:type="dxa" w:w="100"/>
            </w:tcMar>
          </w:tcPr>
          <w:p>
            <w:pPr>
              <w:spacing w:after="40" w:before="40" w:line="240"/>
              <w:jc w:val="right"/>
            </w:pPr>
            <w:r>
              <w:rPr>
                <w:b w:val="false"/>
                <w:bCs w:val="false"/>
                <w:color w:val="1A1A1A"/>
                <w:sz w:val="19"/>
                <w:szCs w:val="19"/>
              </w:rPr>
              <w:t xml:space="preserve">2</w:t>
            </w:r>
          </w:p>
        </w:tc>
      </w:tr>
    </w:tbl>
    <w:p>
      <w:r>
        <w:br w:type="page"/>
      </w:r>
    </w:p>
    <w:p>
      <w:pPr>
        <w:pStyle w:val="Heading1"/>
      </w:pPr>
      <w:r>
        <w:t xml:space="preserve">3. Class A divergence: policy states the wrong rule</w:t>
      </w:r>
    </w:p>
    <w:p>
      <w:pPr>
        <w:spacing w:after="120" w:line="276"/>
      </w:pPr>
      <w:r>
        <w:rPr>
          <w:color w:val="1A1A1A"/>
        </w:rPr>
        <w:t xml:space="preserve">Twelve requirements where a departmental document affirmatively states a rule that contradicts federal or California law, or contradicts another departmental document. These come first because they are the only class where compliant staff behavior produces non-compliance. Each entry names the register row it traces to.</w:t>
      </w:r>
    </w:p>
    <w:p>
      <w:pPr>
        <w:pStyle w:val="Heading2"/>
        <w:keepNext/>
      </w:pPr>
      <w:r>
        <w:t xml:space="preserve">Conflict 1. Categorical LGBTQI housing (classification S-8)</w:t>
      </w:r>
    </w:p>
    <w:p>
      <w:pPr>
        <w:keepNext/>
        <w:spacing w:after="120"/>
      </w:pPr>
      <w:r>
        <w:rPr>
          <w:i/>
          <w:iCs/>
          <w:color w:val="5A5A5A"/>
          <w:sz w:val="19"/>
          <w:szCs w:val="19"/>
        </w:rPr>
        <w:t xml:space="preserve">Register row 36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115.342(c); 15 CCR 1352(e). LGBTI residents shall not be placed in particular housing, bed, or other assignments solely on the basis of that identification or status.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 II.M creates classification S-8 for any LGBTQI youth, and III.I requires single-room housing at all times for S-8.</w:t>
            </w:r>
          </w:p>
        </w:tc>
      </w:tr>
    </w:tbl>
    <w:p>
      <w:pPr>
        <w:spacing w:after="80"/>
      </w:pPr>
    </w:p>
    <w:p>
      <w:pPr>
        <w:spacing w:after="120" w:line="276"/>
      </w:pPr>
      <w:r>
        <w:rPr>
          <w:b/>
          <w:bCs/>
          <w:color w:val="1A1A1A"/>
        </w:rPr>
        <w:t xml:space="preserve">Why it matters. </w:t>
      </w:r>
      <w:r>
        <w:rPr>
          <w:color w:val="1A1A1A"/>
        </w:rPr>
        <w:t xml:space="preserve">Also contradicts OO 1352's own Purpose and Scope paragraph, PREA Policy III.E, and OO 1352.5 III.H. The chronology is damaging: OO 1352.5 stated the correct rule effective 03/2019, and S-8 was created 12/2019 and revised 02/2020.</w:t>
      </w:r>
    </w:p>
    <w:p>
      <w:pPr>
        <w:spacing w:after="300" w:line="276"/>
      </w:pPr>
      <w:r>
        <w:rPr>
          <w:b/>
          <w:bCs/>
          <w:color w:val="1A1A1A"/>
        </w:rPr>
        <w:t xml:space="preserve">Remediation. </w:t>
      </w:r>
      <w:r>
        <w:rPr>
          <w:color w:val="1A1A1A"/>
        </w:rPr>
        <w:t xml:space="preserve">Recommended change 1: rescind the S-8 single-room mandate.</w:t>
      </w:r>
    </w:p>
    <w:p>
      <w:pPr>
        <w:pStyle w:val="Heading2"/>
        <w:keepNext/>
      </w:pPr>
      <w:r>
        <w:t xml:space="preserve">Conflict 2. Categorical single-room housing for transgender and intersex youth</w:t>
      </w:r>
    </w:p>
    <w:p>
      <w:pPr>
        <w:keepNext/>
        <w:spacing w:after="120"/>
      </w:pPr>
      <w:r>
        <w:rPr>
          <w:i/>
          <w:iCs/>
          <w:color w:val="5A5A5A"/>
          <w:sz w:val="19"/>
          <w:szCs w:val="19"/>
        </w:rPr>
        <w:t xml:space="preserve">Register row 37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115.342(d) to (g); 15 CCR 1352.5(a) to (e). Housing and program assignments are decided case by case.</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1352.5 III.I gives all transgender and intersex youth a single room.</w:t>
            </w:r>
          </w:p>
        </w:tc>
      </w:tr>
    </w:tbl>
    <w:p>
      <w:pPr>
        <w:spacing w:after="80"/>
      </w:pPr>
    </w:p>
    <w:p>
      <w:pPr>
        <w:spacing w:after="120" w:line="276"/>
      </w:pPr>
      <w:r>
        <w:rPr>
          <w:b/>
          <w:bCs/>
          <w:color w:val="1A1A1A"/>
        </w:rPr>
        <w:t xml:space="preserve">Why it matters. </w:t>
      </w:r>
      <w:r>
        <w:rPr>
          <w:color w:val="1A1A1A"/>
        </w:rPr>
        <w:t xml:space="preserve">The same categorical defect as conflict 1 but more defensible: there is a privacy rationale and program access is preserved at III.K. It still contradicts III.B, III.F, and III.H of the same order.</w:t>
      </w:r>
    </w:p>
    <w:p>
      <w:pPr>
        <w:spacing w:after="300" w:line="276"/>
      </w:pPr>
      <w:r>
        <w:rPr>
          <w:b/>
          <w:bCs/>
          <w:color w:val="1A1A1A"/>
        </w:rPr>
        <w:t xml:space="preserve">Remediation. </w:t>
      </w:r>
      <w:r>
        <w:rPr>
          <w:color w:val="1A1A1A"/>
        </w:rPr>
        <w:t xml:space="preserve">Recommended change 2: convert to a presumptive, documented, individualized outcome.</w:t>
      </w:r>
    </w:p>
    <w:p>
      <w:pPr>
        <w:pStyle w:val="Heading2"/>
        <w:keepNext/>
      </w:pPr>
      <w:r>
        <w:t xml:space="preserve">Conflict 3. Child abuse reporting timeline</w:t>
      </w:r>
    </w:p>
    <w:p>
      <w:pPr>
        <w:keepNext/>
        <w:spacing w:after="120"/>
      </w:pPr>
      <w:r>
        <w:rPr>
          <w:i/>
          <w:iCs/>
          <w:color w:val="5A5A5A"/>
          <w:sz w:val="19"/>
          <w:szCs w:val="19"/>
        </w:rPr>
        <w:t xml:space="preserve">Register row 48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11166(a). Telephone report immediately or as soon as practicably possible, written report within 36 hours on DOJ form SS 8572.</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V.A.4 and OO 1453 I.A.9 both state that sexual assault is reported to Child Protective Services verbally within 24 hours.</w:t>
            </w:r>
          </w:p>
        </w:tc>
      </w:tr>
    </w:tbl>
    <w:p>
      <w:pPr>
        <w:spacing w:after="80"/>
      </w:pPr>
    </w:p>
    <w:p>
      <w:pPr>
        <w:spacing w:after="120" w:line="276"/>
      </w:pPr>
      <w:r>
        <w:rPr>
          <w:b/>
          <w:bCs/>
          <w:color w:val="1A1A1A"/>
        </w:rPr>
        <w:t xml:space="preserve">Why it matters. </w:t>
      </w:r>
      <w:r>
        <w:rPr>
          <w:color w:val="1A1A1A"/>
        </w:rPr>
        <w:t xml:space="preserve">The error appears in two documents, and OO 1453 restated it on a 12/2019 revision. Code of Conduct VII.A.1 states the rule correctly, so the department is not uniform against itself.</w:t>
      </w:r>
    </w:p>
    <w:p>
      <w:pPr>
        <w:spacing w:after="300" w:line="276"/>
      </w:pPr>
      <w:r>
        <w:rPr>
          <w:b/>
          <w:bCs/>
          <w:color w:val="1A1A1A"/>
        </w:rPr>
        <w:t xml:space="preserve">Remediation. </w:t>
      </w:r>
      <w:r>
        <w:rPr>
          <w:color w:val="1A1A1A"/>
        </w:rPr>
        <w:t xml:space="preserve">Recommended change 3: correct the standard and relocate it to a new department-wide General Order.</w:t>
      </w:r>
    </w:p>
    <w:p>
      <w:pPr>
        <w:pStyle w:val="Heading2"/>
        <w:keepNext/>
      </w:pPr>
      <w:r>
        <w:t xml:space="preserve">Conflict 4. Cross-facility notification window</w:t>
      </w:r>
    </w:p>
    <w:p>
      <w:pPr>
        <w:keepNext/>
        <w:spacing w:after="120"/>
      </w:pPr>
      <w:r>
        <w:rPr>
          <w:i/>
          <w:iCs/>
          <w:color w:val="5A5A5A"/>
          <w:sz w:val="19"/>
          <w:szCs w:val="19"/>
        </w:rPr>
        <w:t xml:space="preserve">Register row 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115.363(b). Notify the head of the facility where the abuse allegedly occurred within 72 hours.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V.A.7 allows 14 days.</w:t>
            </w:r>
          </w:p>
        </w:tc>
      </w:tr>
    </w:tbl>
    <w:p>
      <w:pPr>
        <w:spacing w:after="80"/>
      </w:pPr>
    </w:p>
    <w:p>
      <w:pPr>
        <w:spacing w:after="120" w:line="276"/>
      </w:pPr>
      <w:r>
        <w:rPr>
          <w:b/>
          <w:bCs/>
          <w:color w:val="1A1A1A"/>
        </w:rPr>
        <w:t xml:space="preserve">Why it matters. </w:t>
      </w:r>
      <w:r>
        <w:rPr>
          <w:color w:val="1A1A1A"/>
        </w:rPr>
        <w:t xml:space="preserve">A straight timeline error. The 14-day figure appears to have been carried over from the attorney notification timeline in 115.361(e)(3).</w:t>
      </w:r>
    </w:p>
    <w:p>
      <w:pPr>
        <w:spacing w:after="300" w:line="276"/>
      </w:pPr>
      <w:r>
        <w:rPr>
          <w:b/>
          <w:bCs/>
          <w:color w:val="1A1A1A"/>
        </w:rPr>
        <w:t xml:space="preserve">Remediation. </w:t>
      </w:r>
      <w:r>
        <w:rPr>
          <w:color w:val="1A1A1A"/>
        </w:rPr>
        <w:t xml:space="preserve">Recommended change 4: correct 14 days to 72 hours.</w:t>
      </w:r>
    </w:p>
    <w:p>
      <w:pPr>
        <w:pStyle w:val="Heading2"/>
        <w:keepNext/>
      </w:pPr>
      <w:r>
        <w:t xml:space="preserve">Conflict 5. Discipline for allegations found false</w:t>
      </w:r>
    </w:p>
    <w:p>
      <w:pPr>
        <w:keepNext/>
        <w:spacing w:after="120"/>
      </w:pPr>
      <w:r>
        <w:rPr>
          <w:i/>
          <w:iCs/>
          <w:color w:val="5A5A5A"/>
          <w:sz w:val="19"/>
          <w:szCs w:val="19"/>
        </w:rPr>
        <w:t xml:space="preserve">Register row 64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115.378(f) protects a good-faith report based on a reasonable belief even where the investigation does not substantiate it. 115.352(g) permits discipline only on a showing of bad faith.</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XIV.A permits discipline where an investigation determines the allegations were false.</w:t>
            </w:r>
          </w:p>
        </w:tc>
      </w:tr>
    </w:tbl>
    <w:p>
      <w:pPr>
        <w:spacing w:after="80"/>
      </w:pPr>
    </w:p>
    <w:p>
      <w:pPr>
        <w:spacing w:after="120" w:line="276"/>
      </w:pPr>
      <w:r>
        <w:rPr>
          <w:b/>
          <w:bCs/>
          <w:color w:val="1A1A1A"/>
        </w:rPr>
        <w:t xml:space="preserve">Why it matters. </w:t>
      </w:r>
      <w:r>
        <w:rPr>
          <w:color w:val="1A1A1A"/>
        </w:rPr>
        <w:t xml:space="preserve">A false-allegations rule stated at this breadth suppresses reporting, which is the behavior the standard is written to protect.</w:t>
      </w:r>
    </w:p>
    <w:p>
      <w:pPr>
        <w:spacing w:after="300" w:line="276"/>
      </w:pPr>
      <w:r>
        <w:rPr>
          <w:b/>
          <w:bCs/>
          <w:color w:val="1A1A1A"/>
        </w:rPr>
        <w:t xml:space="preserve">Remediation. </w:t>
      </w:r>
      <w:r>
        <w:rPr>
          <w:color w:val="1A1A1A"/>
        </w:rPr>
        <w:t xml:space="preserve">Recommended change 5: rewrite to a bad-faith standard.</w:t>
      </w:r>
    </w:p>
    <w:p>
      <w:pPr>
        <w:pStyle w:val="Heading2"/>
        <w:keepNext/>
      </w:pPr>
      <w:r>
        <w:t xml:space="preserve">Conflict 6. Victimization treated as an indicator of abusiveness</w:t>
      </w:r>
    </w:p>
    <w:p>
      <w:pPr>
        <w:keepNext/>
        <w:spacing w:after="120"/>
      </w:pPr>
      <w:r>
        <w:rPr>
          <w:i/>
          <w:iCs/>
          <w:color w:val="5A5A5A"/>
          <w:sz w:val="19"/>
          <w:szCs w:val="19"/>
        </w:rPr>
        <w:t xml:space="preserve">Register row 80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115.341(c). Prior victimization and prior abusiveness are screened as distinct risk factors.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note at OO 1352 II.F.2 states that a history of being a victim of molest, arson, or cruelty to animals should alert the Classification Officer to possible sexually inappropriate tendencies.</w:t>
            </w:r>
          </w:p>
        </w:tc>
      </w:tr>
    </w:tbl>
    <w:p>
      <w:pPr>
        <w:spacing w:after="80"/>
      </w:pPr>
    </w:p>
    <w:p>
      <w:pPr>
        <w:spacing w:after="120" w:line="276"/>
      </w:pPr>
      <w:r>
        <w:rPr>
          <w:b/>
          <w:bCs/>
          <w:color w:val="1A1A1A"/>
        </w:rPr>
        <w:t xml:space="preserve">Why it matters. </w:t>
      </w:r>
      <w:r>
        <w:rPr>
          <w:color w:val="1A1A1A"/>
        </w:rPr>
        <w:t xml:space="preserve">This instructs staff to treat a youth's own sexual victimization as a predictor of sexual abusiveness, which is the inference 115.341(c) separates.</w:t>
      </w:r>
    </w:p>
    <w:p>
      <w:pPr>
        <w:spacing w:after="300" w:line="276"/>
      </w:pPr>
      <w:r>
        <w:rPr>
          <w:b/>
          <w:bCs/>
          <w:color w:val="1A1A1A"/>
        </w:rPr>
        <w:t xml:space="preserve">Remediation. </w:t>
      </w:r>
      <w:r>
        <w:rPr>
          <w:color w:val="1A1A1A"/>
        </w:rPr>
        <w:t xml:space="preserve">Recommended change 6: delete the inference, split the code, and add PC 287 to the S-4 High criteria.</w:t>
      </w:r>
    </w:p>
    <w:p>
      <w:pPr>
        <w:pStyle w:val="Heading2"/>
        <w:keepNext/>
      </w:pPr>
      <w:r>
        <w:t xml:space="preserve">Conflict 7. Records retention</w:t>
      </w:r>
    </w:p>
    <w:p>
      <w:pPr>
        <w:keepNext/>
        <w:spacing w:after="120"/>
      </w:pPr>
      <w:r>
        <w:rPr>
          <w:i/>
          <w:iCs/>
          <w:color w:val="5A5A5A"/>
          <w:sz w:val="19"/>
          <w:szCs w:val="19"/>
        </w:rPr>
        <w:t xml:space="preserve">Register row 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115.371(j). Retain investigation reports for as long as the alleged abuser is employed or incarcerated, plus five years.</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Internal Affairs XI.C.1 sets five years. PREA Policy XVIII.B sets ten years.</w:t>
            </w:r>
          </w:p>
        </w:tc>
      </w:tr>
    </w:tbl>
    <w:p>
      <w:pPr>
        <w:spacing w:after="80"/>
      </w:pPr>
    </w:p>
    <w:p>
      <w:pPr>
        <w:spacing w:after="120" w:line="276"/>
      </w:pPr>
      <w:r>
        <w:rPr>
          <w:b/>
          <w:bCs/>
          <w:color w:val="1A1A1A"/>
        </w:rPr>
        <w:t xml:space="preserve">Why it matters. </w:t>
      </w:r>
      <w:r>
        <w:rPr>
          <w:color w:val="1A1A1A"/>
        </w:rPr>
        <w:t xml:space="preserve">Three different rules govern the same records. AB 452 eliminated the limitations period for childhood sexual assault occurring on or after 01/01/2024, so the shortest of the three is the one that will be tested.</w:t>
      </w:r>
    </w:p>
    <w:p>
      <w:pPr>
        <w:spacing w:after="300" w:line="276"/>
      </w:pPr>
      <w:r>
        <w:rPr>
          <w:b/>
          <w:bCs/>
          <w:color w:val="1A1A1A"/>
        </w:rPr>
        <w:t xml:space="preserve">Remediation. </w:t>
      </w:r>
      <w:r>
        <w:rPr>
          <w:color w:val="1A1A1A"/>
        </w:rPr>
        <w:t xml:space="preserve">Recommended change 7: adopt a single reconciled retention schedule.</w:t>
      </w:r>
    </w:p>
    <w:p>
      <w:pPr>
        <w:pStyle w:val="Heading2"/>
        <w:keepNext/>
      </w:pPr>
      <w:r>
        <w:t xml:space="preserve">Conflict 8. Staffing ratios</w:t>
      </w:r>
    </w:p>
    <w:p>
      <w:pPr>
        <w:keepNext/>
        <w:spacing w:after="120"/>
      </w:pPr>
      <w:r>
        <w:rPr>
          <w:i/>
          <w:iCs/>
          <w:color w:val="5A5A5A"/>
          <w:sz w:val="19"/>
          <w:szCs w:val="19"/>
        </w:rPr>
        <w:t xml:space="preserve">Register row 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115.313(c). At least 1:8 during waking hours and 1:16 during sleeping hours, security staff only, required since 10/01/2017.</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1321 I.B.1 to 2 sets 1:10 waking and 1:30 sleeping.</w:t>
            </w:r>
          </w:p>
        </w:tc>
      </w:tr>
    </w:tbl>
    <w:p>
      <w:pPr>
        <w:spacing w:after="80"/>
      </w:pPr>
    </w:p>
    <w:p>
      <w:pPr>
        <w:spacing w:after="120" w:line="276"/>
      </w:pPr>
      <w:r>
        <w:rPr>
          <w:b/>
          <w:bCs/>
          <w:color w:val="1A1A1A"/>
        </w:rPr>
        <w:t xml:space="preserve">Why it matters. </w:t>
      </w:r>
      <w:r>
        <w:rPr>
          <w:color w:val="1A1A1A"/>
        </w:rPr>
        <w:t xml:space="preserve">The county standard mirrors the Title 15 floor. 15 CCR 1301 expressly permits exceeding it. Verify rosters and post assignments before assuming the practice matches the written ratio in either direction.</w:t>
      </w:r>
    </w:p>
    <w:p>
      <w:pPr>
        <w:spacing w:after="300" w:line="276"/>
      </w:pPr>
      <w:r>
        <w:rPr>
          <w:b/>
          <w:bCs/>
          <w:color w:val="1A1A1A"/>
        </w:rPr>
        <w:t xml:space="preserve">Remediation. </w:t>
      </w:r>
      <w:r>
        <w:rPr>
          <w:color w:val="1A1A1A"/>
        </w:rPr>
        <w:t xml:space="preserve">Recommended change 9: verify against rosters and build the 115.313(a) staffing plan.</w:t>
      </w:r>
    </w:p>
    <w:p>
      <w:pPr>
        <w:pStyle w:val="Heading2"/>
        <w:keepNext/>
      </w:pPr>
      <w:r>
        <w:t xml:space="preserve">Conflict 9. Duty assigned to a position that does not exist</w:t>
      </w:r>
    </w:p>
    <w:p>
      <w:pPr>
        <w:keepNext/>
        <w:spacing w:after="120"/>
      </w:pPr>
      <w:r>
        <w:rPr>
          <w:i/>
          <w:iCs/>
          <w:color w:val="5A5A5A"/>
          <w:sz w:val="19"/>
          <w:szCs w:val="19"/>
        </w:rPr>
        <w:t xml:space="preserve">Register row 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28 CFR 115.311(b). Designate an upper-level, agency-wide PREA Coordinator.</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OO 1453 I.A.15 directs the sexual abuse incident review report to the PREA Coordinator, a position the department does not have.</w:t>
            </w:r>
          </w:p>
        </w:tc>
      </w:tr>
    </w:tbl>
    <w:p>
      <w:pPr>
        <w:spacing w:after="80"/>
      </w:pPr>
    </w:p>
    <w:p>
      <w:pPr>
        <w:spacing w:after="120" w:line="276"/>
      </w:pPr>
      <w:r>
        <w:rPr>
          <w:b/>
          <w:bCs/>
          <w:color w:val="1A1A1A"/>
        </w:rPr>
        <w:t xml:space="preserve">Why it matters. </w:t>
      </w:r>
      <w:r>
        <w:rPr>
          <w:color w:val="1A1A1A"/>
        </w:rPr>
        <w:t xml:space="preserve">Two consequences. The required report has nowhere to go, so the review terminates in a dead letter. And this is written departmental acknowledgment, dated 2019, that the role is needed.</w:t>
      </w:r>
    </w:p>
    <w:p>
      <w:pPr>
        <w:spacing w:after="300" w:line="276"/>
      </w:pPr>
      <w:r>
        <w:rPr>
          <w:b/>
          <w:bCs/>
          <w:color w:val="1A1A1A"/>
        </w:rPr>
        <w:t xml:space="preserve">Remediation. </w:t>
      </w:r>
      <w:r>
        <w:rPr>
          <w:color w:val="1A1A1A"/>
        </w:rPr>
        <w:t xml:space="preserve">Recommended change 8: designate a PREA Coordinator and a facility Compliance Manager.</w:t>
      </w:r>
    </w:p>
    <w:p>
      <w:pPr>
        <w:pStyle w:val="Heading2"/>
        <w:keepNext/>
      </w:pPr>
      <w:r>
        <w:t xml:space="preserve">Conflict 10. Policy age and biennial review</w:t>
      </w:r>
    </w:p>
    <w:p>
      <w:pPr>
        <w:keepNext/>
        <w:spacing w:after="120"/>
      </w:pPr>
      <w:r>
        <w:rPr>
          <w:i/>
          <w:iCs/>
          <w:color w:val="5A5A5A"/>
          <w:sz w:val="19"/>
          <w:szCs w:val="19"/>
        </w:rPr>
        <w:t xml:space="preserve">Register row 74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1324. The policy and procedure manual is administratively reviewed at least every two years and updated as necessary.</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The PREA Policy was last revised 04/25/2013. The Internal Affairs policy is effective 01/11/2011 with no revision shown.</w:t>
            </w:r>
          </w:p>
        </w:tc>
      </w:tr>
    </w:tbl>
    <w:p>
      <w:pPr>
        <w:spacing w:after="80"/>
      </w:pPr>
    </w:p>
    <w:p>
      <w:pPr>
        <w:spacing w:after="120" w:line="276"/>
      </w:pPr>
      <w:r>
        <w:rPr>
          <w:b/>
          <w:bCs/>
          <w:color w:val="1A1A1A"/>
        </w:rPr>
        <w:t xml:space="preserve">Why it matters. </w:t>
      </w:r>
      <w:r>
        <w:rPr>
          <w:color w:val="1A1A1A"/>
        </w:rPr>
        <w:t xml:space="preserve">The PREA Policy predates the 01/01/2019 Title 15 rewrite that added 1350.5, 1352.5, 1324(n), and 1361(h), and predates the renumbering of PC 288a to PC 287.</w:t>
      </w:r>
    </w:p>
    <w:p>
      <w:pPr>
        <w:spacing w:after="300" w:line="276"/>
      </w:pPr>
      <w:r>
        <w:rPr>
          <w:b/>
          <w:bCs/>
          <w:color w:val="1A1A1A"/>
        </w:rPr>
        <w:t xml:space="preserve">Remediation. </w:t>
      </w:r>
      <w:r>
        <w:rPr>
          <w:color w:val="1A1A1A"/>
        </w:rPr>
        <w:t xml:space="preserve">Recommended change 3 in part, and the full rewrite at likely next task 3.</w:t>
      </w:r>
    </w:p>
    <w:p>
      <w:pPr>
        <w:pStyle w:val="Heading2"/>
        <w:keepNext/>
      </w:pPr>
      <w:r>
        <w:t xml:space="preserve">Conflict 11. Obsolete statutory citations</w:t>
      </w:r>
    </w:p>
    <w:p>
      <w:pPr>
        <w:keepNext/>
        <w:spacing w:after="120"/>
      </w:pPr>
      <w:r>
        <w:rPr>
          <w:i/>
          <w:iCs/>
          <w:color w:val="5A5A5A"/>
          <w:sz w:val="19"/>
          <w:szCs w:val="19"/>
        </w:rPr>
        <w:t xml:space="preserve">Register row 78</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PC 287. SB 1494 renumbered PC 288a to PC 287 effective 01/01/2019.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PREA Policy I.I.1 still cites PC 288a. OO 1352 II.G.1 omits 287 from the S-4 High criteria entirely, so a 287 adjudication does not meet the enumerated criteria. OO 1352 II.C.3 references DJJ, which closed 06/30/2023.</w:t>
            </w:r>
          </w:p>
        </w:tc>
      </w:tr>
    </w:tbl>
    <w:p>
      <w:pPr>
        <w:spacing w:after="80"/>
      </w:pPr>
    </w:p>
    <w:p>
      <w:pPr>
        <w:spacing w:after="120" w:line="276"/>
      </w:pPr>
      <w:r>
        <w:rPr>
          <w:b/>
          <w:bCs/>
          <w:color w:val="1A1A1A"/>
        </w:rPr>
        <w:t xml:space="preserve">Why it matters. </w:t>
      </w:r>
      <w:r>
        <w:rPr>
          <w:color w:val="1A1A1A"/>
        </w:rPr>
        <w:t xml:space="preserve">The S-4 omission is the operative one: it is not a citation cosmetic, it changes who gets classified.</w:t>
      </w:r>
    </w:p>
    <w:p>
      <w:pPr>
        <w:spacing w:after="300" w:line="276"/>
      </w:pPr>
      <w:r>
        <w:rPr>
          <w:b/>
          <w:bCs/>
          <w:color w:val="1A1A1A"/>
        </w:rPr>
        <w:t xml:space="preserve">Remediation. </w:t>
      </w:r>
      <w:r>
        <w:rPr>
          <w:color w:val="1A1A1A"/>
        </w:rPr>
        <w:t xml:space="preserve">Recommended change 6.</w:t>
      </w:r>
    </w:p>
    <w:p>
      <w:pPr>
        <w:pStyle w:val="Heading2"/>
        <w:keepNext/>
      </w:pPr>
      <w:r>
        <w:t xml:space="preserve">Conflict 12. Intake policy substantively obsolete</w:t>
      </w:r>
    </w:p>
    <w:p>
      <w:pPr>
        <w:keepNext/>
        <w:spacing w:after="120"/>
      </w:pPr>
      <w:r>
        <w:rPr>
          <w:i/>
          <w:iCs/>
          <w:color w:val="5A5A5A"/>
          <w:sz w:val="19"/>
          <w:szCs w:val="19"/>
        </w:rPr>
        <w:t xml:space="preserve">Register row 79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5040"/>
        <w:gridCol w:w="5040"/>
      </w:tblGrid>
      <w:tr>
        <w:trPr>
          <w:tblHeader/>
        </w:trPr>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law requires</w:t>
            </w:r>
          </w:p>
        </w:tc>
        <w:tc>
          <w:tcPr>
            <w:tcW w:type="dxa" w:w="5040"/>
            <w:shd w:fill="E8E8E8" w:color="auto" w:val="clear"/>
            <w:tcMar>
              <w:top w:type="dxa" w:w="60"/>
              <w:left w:type="dxa" w:w="100"/>
              <w:bottom w:type="dxa" w:w="60"/>
              <w:right w:type="dxa" w:w="100"/>
            </w:tcMar>
          </w:tcPr>
          <w:p>
            <w:pPr>
              <w:spacing w:after="40" w:before="40" w:line="240"/>
            </w:pPr>
            <w:r>
              <w:rPr>
                <w:b/>
                <w:bCs/>
                <w:color w:val="1A1A1A"/>
                <w:sz w:val="19"/>
                <w:szCs w:val="19"/>
              </w:rPr>
              <w:t xml:space="preserve">The policy says</w:t>
            </w:r>
          </w:p>
        </w:tc>
      </w:tr>
      <w:tr>
        <w:tc>
          <w:tcPr>
            <w:tcW w:type="dxa" w:w="5040"/>
            <w:tcMar>
              <w:top w:type="dxa" w:w="60"/>
              <w:left w:type="dxa" w:w="100"/>
              <w:bottom w:type="dxa" w:w="60"/>
              <w:right w:type="dxa" w:w="100"/>
            </w:tcMar>
          </w:tcPr>
          <w:p>
            <w:pPr>
              <w:spacing w:after="40" w:before="40" w:line="240"/>
            </w:pPr>
            <w:r>
              <w:rPr>
                <w:b w:val="false"/>
                <w:bCs w:val="false"/>
                <w:color w:val="1A1A1A"/>
                <w:sz w:val="19"/>
                <w:szCs w:val="19"/>
              </w:rPr>
              <w:t xml:space="preserve">15 CCR 1350 and 1350.5. Intake and admittance policy must reflect current law and carry the admittance elements added in 2019.</w:t>
            </w:r>
          </w:p>
        </w:tc>
        <w:tc>
          <w:tcPr>
            <w:tcW w:type="dxa" w:w="5040"/>
            <w:shd w:fill="F2DEDE" w:color="auto" w:val="clear"/>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(J-3.4) references CYA and CYA parolees throughout, contains no PREA or sexual abuse screening content, and does not reference OO 1350.5.</w:t>
            </w:r>
          </w:p>
        </w:tc>
      </w:tr>
    </w:tbl>
    <w:p>
      <w:pPr>
        <w:spacing w:after="80"/>
      </w:pPr>
    </w:p>
    <w:p>
      <w:pPr>
        <w:spacing w:after="120" w:line="276"/>
      </w:pPr>
      <w:r>
        <w:rPr>
          <w:b/>
          <w:bCs/>
          <w:color w:val="1A1A1A"/>
        </w:rPr>
        <w:t xml:space="preserve">Why it matters. </w:t>
      </w:r>
      <w:r>
        <w:rPr>
          <w:color w:val="1A1A1A"/>
        </w:rPr>
        <w:t xml:space="preserve">CYA became the Division of Juvenile Justice in 2005 and closed entirely on 06/30/2023 under SB 823.</w:t>
      </w:r>
    </w:p>
    <w:p>
      <w:pPr>
        <w:spacing w:after="300" w:line="276"/>
      </w:pPr>
      <w:r>
        <w:rPr>
          <w:b/>
          <w:bCs/>
          <w:color w:val="1A1A1A"/>
        </w:rPr>
        <w:t xml:space="preserve">Remediation. </w:t>
      </w:r>
      <w:r>
        <w:rPr>
          <w:color w:val="1A1A1A"/>
        </w:rPr>
        <w:t xml:space="preserve">Rewrite rather than amend.</w:t>
      </w:r>
    </w:p>
    <w:p>
      <w:r>
        <w:br w:type="page"/>
      </w:r>
    </w:p>
    <w:p>
      <w:pPr>
        <w:pStyle w:val="Heading1"/>
      </w:pPr>
      <w:r>
        <w:t xml:space="preserve">4. The crosswalk, requirement by requirement</w:t>
      </w:r>
    </w:p>
    <w:p>
      <w:pPr>
        <w:spacing w:after="120" w:line="276"/>
      </w:pPr>
      <w:r>
        <w:rPr>
          <w:color w:val="1A1A1A"/>
        </w:rPr>
        <w:t xml:space="preserve">Grouped by the area an auditor scores. Within an area, worst divergence first. The numbering is the register row, so any entry can be traced straight back to prea-register.csv.</w:t>
      </w:r>
    </w:p>
    <w:p>
      <w:pPr>
        <w:pStyle w:val="Heading2"/>
      </w:pPr>
      <w:r>
        <w:t xml:space="preserve">Prevention Planning</w:t>
      </w:r>
    </w:p>
    <w:p>
      <w:pPr>
        <w:pStyle w:val="Heading3"/>
        <w:keepNext/>
      </w:pPr>
      <w:r>
        <w:t xml:space="preserve">2. 28 CFR 115.311(b)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But OO 1453 (Sexual Assault) I.A.15 directs that the sexual abuse incident review report be forwarded to 'the PREA coordinator and Department Chief.'</w:t>
            </w:r>
          </w:p>
        </w:tc>
      </w:tr>
    </w:tbl>
    <w:p>
      <w:pPr>
        <w:spacing w:after="80"/>
      </w:pPr>
    </w:p>
    <w:p>
      <w:pPr>
        <w:spacing w:after="120" w:line="276"/>
      </w:pPr>
      <w:r>
        <w:rPr>
          <w:b/>
          <w:bCs/>
          <w:color w:val="1A1A1A"/>
        </w:rPr>
        <w:t xml:space="preserve">The standard requires. </w:t>
      </w:r>
      <w:r>
        <w:rPr>
          <w:color w:val="1A1A1A"/>
        </w:rPr>
        <w:t xml:space="preserve">Employ or designate an upper-level, agency-wide PREA Coordinator with sufficient time and authority to develop, implement, and oversee PREA compliance in all facilities.</w:t>
      </w:r>
    </w:p>
    <w:p>
      <w:pPr>
        <w:spacing w:after="120" w:line="276"/>
      </w:pPr>
      <w:r>
        <w:rPr>
          <w:b/>
          <w:bCs/>
          <w:color w:val="1A1A1A"/>
        </w:rPr>
        <w:t xml:space="preserve">Divergence. </w:t>
      </w:r>
      <w:r>
        <w:rPr>
          <w:color w:val="1A1A1A"/>
        </w:rPr>
        <w:t xml:space="preserve">Status changed from Not Addressed to Conflict. OO 1453, last revised December 9, 2019, instructs staff to forward the incident review report to the PREA Coordinator. The department has therefore published an operations order assigning a duty to a position that, per the department, does not exist. Two consequences. First, the required report has nowhere to go, so the review process terminates in a dead letter regardless of whether the review occurs. Second, this is written departmental acknowledgment that the position is necessary, dated 2019, which forecloses any argument that the department did not appreciate the requirement. Confirm whether a Coordinator was ever designated and later vacated, or never designated at all; the answer changes how this reads. Either way, designating one operationalizes an order the department already issued.</w:t>
      </w:r>
    </w:p>
    <w:p>
      <w:pPr>
        <w:spacing w:after="240" w:line="260"/>
      </w:pPr>
      <w:r>
        <w:rPr>
          <w:i/>
          <w:iCs/>
          <w:color w:val="5A5A5A"/>
          <w:sz w:val="19"/>
          <w:szCs w:val="19"/>
        </w:rPr>
        <w:t xml:space="preserve">Change log: MATERIALLY REVISED in 3: OO 1453 I.A.15 directs reports to a PREA Coordinator the department does not have.</w:t>
      </w:r>
    </w:p>
    <w:p>
      <w:pPr>
        <w:pStyle w:val="Heading3"/>
        <w:keepNext/>
      </w:pPr>
      <w:r>
        <w:t xml:space="preserve">6. 28 CFR 115.313(c); 15 CCR 1321(h)(1)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I.B.1-2 (1:10 waking / 1:30 sleeping)</w:t>
            </w:r>
          </w:p>
        </w:tc>
      </w:tr>
    </w:tbl>
    <w:p>
      <w:pPr>
        <w:spacing w:after="80"/>
      </w:pPr>
    </w:p>
    <w:p>
      <w:pPr>
        <w:spacing w:after="120" w:line="276"/>
      </w:pPr>
      <w:r>
        <w:rPr>
          <w:b/>
          <w:bCs/>
          <w:color w:val="1A1A1A"/>
        </w:rPr>
        <w:t xml:space="preserve">The standard requires. </w:t>
      </w:r>
      <w:r>
        <w:rPr>
          <w:color w:val="1A1A1A"/>
        </w:rPr>
        <w:t xml:space="preserve">Secure juvenile facilities shall maintain staff ratios of at least 1:8 during resident waking hours and 1:16 during sleeping hours. Only security staff count. Compliance was required no later than October 1, 2017.</w:t>
      </w:r>
    </w:p>
    <w:p>
      <w:pPr>
        <w:spacing w:after="120" w:line="276"/>
      </w:pPr>
      <w:r>
        <w:rPr>
          <w:b/>
          <w:bCs/>
          <w:color w:val="1A1A1A"/>
        </w:rPr>
        <w:t xml:space="preserve">Divergence. </w:t>
      </w:r>
      <w:r>
        <w:rPr>
          <w:color w:val="1A1A1A"/>
        </w:rPr>
        <w:t xml:space="preserve">The county standard mirrors Title 15 (1:10 / 1:30), which is materially less protective than the federal standard (1:8 / 1:16). Title 15 sets a floor, not a ceiling: 15 CCR 1301 expressly permits the county to adopt standards that exceed the minimum. Operating to 1:10 / 1:30 will fail 115.313(c) on audit and is a readily exploited fact in civil litigation. Whether actual post assignments already meet 1:8 / 1:16 should be verified against real rosters before the policy is revised.</w:t>
      </w:r>
    </w:p>
    <w:p>
      <w:pPr>
        <w:spacing w:after="160"/>
      </w:pPr>
    </w:p>
    <w:p>
      <w:pPr>
        <w:pStyle w:val="Heading3"/>
        <w:keepNext/>
      </w:pPr>
      <w:r>
        <w:t xml:space="preserve">3. 28 CFR 115.311(c)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Where an agency operates more than one facility, each facility shall designate a PREA Compliance Manager with sufficient time and authority to coordinate that facility's compliance.</w:t>
      </w:r>
    </w:p>
    <w:p>
      <w:pPr>
        <w:spacing w:after="120" w:line="276"/>
      </w:pPr>
      <w:r>
        <w:rPr>
          <w:b/>
          <w:bCs/>
          <w:color w:val="1A1A1A"/>
        </w:rPr>
        <w:t xml:space="preserve">Divergence. </w:t>
      </w:r>
      <w:r>
        <w:rPr>
          <w:color w:val="1A1A1A"/>
        </w:rPr>
        <w:t xml:space="preserve">No facility-level PREA Compliance Manager is designated for YDF. Confirm the current count of departmentally operated juvenile facilities; if more than one is operated, a Compliance Manager is required at each.</w:t>
      </w:r>
    </w:p>
    <w:p>
      <w:pPr>
        <w:spacing w:after="160"/>
      </w:pPr>
    </w:p>
    <w:p>
      <w:pPr>
        <w:pStyle w:val="Heading3"/>
        <w:keepNext/>
      </w:pPr>
      <w:r>
        <w:t xml:space="preserve">5. 28 CFR 115.313(a)-(b); 15 CCR 1321(a),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1321 (Staffing)</w:t>
            </w:r>
          </w:p>
        </w:tc>
      </w:tr>
    </w:tbl>
    <w:p>
      <w:pPr>
        <w:spacing w:after="80"/>
      </w:pPr>
    </w:p>
    <w:p>
      <w:pPr>
        <w:spacing w:after="120" w:line="276"/>
      </w:pPr>
      <w:r>
        <w:rPr>
          <w:b/>
          <w:bCs/>
          <w:color w:val="1A1A1A"/>
        </w:rPr>
        <w:t xml:space="preserve">The standard requires. </w:t>
      </w:r>
      <w:r>
        <w:rPr>
          <w:color w:val="1A1A1A"/>
        </w:rPr>
        <w:t xml:space="preserve">Develop, implement, and document a staffing plan providing adequate staffing and, where applicable, video monitoring, weighing 11 enumerated factors including blind spots, resident composition, supervisory placement, and prevalence of substantiated and unsubstantiated incidents. Comply with the plan except in limited, discrete, fully documented exigent circumstances.</w:t>
      </w:r>
    </w:p>
    <w:p>
      <w:pPr>
        <w:spacing w:after="120" w:line="276"/>
      </w:pPr>
      <w:r>
        <w:rPr>
          <w:b/>
          <w:bCs/>
          <w:color w:val="1A1A1A"/>
        </w:rPr>
        <w:t xml:space="preserve">Divergence. </w:t>
      </w:r>
      <w:r>
        <w:rPr>
          <w:color w:val="1A1A1A"/>
        </w:rPr>
        <w:t xml:space="preserve">OO 1321 restates the Title 15 ratios and generic adequacy language. There is no documented PREA staffing plan, none of the 11 required factors is analyzed, and there is no mechanism for documenting deviations. A written staffing plan is one of the most frequently cited findings in juvenile PREA audits.</w:t>
      </w:r>
    </w:p>
    <w:p>
      <w:pPr>
        <w:spacing w:after="160"/>
      </w:pPr>
    </w:p>
    <w:p>
      <w:pPr>
        <w:pStyle w:val="Heading3"/>
        <w:keepNext/>
      </w:pPr>
      <w:r>
        <w:t xml:space="preserve">7. 28 CFR 115.313(d)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At least annually, in consultation with the PREA Coordinator, assess, determine, and document whether adjustments are needed to the staffing plan, prevailing staffing patterns, video monitoring deployment, and resources available to adhere to the plan.</w:t>
      </w:r>
    </w:p>
    <w:p>
      <w:pPr>
        <w:spacing w:after="120" w:line="276"/>
      </w:pPr>
      <w:r>
        <w:rPr>
          <w:b/>
          <w:bCs/>
          <w:color w:val="1A1A1A"/>
        </w:rPr>
        <w:t xml:space="preserve">Divergence. </w:t>
      </w:r>
      <w:r>
        <w:rPr>
          <w:color w:val="1A1A1A"/>
        </w:rPr>
        <w:t xml:space="preserve">No annual staffing and monitoring-technology review is required or documented. Depends on 115.311(b) being fixed first.</w:t>
      </w:r>
    </w:p>
    <w:p>
      <w:pPr>
        <w:spacing w:after="160"/>
      </w:pPr>
    </w:p>
    <w:p>
      <w:pPr>
        <w:pStyle w:val="Heading3"/>
        <w:keepNext/>
      </w:pPr>
      <w:r>
        <w:t xml:space="preserve">10. 28 CFR 115.315(d); 15 CCR 1352.5(e)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Attachment A (medical screen for shower-room strip searches)</w:t>
            </w:r>
          </w:p>
        </w:tc>
      </w:tr>
    </w:tbl>
    <w:p>
      <w:pPr>
        <w:spacing w:after="80"/>
      </w:pPr>
    </w:p>
    <w:p>
      <w:pPr>
        <w:spacing w:after="120" w:line="276"/>
      </w:pPr>
      <w:r>
        <w:rPr>
          <w:b/>
          <w:bCs/>
          <w:color w:val="1A1A1A"/>
        </w:rPr>
        <w:t xml:space="preserve">The standard requires. </w:t>
      </w:r>
      <w:r>
        <w:rPr>
          <w:color w:val="1A1A1A"/>
        </w:rPr>
        <w:t xml:space="preserve">Residents must be able to shower, perform bodily functions, and change clothing without non-medical staff of the opposite gender viewing their breasts, buttocks, or genitalia, except in exigent circumstances or incidental to routine cell checks. Opposite-gender staff must announce their presence when entering a resident housing unit.</w:t>
      </w:r>
    </w:p>
    <w:p>
      <w:pPr>
        <w:spacing w:after="120" w:line="276"/>
      </w:pPr>
      <w:r>
        <w:rPr>
          <w:b/>
          <w:bCs/>
          <w:color w:val="1A1A1A"/>
        </w:rPr>
        <w:t xml:space="preserve">Divergence. </w:t>
      </w:r>
      <w:r>
        <w:rPr>
          <w:color w:val="1A1A1A"/>
        </w:rPr>
        <w:t xml:space="preserve">Attachment A requires a medical screen when a shower room is used for a strip search, which is a privacy measure but not this standard. Still absent: any provision on residents showering, using the toilet, or changing clothing without non-medical staff of the opposite gender viewing their breasts, buttocks, or genitalia, and the requirement that opposite-gender staff announce their presence when entering a resident housing unit. The announcement rule is a discrete, no-cost policy fix and is a standard youth-interview question during an audit.</w:t>
      </w:r>
    </w:p>
    <w:p>
      <w:pPr>
        <w:spacing w:after="240" w:line="260"/>
      </w:pPr>
      <w:r>
        <w:rPr>
          <w:i/>
          <w:iCs/>
          <w:color w:val="5A5A5A"/>
          <w:sz w:val="19"/>
          <w:szCs w:val="19"/>
        </w:rPr>
        <w:t xml:space="preserve">Change log: REVISED: gap text updated to credit the Attachment A medical screen.</w:t>
      </w:r>
    </w:p>
    <w:p>
      <w:pPr>
        <w:pStyle w:val="Heading3"/>
        <w:keepNext/>
      </w:pPr>
      <w:r>
        <w:t xml:space="preserve">12. 28 CFR 115.315(f)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 security staff how to conduct cross-gender pat-down searches and searches of transgender and intersex residents professionally, respectfully, and in the least intrusive manner consistent with security needs.</w:t>
      </w:r>
    </w:p>
    <w:p>
      <w:pPr>
        <w:spacing w:after="120" w:line="276"/>
      </w:pPr>
      <w:r>
        <w:rPr>
          <w:b/>
          <w:bCs/>
          <w:color w:val="1A1A1A"/>
        </w:rPr>
        <w:t xml:space="preserve">Divergence. </w:t>
      </w:r>
      <w:r>
        <w:rPr>
          <w:color w:val="1A1A1A"/>
        </w:rPr>
        <w:t xml:space="preserve">Not listed in OO 1322 or in the PREA policy training section. Directly relevant to the Use of Force Training Unit curriculum.</w:t>
      </w:r>
    </w:p>
    <w:p>
      <w:pPr>
        <w:spacing w:after="160"/>
      </w:pPr>
    </w:p>
    <w:p>
      <w:pPr>
        <w:pStyle w:val="Heading3"/>
        <w:keepNext/>
      </w:pPr>
      <w:r>
        <w:t xml:space="preserve">15. 28 CFR 115.318(a)-(b)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When designing, acquiring, expanding, or modifying facilities, and when installing or updating video or other monitoring technology, consider the effect on the ability to protect residents from sexual abuse.</w:t>
      </w:r>
    </w:p>
    <w:p>
      <w:pPr>
        <w:spacing w:after="120" w:line="276"/>
      </w:pPr>
      <w:r>
        <w:rPr>
          <w:b/>
          <w:bCs/>
          <w:color w:val="1A1A1A"/>
        </w:rPr>
        <w:t xml:space="preserve">Divergence. </w:t>
      </w:r>
      <w:r>
        <w:rPr>
          <w:color w:val="1A1A1A"/>
        </w:rPr>
        <w:t xml:space="preserve">No requirement that PREA implications be evaluated in capital planning or camera upgrades. Cheap to add now, expensive to retrofit after a build.</w:t>
      </w:r>
    </w:p>
    <w:p>
      <w:pPr>
        <w:spacing w:after="160"/>
      </w:pPr>
    </w:p>
    <w:p>
      <w:pPr>
        <w:pStyle w:val="Heading3"/>
        <w:keepNext/>
      </w:pPr>
      <w:r>
        <w:t xml:space="preserve">83. 28 CFR 115.317(c)(2), (d)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I.B.3 (CPS database check on youth); no employee or contractor registry provision located</w:t>
            </w:r>
          </w:p>
        </w:tc>
      </w:tr>
    </w:tbl>
    <w:p>
      <w:pPr>
        <w:spacing w:after="80"/>
      </w:pPr>
    </w:p>
    <w:p>
      <w:pPr>
        <w:spacing w:after="120" w:line="276"/>
      </w:pPr>
      <w:r>
        <w:rPr>
          <w:b/>
          <w:bCs/>
          <w:color w:val="1A1A1A"/>
        </w:rPr>
        <w:t xml:space="preserve">The standard requires. </w:t>
      </w:r>
      <w:r>
        <w:rPr>
          <w:color w:val="1A1A1A"/>
        </w:rPr>
        <w:t xml:space="preserve">Consult any child abuse registry maintained by the state or locality before hiring an employee who may have contact with residents, and perform a criminal background records check and consult applicable child abuse registries before enlisting the services of any contractor who may have contact with residents.</w:t>
      </w:r>
    </w:p>
    <w:p>
      <w:pPr>
        <w:spacing w:after="120" w:line="276"/>
      </w:pPr>
      <w:r>
        <w:rPr>
          <w:b/>
          <w:bCs/>
          <w:color w:val="1A1A1A"/>
        </w:rPr>
        <w:t xml:space="preserve">Divergence. </w:t>
      </w:r>
      <w:r>
        <w:rPr>
          <w:color w:val="1A1A1A"/>
        </w:rPr>
        <w:t xml:space="preserve">Separated from the main 115.317 row because it is the piece most likely to be genuinely absent rather than merely undocumented. The department already queries the Child Protective Services database, but under OO 1352 I.B.3 that query runs against each youth at classification, not against employment applicants or contractors. Confirm with County Personnel whether a child abuse registry consultation occurs in the hiring workflow. The contractor and volunteer side is the larger exposure: the Code of Conduct for Non-Sworn and Non-County Personnel governs medical, mental health, kitchen, school, temporary, contract, volunteer, and intern staff, and neither it nor any other reviewed document requires a background check or registry consultation before those individuals are granted access to youth.</w:t>
      </w:r>
    </w:p>
    <w:p>
      <w:pPr>
        <w:spacing w:after="240" w:line="260"/>
      </w:pPr>
      <w:r>
        <w:rPr>
          <w:i/>
          <w:iCs/>
          <w:color w:val="5A5A5A"/>
          <w:sz w:val="19"/>
          <w:szCs w:val="19"/>
        </w:rPr>
        <w:t xml:space="preserve">Change log: NEW in revision 2. Split out from the main 115.317 row.</w:t>
      </w:r>
    </w:p>
    <w:p>
      <w:pPr>
        <w:pStyle w:val="Heading3"/>
        <w:keepNext/>
      </w:pPr>
      <w:r>
        <w:t xml:space="preserve">1. 28 CFR 115.311(a);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(zero tolerance; retaliation paragraph)</w:t>
            </w:r>
          </w:p>
        </w:tc>
      </w:tr>
    </w:tbl>
    <w:p>
      <w:pPr>
        <w:spacing w:after="80"/>
      </w:pPr>
    </w:p>
    <w:p>
      <w:pPr>
        <w:spacing w:after="120" w:line="276"/>
      </w:pPr>
      <w:r>
        <w:rPr>
          <w:b/>
          <w:bCs/>
          <w:color w:val="1A1A1A"/>
        </w:rPr>
        <w:t xml:space="preserve">The standard requires. </w:t>
      </w:r>
      <w:r>
        <w:rPr>
          <w:color w:val="1A1A1A"/>
        </w:rPr>
        <w:t xml:space="preserve">Written policy mandating zero tolerance toward all forms of sexual abuse and sexual harassment, outlining the agency's approach to preventing, detecting, and responding to such conduct, including retaliation and reporting by youth, staff, or a third party.</w:t>
      </w:r>
    </w:p>
    <w:p>
      <w:pPr>
        <w:spacing w:after="120" w:line="276"/>
      </w:pPr>
      <w:r>
        <w:rPr>
          <w:b/>
          <w:bCs/>
          <w:color w:val="1A1A1A"/>
        </w:rPr>
        <w:t xml:space="preserve">Divergence. </w:t>
      </w:r>
      <w:r>
        <w:rPr>
          <w:color w:val="1A1A1A"/>
        </w:rPr>
        <w:t xml:space="preserve">Zero tolerance and retaliation prohibition are stated. The policy is not organized around a prevent / detect / respond framework, uses 'sexual misconduct' rather than the regulatory terms 'sexual abuse' and 'sexual harassment' as its operative trigger, and contains no third-party reporting provision required by both 1324(n) and 115.354.</w:t>
      </w:r>
    </w:p>
    <w:p>
      <w:pPr>
        <w:spacing w:after="160"/>
      </w:pPr>
    </w:p>
    <w:p>
      <w:pPr>
        <w:pStyle w:val="Heading3"/>
        <w:keepNext/>
      </w:pPr>
      <w:r>
        <w:t xml:space="preserve">4. 28 CFR 115.312(a)-(b)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II.C.2</w:t>
            </w:r>
          </w:p>
        </w:tc>
      </w:tr>
    </w:tbl>
    <w:p>
      <w:pPr>
        <w:spacing w:after="80"/>
      </w:pPr>
    </w:p>
    <w:p>
      <w:pPr>
        <w:spacing w:after="120" w:line="276"/>
      </w:pPr>
      <w:r>
        <w:rPr>
          <w:b/>
          <w:bCs/>
          <w:color w:val="1A1A1A"/>
        </w:rPr>
        <w:t xml:space="preserve">The standard requires. </w:t>
      </w:r>
      <w:r>
        <w:rPr>
          <w:color w:val="1A1A1A"/>
        </w:rPr>
        <w:t xml:space="preserve">New or renewed contracts for confinement of residents with other entities must include the entity's obligation to adopt and comply with the PREA standards, and must provide for agency contract monitoring.</w:t>
      </w:r>
    </w:p>
    <w:p>
      <w:pPr>
        <w:spacing w:after="120" w:line="276"/>
      </w:pPr>
      <w:r>
        <w:rPr>
          <w:b/>
          <w:bCs/>
          <w:color w:val="1A1A1A"/>
        </w:rPr>
        <w:t xml:space="preserve">Divergence. </w:t>
      </w:r>
      <w:r>
        <w:rPr>
          <w:color w:val="1A1A1A"/>
        </w:rPr>
        <w:t xml:space="preserve">The contract-language requirement is captured. The separate requirement that the contract provide for agency monitoring of the contractor's PREA compliance is missing.</w:t>
      </w:r>
    </w:p>
    <w:p>
      <w:pPr>
        <w:spacing w:after="160"/>
      </w:pPr>
    </w:p>
    <w:p>
      <w:pPr>
        <w:pStyle w:val="Heading3"/>
        <w:keepNext/>
      </w:pPr>
      <w:r>
        <w:t xml:space="preserve">8. 28 CFR 115.313(e)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II.C.1</w:t>
            </w:r>
          </w:p>
        </w:tc>
      </w:tr>
    </w:tbl>
    <w:p>
      <w:pPr>
        <w:spacing w:after="80"/>
      </w:pPr>
    </w:p>
    <w:p>
      <w:pPr>
        <w:spacing w:after="120" w:line="276"/>
      </w:pPr>
      <w:r>
        <w:rPr>
          <w:b/>
          <w:bCs/>
          <w:color w:val="1A1A1A"/>
        </w:rPr>
        <w:t xml:space="preserve">The standard requires. </w:t>
      </w:r>
      <w:r>
        <w:rPr>
          <w:color w:val="1A1A1A"/>
        </w:rPr>
        <w:t xml:space="preserve">Intermediate-level or higher supervisors shall conduct and document unannounced rounds on day and night shifts to identify and deter staff sexual abuse and harassment. Policy must prohibit staff from alerting others that supervisory rounds are occurring.</w:t>
      </w:r>
    </w:p>
    <w:p>
      <w:pPr>
        <w:spacing w:after="120" w:line="276"/>
      </w:pPr>
      <w:r>
        <w:rPr>
          <w:b/>
          <w:bCs/>
          <w:color w:val="1A1A1A"/>
        </w:rPr>
        <w:t xml:space="preserve">Divergence. </w:t>
      </w:r>
      <w:r>
        <w:rPr>
          <w:color w:val="1A1A1A"/>
        </w:rPr>
        <w:t xml:space="preserve">Unannounced rounds by supervisors, ACDs, and Chief Deputies on day and night shifts are required. Two required elements are missing: documentation of the rounds, and an express prohibition on staff alerting other staff that rounds are underway.</w:t>
      </w:r>
    </w:p>
    <w:p>
      <w:pPr>
        <w:spacing w:after="160"/>
      </w:pPr>
    </w:p>
    <w:p>
      <w:pPr>
        <w:pStyle w:val="Heading3"/>
        <w:keepNext/>
      </w:pPr>
      <w:r>
        <w:t xml:space="preserve">9. 28 CFR 115.315(a)-(c); 15 CCR 1360(g)</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1360 (Searches) II.B, III.B.4-5, XI.A; PREA Policy II.D.1</w:t>
            </w:r>
          </w:p>
        </w:tc>
      </w:tr>
    </w:tbl>
    <w:p>
      <w:pPr>
        <w:spacing w:after="80"/>
      </w:pPr>
    </w:p>
    <w:p>
      <w:pPr>
        <w:spacing w:after="120" w:line="276"/>
      </w:pPr>
      <w:r>
        <w:rPr>
          <w:b/>
          <w:bCs/>
          <w:color w:val="1A1A1A"/>
        </w:rPr>
        <w:t xml:space="preserve">The standard requires. </w:t>
      </w:r>
      <w:r>
        <w:rPr>
          <w:color w:val="1A1A1A"/>
        </w:rPr>
        <w:t xml:space="preserve">No cross-gender strip or visual body cavity searches except in exigent circumstances or by a medical practitioner; no cross-gender pat-down searches except in exigent circumstances; all such searches documented and justified in writing.</w:t>
      </w:r>
    </w:p>
    <w:p>
      <w:pPr>
        <w:spacing w:after="120" w:line="276"/>
      </w:pPr>
      <w:r>
        <w:rPr>
          <w:b/>
          <w:bCs/>
          <w:color w:val="1A1A1A"/>
        </w:rPr>
        <w:t xml:space="preserve">Divergence. </w:t>
      </w:r>
      <w:r>
        <w:rPr>
          <w:color w:val="1A1A1A"/>
        </w:rPr>
        <w:t xml:space="preserve">OO 1360 is substantially compliant and in places exceeds the standard. II.B prohibits cross-gender pat-down searches absent emergency circumstances. III.B.4 and III.B.5 require the searching officer AND the witness to be the same sex as the youth and bar any opposite-sex person from viewing a strip search, with no exigent exception, which is stricter than 115.315(a). Physical body cavity searches are never performed by probation staff and require a warrant and medical personnel. XI.A requires every strip search to be documented on an electronic Strip Search Authorization Form recording why, who conducted it, when and where, who was present, the gender of the resident and the searching officer, and the results. Remaining gap: 115.315(c) and 15 CCR 1360(g) require that cross-gender pat-down searches also be documented and justified in writing. The Strip Search Authorization Form captures strip and visual body cavity searches only; there is no comparable record for an emergency cross-gender pat-down.</w:t>
      </w:r>
    </w:p>
    <w:p>
      <w:pPr>
        <w:spacing w:after="240" w:line="260"/>
      </w:pPr>
      <w:r>
        <w:rPr>
          <w:i/>
          <w:iCs/>
          <w:color w:val="5A5A5A"/>
          <w:sz w:val="19"/>
          <w:szCs w:val="19"/>
        </w:rPr>
        <w:t xml:space="preserve">Change log: REVISED: was Partial / High. OO 1360 reviewed; most elements met or exceeded. Remaining gap narrowed to cross-gender pat-down documentation.</w:t>
      </w:r>
    </w:p>
    <w:p>
      <w:pPr>
        <w:pStyle w:val="Heading3"/>
        <w:keepNext/>
      </w:pPr>
      <w:r>
        <w:t xml:space="preserve">13. 28 CFR 115.316(a)-(c); 15 CCR 1302 ('linguistically appropriate'),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II.B.5</w:t>
            </w:r>
          </w:p>
        </w:tc>
      </w:tr>
    </w:tbl>
    <w:p>
      <w:pPr>
        <w:spacing w:after="80"/>
      </w:pPr>
    </w:p>
    <w:p>
      <w:pPr>
        <w:spacing w:after="120" w:line="276"/>
      </w:pPr>
      <w:r>
        <w:rPr>
          <w:b/>
          <w:bCs/>
          <w:color w:val="1A1A1A"/>
        </w:rPr>
        <w:t xml:space="preserve">The standard requires. </w:t>
      </w:r>
      <w:r>
        <w:rPr>
          <w:color w:val="1A1A1A"/>
        </w:rPr>
        <w:t xml:space="preserve">Ensure residents with disabilities and residents who are limited English proficient have equal opportunity to participate in all aspects of PREA efforts, including qualified interpreters and accessible written materials. Do not rely on resident interpreters or readers except in narrow circumstances.</w:t>
      </w:r>
    </w:p>
    <w:p>
      <w:pPr>
        <w:spacing w:after="120" w:line="276"/>
      </w:pPr>
      <w:r>
        <w:rPr>
          <w:b/>
          <w:bCs/>
          <w:color w:val="1A1A1A"/>
        </w:rPr>
        <w:t xml:space="preserve">Divergence. </w:t>
      </w:r>
      <w:r>
        <w:rPr>
          <w:color w:val="1A1A1A"/>
        </w:rPr>
        <w:t xml:space="preserve">Accommodation is addressed only for resident PREA education. The standard reaches every aspect of prevention, detection, and response, including reporting and investigative interviews. The prohibition on using resident interpreters is absent.</w:t>
      </w:r>
    </w:p>
    <w:p>
      <w:pPr>
        <w:spacing w:after="160"/>
      </w:pPr>
    </w:p>
    <w:p>
      <w:pPr>
        <w:pStyle w:val="Heading3"/>
        <w:keepNext/>
      </w:pPr>
      <w:r>
        <w:t xml:space="preserve">14. 28 CFR 115.317(a)-(h); 15 CCR 1320(b)(4)</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Departmental hiring process (not produced); arrest and new-charge notification protocol (not produced); employee reporting requirement (confirmed by the department, source document not produced)</w:t>
            </w:r>
          </w:p>
        </w:tc>
      </w:tr>
    </w:tbl>
    <w:p>
      <w:pPr>
        <w:spacing w:after="80"/>
      </w:pPr>
    </w:p>
    <w:p>
      <w:pPr>
        <w:spacing w:after="120" w:line="276"/>
      </w:pPr>
      <w:r>
        <w:rPr>
          <w:b/>
          <w:bCs/>
          <w:color w:val="1A1A1A"/>
        </w:rPr>
        <w:t xml:space="preserve">The standard requires. </w:t>
      </w:r>
      <w:r>
        <w:rPr>
          <w:color w:val="1A1A1A"/>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p>
      <w:pPr>
        <w:spacing w:after="120" w:line="276"/>
      </w:pPr>
      <w:r>
        <w:rPr>
          <w:b/>
          <w:bCs/>
          <w:color w:val="1A1A1A"/>
        </w:rPr>
        <w:t xml:space="preserve">Divergence. </w:t>
      </w:r>
      <w:r>
        <w:rPr>
          <w:color w:val="1A1A1A"/>
        </w:rPr>
        <w:t xml:space="preserve">Correction to revision 2: the department confirms that employees are required to report. Read against 115.317(f), that supplies the continuing affirmative duty to disclose, which revision 2 wrongly inferred was absent. Combined with formalized criminal background checks at hire, which addresses 115.317(c)(1), and the independent protocol by which new charges reach the department, which likely satisfies 115.317(e) because that subsection expressly permits a system for otherwise capturing such information for current employees in lieu of five-year re-checks, three of the eight subsections now appear substantially covered in practice. Two verification points on the reporting duty, both substantive rather than technical. First, produce the writing: an auditor scores the policy or the general order, not the practice. Second, confirm scope. An arrest or new-charge reporting rule is narrower than 115.317, which reaches conduct that may never generate a criminal charge, specifically prior sexual abuse in any institution, civil or administrative adjudications, and resignation during a pending investigation. If the duty as written covers only criminal charges, it does not reach the category the standard was drafted to capture. Still outstanding regardless: (c)(2) child abuse registry consultation, addressed separately in the register; (c)(3) best efforts to contact all prior institutional employers; (f) direct questioning of applicants and current employees about prior sexual misconduct in written applications, interviews, and self-evaluations, which is the intake side of the same subsection; (g) material omission as grounds for termination; and (h) responding to reference requests from other institutional employers.</w:t>
      </w:r>
    </w:p>
    <w:p>
      <w:pPr>
        <w:spacing w:after="240" w:line="260"/>
      </w:pPr>
      <w:r>
        <w:rPr>
          <w:i/>
          <w:iCs/>
          <w:color w:val="5A5A5A"/>
          <w:sz w:val="19"/>
          <w:szCs w:val="19"/>
        </w:rPr>
        <w:t xml:space="preserve">Change log: REVISED in 2.1: the continuing affirmative duty to disclose exists. Remaining work is producing the writing and confirming its scope reaches non-criminal conduct.</w:t>
      </w:r>
    </w:p>
    <w:p>
      <w:pPr>
        <w:pStyle w:val="Heading3"/>
        <w:keepNext/>
      </w:pPr>
      <w:r>
        <w:t xml:space="preserve">11. 28 CFR 115.315(e);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IV.A.1-3 and IV.A.3.a-c</w:t>
            </w:r>
          </w:p>
        </w:tc>
      </w:tr>
    </w:tbl>
    <w:p>
      <w:pPr>
        <w:spacing w:after="80"/>
      </w:pPr>
    </w:p>
    <w:p>
      <w:pPr>
        <w:spacing w:after="120" w:line="276"/>
      </w:pPr>
      <w:r>
        <w:rPr>
          <w:b/>
          <w:bCs/>
          <w:color w:val="1A1A1A"/>
        </w:rPr>
        <w:t xml:space="preserve">The standard requires. </w:t>
      </w:r>
      <w:r>
        <w:rPr>
          <w:color w:val="1A1A1A"/>
        </w:rPr>
        <w:t xml:space="preserve">No search or physical examination of a transgender or intersex resident for the sole purpose of determining genital status.</w:t>
      </w:r>
    </w:p>
    <w:p>
      <w:pPr>
        <w:spacing w:after="120" w:line="276"/>
      </w:pPr>
      <w:r>
        <w:rPr>
          <w:b/>
          <w:bCs/>
          <w:color w:val="1A1A1A"/>
        </w:rPr>
        <w:t xml:space="preserve">Divergence. </w:t>
      </w:r>
      <w:r>
        <w:rPr>
          <w:color w:val="1A1A1A"/>
        </w:rPr>
        <w:t xml:space="preserve">Closed, and in places the order exceeds the standard. IV.A.1 prohibits physically searching a youth to determine anatomical sex. IV.A.2 requires that unknown genital status be determined through conversation with the youth or medical records review, which is better than PREA Policy VIII.B, which contemplates a private physical examination and should be conformed to this order. IV.A.3 respects the youth's preference regarding the gender of searching staff whenever feasible. IV.A.3.a requires an Identification Preference Form for all youth at intake, supervisor review of any preference request, a direct meeting between the supervisor and the youth before authorizing, and documentation of the request, the rationale, and who conducted the search in the youth's file, JPIP, and the Strip Search Authorization Application. IV.A.3.b and c specify two-staff procedures for strip and pat-down searches with the preferred gender staff conducting and the second staff within hearing but out of view. This also resolves the tension flagged in revision 2 between OO 1360 III.B.4-5 and 1352.5: the two orders do reconcile, with 1352.5 supplying the exception. Recommend only that OO 1360 carry an explicit cross-reference so a reader of 1360 alone is not misled.</w:t>
      </w:r>
    </w:p>
    <w:p>
      <w:pPr>
        <w:spacing w:after="240" w:line="260"/>
      </w:pPr>
      <w:r>
        <w:rPr>
          <w:i/>
          <w:iCs/>
          <w:color w:val="5A5A5A"/>
          <w:sz w:val="19"/>
          <w:szCs w:val="19"/>
        </w:rPr>
        <w:t xml:space="preserve">Change log: MATERIALLY REVISED in 3: was Not Evidenced. OO 1352.5 closes this and resolves the OO 1360 conflict.</w:t>
      </w:r>
    </w:p>
    <w:p>
      <w:pPr>
        <w:pStyle w:val="Heading2"/>
      </w:pPr>
      <w:r>
        <w:t xml:space="preserve">Responsive Planning</w:t>
      </w:r>
    </w:p>
    <w:p>
      <w:pPr>
        <w:pStyle w:val="Heading3"/>
        <w:keepNext/>
      </w:pPr>
      <w:r>
        <w:t xml:space="preserve">16. 28 CFR 115.321(a)-(b);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I.A.3, I.A.5, I.A.11; PREA Policy VIII.A</w:t>
            </w:r>
          </w:p>
        </w:tc>
      </w:tr>
    </w:tbl>
    <w:p>
      <w:pPr>
        <w:spacing w:after="80"/>
      </w:pPr>
    </w:p>
    <w:p>
      <w:pPr>
        <w:spacing w:after="120" w:line="276"/>
      </w:pPr>
      <w:r>
        <w:rPr>
          <w:b/>
          <w:bCs/>
          <w:color w:val="1A1A1A"/>
        </w:rPr>
        <w:t xml:space="preserve">The standard requires. </w:t>
      </w:r>
      <w:r>
        <w:rPr>
          <w:color w:val="1A1A1A"/>
        </w:rPr>
        <w:t xml:space="preserve">Follow a uniform evidence protocol that maximizes usable physical evidence, developmentally appropriate for youth and adapted from the DOJ Office on Violence Against Women national protocol for sexual assault medical forensic examinations or a comparable authoritative protocol.</w:t>
      </w:r>
    </w:p>
    <w:p>
      <w:pPr>
        <w:spacing w:after="120" w:line="276"/>
      </w:pPr>
      <w:r>
        <w:rPr>
          <w:b/>
          <w:bCs/>
          <w:color w:val="1A1A1A"/>
        </w:rPr>
        <w:t xml:space="preserve">Divergence. </w:t>
      </w:r>
      <w:r>
        <w:rPr>
          <w:color w:val="1A1A1A"/>
        </w:rPr>
        <w:t xml:space="preserve">OO 1453 supplies real evidence procedure: crime scene sealing, prevention of showering, collection of toilet tissue, and at I.A.11 a fallback protocol where the Sheriff's Department or CSI cannot respond immediately, under which the Duty Supervisor photographs the scene, gloves up, collects and marks evidence with date, time, location, ownership and description, seals and logs it, and places it in the evidence locker at Intake and Booking. That is a workable chain of custody procedure. Two concerns. First, the standard requires a uniform evidence protocol that is developmentally appropriate for youth and adapted from the DOJ Office on Violence Against Women national protocol or a comparable authoritative source; OO 1453 is a locally drafted procedure with no such derivation and no youth-specific adaptation. Second, I.A.11 authorizes a Duty Supervisor to collect sexual assault evidence with no stated training prerequisite. 15 CCR 1452 requires forensic medical evidence be collected by appropriately trained medical personnel not responsible for the youth's ongoing care. Scene evidence is not forensic medical evidence and the two are governed differently, but an untrained supervisor collecting evidence in a sexual assault case is a cross-examination target and a chain of custody risk. Add a training requirement and derive the protocol from an authoritative source.</w:t>
      </w:r>
    </w:p>
    <w:p>
      <w:pPr>
        <w:spacing w:after="240" w:line="260"/>
      </w:pPr>
      <w:r>
        <w:rPr>
          <w:i/>
          <w:iCs/>
          <w:color w:val="5A5A5A"/>
          <w:sz w:val="19"/>
          <w:szCs w:val="19"/>
        </w:rPr>
        <w:t xml:space="preserve">Change log: REVISED in 3: OO 1453 evidence procedure credited; training prerequisite and protocol derivation identified as the residual gaps.</w:t>
      </w:r>
    </w:p>
    <w:p>
      <w:pPr>
        <w:pStyle w:val="Heading3"/>
        <w:keepNext/>
      </w:pPr>
      <w:r>
        <w:t xml:space="preserve">17. 28 CFR 115.321(c); 15 CCR 1452,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X.A-B</w:t>
            </w:r>
          </w:p>
        </w:tc>
      </w:tr>
    </w:tbl>
    <w:p>
      <w:pPr>
        <w:spacing w:after="80"/>
      </w:pPr>
    </w:p>
    <w:p>
      <w:pPr>
        <w:spacing w:after="120" w:line="276"/>
      </w:pPr>
      <w:r>
        <w:rPr>
          <w:b/>
          <w:bCs/>
          <w:color w:val="1A1A1A"/>
        </w:rPr>
        <w:t xml:space="preserve">The standard requires. </w:t>
      </w:r>
      <w:r>
        <w:rPr>
          <w:color w:val="1A1A1A"/>
        </w:rPr>
        <w:t xml:space="preserve">Offer all residents who experience sexual abuse access to forensic medical examinations without financial cost, performed by SAFEs or SANEs where possible, with documented efforts to obtain them.</w:t>
      </w:r>
    </w:p>
    <w:p>
      <w:pPr>
        <w:spacing w:after="120" w:line="276"/>
      </w:pPr>
      <w:r>
        <w:rPr>
          <w:b/>
          <w:bCs/>
          <w:color w:val="1A1A1A"/>
        </w:rPr>
        <w:t xml:space="preserve">Divergence. </w:t>
      </w:r>
      <w:r>
        <w:rPr>
          <w:color w:val="1A1A1A"/>
        </w:rPr>
        <w:t xml:space="preserve">Transport to a local medical facility (UC Davis Medical Center) for an evidentiary examination is required, which satisfies the 1453 off-site requirement. Missing: the SAFE/SANE preference, documentation of efforts to secure a SAFE/SANE, and the express statement that examinations are provided without financial cost to the youth.</w:t>
      </w:r>
    </w:p>
    <w:p>
      <w:pPr>
        <w:spacing w:after="160"/>
      </w:pPr>
    </w:p>
    <w:p>
      <w:pPr>
        <w:pStyle w:val="Heading3"/>
        <w:keepNext/>
      </w:pPr>
      <w:r>
        <w:t xml:space="preserve">18. 28 CFR 115.321(d)-(e), (h)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I.A.13; PREA Policy XV.A, XVI.A-B, I.AA</w:t>
            </w:r>
          </w:p>
        </w:tc>
      </w:tr>
    </w:tbl>
    <w:p>
      <w:pPr>
        <w:spacing w:after="80"/>
      </w:pPr>
    </w:p>
    <w:p>
      <w:pPr>
        <w:spacing w:after="120" w:line="276"/>
      </w:pPr>
      <w:r>
        <w:rPr>
          <w:b/>
          <w:bCs/>
          <w:color w:val="1A1A1A"/>
        </w:rPr>
        <w:t xml:space="preserve">The standard requires. </w:t>
      </w:r>
      <w:r>
        <w:rPr>
          <w:color w:val="1A1A1A"/>
        </w:rPr>
        <w:t xml:space="preserve">Attempt to make a victim advocate from a rape crisis center available to accompany and support the victim through the forensic examination and investigatory interviews; document efforts; where no rape crisis center is available, use a screened and trained community-based or agency staff member.</w:t>
      </w:r>
    </w:p>
    <w:p>
      <w:pPr>
        <w:spacing w:after="120" w:line="276"/>
      </w:pPr>
      <w:r>
        <w:rPr>
          <w:b/>
          <w:bCs/>
          <w:color w:val="1A1A1A"/>
        </w:rPr>
        <w:t xml:space="preserve">Divergence. </w:t>
      </w:r>
      <w:r>
        <w:rPr>
          <w:color w:val="1A1A1A"/>
        </w:rPr>
        <w:t xml:space="preserve">OO 1453 I.A.13 is stronger than the PREA policy alone: it states that in most cases the victim advocate will be from a local Rape Crisis Center, recites the PC 264.2 right to an advocate or support person during the medical examination and the PC 679.04 right during investigatory interviews, and assigns Sheriff's Officers to follow YDF staff to the medical center. Remaining gaps: 115.321(d) requires the agency to attempt to make an advocate available rather than treating the advocate as something the victim invokes, and 115.321(e) requires documentation of those efforts. Neither appears.</w:t>
      </w:r>
    </w:p>
    <w:p>
      <w:pPr>
        <w:spacing w:after="240" w:line="260"/>
      </w:pPr>
      <w:r>
        <w:rPr>
          <w:i/>
          <w:iCs/>
          <w:color w:val="5A5A5A"/>
          <w:sz w:val="19"/>
          <w:szCs w:val="19"/>
        </w:rPr>
        <w:t xml:space="preserve">Change log: REVISED in 3: OO 1453 I.A.13 credited.</w:t>
      </w:r>
    </w:p>
    <w:p>
      <w:pPr>
        <w:pStyle w:val="Heading3"/>
        <w:keepNext/>
      </w:pPr>
      <w:r>
        <w:t xml:space="preserve">19. 28 CFR 115.322(a)-(c)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I.A.8, I.A.10, I.A.14; PREA Policy VII.A.1, XII.A-C</w:t>
            </w:r>
          </w:p>
        </w:tc>
      </w:tr>
    </w:tbl>
    <w:p>
      <w:pPr>
        <w:spacing w:after="80"/>
      </w:pPr>
    </w:p>
    <w:p>
      <w:pPr>
        <w:spacing w:after="120" w:line="276"/>
      </w:pPr>
      <w:r>
        <w:rPr>
          <w:b/>
          <w:bCs/>
          <w:color w:val="1A1A1A"/>
        </w:rPr>
        <w:t xml:space="preserve">The standard requires. </w:t>
      </w:r>
      <w:r>
        <w:rPr>
          <w:color w:val="1A1A1A"/>
        </w:rPr>
        <w:t xml:space="preserve">Ensure an administrative or criminal investigation is completed for every allegation of sexual abuse and sexual harassment; maintain a policy referring allegations to an entity with criminal investigative authority; publish that policy on the agency website describing the responsibilities of both the agency and the investigating entity; document all referrals.</w:t>
      </w:r>
    </w:p>
    <w:p>
      <w:pPr>
        <w:spacing w:after="120" w:line="276"/>
      </w:pPr>
      <w:r>
        <w:rPr>
          <w:b/>
          <w:bCs/>
          <w:color w:val="1A1A1A"/>
        </w:rPr>
        <w:t xml:space="preserve">Divergence. </w:t>
      </w:r>
      <w:r>
        <w:rPr>
          <w:color w:val="1A1A1A"/>
        </w:rPr>
        <w:t xml:space="preserve">OO 1453 tightens this considerably. I.A.8 requires the Duty Supervisor to notify the Sheriff's Department immediately once it is believed a sexual assault occurred. I.A.10 requires the reporting or investigating officer to brief responding Sheriff's officers and provide an interview room. I.A.14 routes consensual sex act discovery and investigative reports to the Supervising District Attorney and the Sheriff's Sexual Assaults Unit. Remaining: publication of the referral policy on the department website describing the responsibilities of the agency and the investigating entity, documentation of all referrals, and an express commitment that every allegation, including sexual harassment, receives an administrative or criminal investigation. Note also that the PREA Policy Guidelines say sexual misconduct 'may be referred' to the District Attorney where 115.371(i) requires that substantiated conduct appearing criminal shall be referred.</w:t>
      </w:r>
    </w:p>
    <w:p>
      <w:pPr>
        <w:spacing w:after="240" w:line="260"/>
      </w:pPr>
      <w:r>
        <w:rPr>
          <w:i/>
          <w:iCs/>
          <w:color w:val="5A5A5A"/>
          <w:sz w:val="19"/>
          <w:szCs w:val="19"/>
        </w:rPr>
        <w:t xml:space="preserve">Change log: REVISED in 3: OO 1453 referral provisions credited.</w:t>
      </w:r>
    </w:p>
    <w:p>
      <w:pPr>
        <w:pStyle w:val="Heading2"/>
      </w:pPr>
      <w:r>
        <w:t xml:space="preserve">Training and Education</w:t>
      </w:r>
    </w:p>
    <w:p>
      <w:pPr>
        <w:pStyle w:val="Heading3"/>
        <w:keepNext/>
      </w:pPr>
      <w:r>
        <w:t xml:space="preserve">21. 28 CFR 115.331(b)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Training tailored to the unique needs and attributes of juvenile residents and to the gender of residents at the employee's facility, with additional training when an employee transfers between a male-only and a female-only facility.</w:t>
      </w:r>
    </w:p>
    <w:p>
      <w:pPr>
        <w:spacing w:after="120" w:line="276"/>
      </w:pPr>
      <w:r>
        <w:rPr>
          <w:b/>
          <w:bCs/>
          <w:color w:val="1A1A1A"/>
        </w:rPr>
        <w:t xml:space="preserve">Divergence. </w:t>
      </w:r>
      <w:r>
        <w:rPr>
          <w:color w:val="1A1A1A"/>
        </w:rPr>
        <w:t xml:space="preserve">No gender-tailoring or reassignment-triggered training requirement. If YDF houses both genders in a single facility the reassignment clause has limited application, but the gender-tailoring requirement still applies and should be stated.</w:t>
      </w:r>
    </w:p>
    <w:p>
      <w:pPr>
        <w:spacing w:after="160"/>
      </w:pPr>
    </w:p>
    <w:p>
      <w:pPr>
        <w:pStyle w:val="Heading3"/>
        <w:keepNext/>
      </w:pPr>
      <w:r>
        <w:t xml:space="preserve">27. 28 CFR 115.333(c)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Residents receive education upon transfer to a different facility to the extent the new facility's policies and procedures differ.</w:t>
      </w:r>
    </w:p>
    <w:p>
      <w:pPr>
        <w:spacing w:after="120" w:line="276"/>
      </w:pPr>
      <w:r>
        <w:rPr>
          <w:b/>
          <w:bCs/>
          <w:color w:val="1A1A1A"/>
        </w:rPr>
        <w:t xml:space="preserve">Divergence. </w:t>
      </w:r>
      <w:r>
        <w:rPr>
          <w:color w:val="1A1A1A"/>
        </w:rPr>
        <w:t xml:space="preserve">No transfer-triggered re-education requirement. Relevant to movement between YDF and any other departmentally operated juvenile facility.</w:t>
      </w:r>
    </w:p>
    <w:p>
      <w:pPr>
        <w:spacing w:after="160"/>
      </w:pPr>
    </w:p>
    <w:p>
      <w:pPr>
        <w:pStyle w:val="Heading3"/>
        <w:keepNext/>
      </w:pPr>
      <w:r>
        <w:t xml:space="preserve">29. 28 CFR 115.334(a)-(d)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(eff. 01/11/2011) VII, VIII</w:t>
            </w:r>
          </w:p>
        </w:tc>
      </w:tr>
    </w:tbl>
    <w:p>
      <w:pPr>
        <w:spacing w:after="80"/>
      </w:pPr>
    </w:p>
    <w:p>
      <w:pPr>
        <w:spacing w:after="120" w:line="276"/>
      </w:pPr>
      <w:r>
        <w:rPr>
          <w:b/>
          <w:bCs/>
          <w:color w:val="1A1A1A"/>
        </w:rPr>
        <w:t xml:space="preserve">The standard requires. </w:t>
      </w:r>
      <w:r>
        <w:rPr>
          <w:color w:val="1A1A1A"/>
        </w:rPr>
        <w:t xml:space="preserve">Investigators who conduct sexual abuse investigations must receive specialized training covering techniques for interviewing juvenile victims, proper use of Miranda and Garrity warnings, evidence collection in confinement settings, and the criteria and evidence required to substantiate a case for administrative action or prosecution referral; maintain documentation.</w:t>
      </w:r>
    </w:p>
    <w:p>
      <w:pPr>
        <w:spacing w:after="120" w:line="276"/>
      </w:pPr>
      <w:r>
        <w:rPr>
          <w:b/>
          <w:bCs/>
          <w:color w:val="1A1A1A"/>
        </w:rPr>
        <w:t xml:space="preserve">Divergence. </w:t>
      </w:r>
      <w:r>
        <w:rPr>
          <w:color w:val="1A1A1A"/>
        </w:rPr>
        <w:t xml:space="preserve">The Internal Affairs policy confirms the department conducts its own administrative investigations of employee misconduct, so this standard applies squarely. Section VII requires an Administrative Admonishment or a Lybarger warning before every interview or interrogation, which is the California analog of the Garrity element of 115.334(b), and section VIII sets out interrogation conduct rules. What is absent is the training itself: no requirement that investigators be trained in techniques for interviewing juvenile sexual abuse victims, in sexual abuse evidence collection in confinement settings, or in the criteria and evidence required to substantiate a case for administrative action or prosecution referral, and no documentation that investigators completed such training.</w:t>
      </w:r>
    </w:p>
    <w:p>
      <w:pPr>
        <w:spacing w:after="240" w:line="260"/>
      </w:pPr>
      <w:r>
        <w:rPr>
          <w:i/>
          <w:iCs/>
          <w:color w:val="5A5A5A"/>
          <w:sz w:val="19"/>
          <w:szCs w:val="19"/>
        </w:rPr>
        <w:t xml:space="preserve">Change log: REVISED: gap text updated. IA policy confirms the standard applies and supplies the Lybarger element only.</w:t>
      </w:r>
    </w:p>
    <w:p>
      <w:pPr>
        <w:pStyle w:val="Heading3"/>
        <w:keepNext/>
      </w:pPr>
      <w:r>
        <w:t xml:space="preserve">20. 28 CFR 115.331(a); 15 CCR 1322, 1324(d)-(e)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(a-g); OO 1322 III.B.1.e</w:t>
            </w:r>
          </w:p>
        </w:tc>
      </w:tr>
    </w:tbl>
    <w:p>
      <w:pPr>
        <w:spacing w:after="80"/>
      </w:pPr>
    </w:p>
    <w:p>
      <w:pPr>
        <w:spacing w:after="120" w:line="276"/>
      </w:pPr>
      <w:r>
        <w:rPr>
          <w:b/>
          <w:bCs/>
          <w:color w:val="1A1A1A"/>
        </w:rPr>
        <w:t xml:space="preserve">The standard requires. </w:t>
      </w:r>
      <w:r>
        <w:rPr>
          <w:color w:val="1A1A1A"/>
        </w:rPr>
        <w:t xml:space="preserve">Train all employees who may have contact with residents on 11 enumerated topics, including the zero tolerance policy, their responsibilities under it, residents' right to be free from abuse and harassment, freedom from retaliation, dynamics of abuse in juvenile facilities, common reactions of juvenile victims, detection and response, avoiding inappropriate relationships, professional communication including with LGBTQI youth, mandatory reporting laws, and the applicable age of consent.</w:t>
      </w:r>
    </w:p>
    <w:p>
      <w:pPr>
        <w:spacing w:after="120" w:line="276"/>
      </w:pPr>
      <w:r>
        <w:rPr>
          <w:b/>
          <w:bCs/>
          <w:color w:val="1A1A1A"/>
        </w:rPr>
        <w:t xml:space="preserve">Divergence. </w:t>
      </w:r>
      <w:r>
        <w:rPr>
          <w:color w:val="1A1A1A"/>
        </w:rPr>
        <w:t xml:space="preserve">Seven of the eleven topics are present. Missing: the zero tolerance policy itself as a training subject; how to fulfill responsibilities under the agency's prevention, detection, reporting and response procedures; residents' right to be free from sexual abuse and harassment; the right of residents and employees to be free from retaliation; and relevant laws on the applicable age of consent.</w:t>
      </w:r>
    </w:p>
    <w:p>
      <w:pPr>
        <w:spacing w:after="160"/>
      </w:pPr>
    </w:p>
    <w:p>
      <w:pPr>
        <w:pStyle w:val="Heading3"/>
        <w:keepNext/>
      </w:pPr>
      <w:r>
        <w:t xml:space="preserve">23. 28 CFR 115.331(d)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(Acknowledgement Form for reading the policy)</w:t>
            </w:r>
          </w:p>
        </w:tc>
      </w:tr>
    </w:tbl>
    <w:p>
      <w:pPr>
        <w:spacing w:after="80"/>
      </w:pPr>
    </w:p>
    <w:p>
      <w:pPr>
        <w:spacing w:after="120" w:line="276"/>
      </w:pPr>
      <w:r>
        <w:rPr>
          <w:b/>
          <w:bCs/>
          <w:color w:val="1A1A1A"/>
        </w:rPr>
        <w:t xml:space="preserve">The standard requires. </w:t>
      </w:r>
      <w:r>
        <w:rPr>
          <w:color w:val="1A1A1A"/>
        </w:rPr>
        <w:t xml:space="preserve">Document, through employee signature or electronic verification, that employees understand the training they received.</w:t>
      </w:r>
    </w:p>
    <w:p>
      <w:pPr>
        <w:spacing w:after="120" w:line="276"/>
      </w:pPr>
      <w:r>
        <w:rPr>
          <w:b/>
          <w:bCs/>
          <w:color w:val="1A1A1A"/>
        </w:rPr>
        <w:t xml:space="preserve">Divergence. </w:t>
      </w:r>
      <w:r>
        <w:rPr>
          <w:color w:val="1A1A1A"/>
        </w:rPr>
        <w:t xml:space="preserve">The existing acknowledgement confirms the employee read and understood the policy, not that the employee understood the training. Add a training-comprehension attestation to the roster or LMS record.</w:t>
      </w:r>
    </w:p>
    <w:p>
      <w:pPr>
        <w:spacing w:after="160"/>
      </w:pPr>
    </w:p>
    <w:p>
      <w:pPr>
        <w:pStyle w:val="Heading3"/>
        <w:keepNext/>
      </w:pPr>
      <w:r>
        <w:t xml:space="preserve">24. 28 CFR 115.332(a)-(c); 15 CCR 1324(e)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II.A.1-2; Code of Conduct (Non-Sworn and Non-County Personnel), VIII Acknowledgment</w:t>
            </w:r>
          </w:p>
        </w:tc>
      </w:tr>
    </w:tbl>
    <w:p>
      <w:pPr>
        <w:spacing w:after="80"/>
      </w:pPr>
    </w:p>
    <w:p>
      <w:pPr>
        <w:spacing w:after="120" w:line="276"/>
      </w:pPr>
      <w:r>
        <w:rPr>
          <w:b/>
          <w:bCs/>
          <w:color w:val="1A1A1A"/>
        </w:rPr>
        <w:t xml:space="preserve">The standard requires. </w:t>
      </w:r>
      <w:r>
        <w:rPr>
          <w:color w:val="1A1A1A"/>
        </w:rPr>
        <w:t xml:space="preserve">Train all volunteers and contractors who have contact with residents on their responsibilities under the agency's prevention, detection, and response policies, at a level based on the services provided and level of contact, and maintain documentation confirming they understand the training.</w:t>
      </w:r>
    </w:p>
    <w:p>
      <w:pPr>
        <w:spacing w:after="120" w:line="276"/>
      </w:pPr>
      <w:r>
        <w:rPr>
          <w:b/>
          <w:bCs/>
          <w:color w:val="1A1A1A"/>
        </w:rPr>
        <w:t xml:space="preserve">Divergence. </w:t>
      </w:r>
      <w:r>
        <w:rPr>
          <w:color w:val="1A1A1A"/>
        </w:rPr>
        <w:t xml:space="preserve">Volunteers and contractors are covered by the training sentence and sign a Code of Conduct affirmation. Missing: tiering of training level to level of resident contact, and documentation confirming comprehension of the training rather than receipt of the Code of Conduct. Note the Code of Conduct itself is dated 06/01/11 and contains no PREA content whatsoever, no zero tolerance statement, and no instruction on how to report sexual abuse, which 115.332(b) requires be given to every volunteer and contractor.</w:t>
      </w:r>
    </w:p>
    <w:p>
      <w:pPr>
        <w:spacing w:after="160"/>
      </w:pPr>
    </w:p>
    <w:p>
      <w:pPr>
        <w:pStyle w:val="Heading3"/>
        <w:keepNext/>
      </w:pPr>
      <w:r>
        <w:t xml:space="preserve">22. 28 CFR 115.331(c); 15 CCR 1322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II.A.2 ('annually thereafter'); OO 1322 III.B.1.e</w:t>
            </w:r>
          </w:p>
        </w:tc>
      </w:tr>
    </w:tbl>
    <w:p>
      <w:pPr>
        <w:spacing w:after="80"/>
      </w:pPr>
    </w:p>
    <w:p>
      <w:pPr>
        <w:spacing w:after="120" w:line="276"/>
      </w:pPr>
      <w:r>
        <w:rPr>
          <w:b/>
          <w:bCs/>
          <w:color w:val="1A1A1A"/>
        </w:rPr>
        <w:t xml:space="preserve">The standard requires. </w:t>
      </w:r>
      <w:r>
        <w:rPr>
          <w:color w:val="1A1A1A"/>
        </w:rPr>
        <w:t xml:space="preserve">Refresher training every two years, with refresher information on current policies in the intervening years.</w:t>
      </w:r>
    </w:p>
    <w:p>
      <w:pPr>
        <w:spacing w:after="120" w:line="276"/>
      </w:pPr>
      <w:r>
        <w:rPr>
          <w:b/>
          <w:bCs/>
          <w:color w:val="1A1A1A"/>
        </w:rPr>
        <w:t xml:space="preserve">Divergence. </w:t>
      </w:r>
      <w:r>
        <w:rPr>
          <w:color w:val="1A1A1A"/>
        </w:rPr>
        <w:t xml:space="preserve">Annual PREA training exceeds the biennial federal minimum. Retain this. Verify that delivery and rosters actually match the policy, since audits test attendance records rather than policy text.</w:t>
      </w:r>
    </w:p>
    <w:p>
      <w:pPr>
        <w:spacing w:after="160"/>
      </w:pPr>
    </w:p>
    <w:p>
      <w:pPr>
        <w:pStyle w:val="Heading3"/>
        <w:keepNext/>
      </w:pPr>
      <w:r>
        <w:t xml:space="preserve">25. 28 CFR 115.333(a); 15 CCR 1353(c)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II.B.1</w:t>
            </w:r>
          </w:p>
        </w:tc>
      </w:tr>
    </w:tbl>
    <w:p>
      <w:pPr>
        <w:spacing w:after="80"/>
      </w:pPr>
    </w:p>
    <w:p>
      <w:pPr>
        <w:spacing w:after="120" w:line="276"/>
      </w:pPr>
      <w:r>
        <w:rPr>
          <w:b/>
          <w:bCs/>
          <w:color w:val="1A1A1A"/>
        </w:rPr>
        <w:t xml:space="preserve">The standard requires. </w:t>
      </w:r>
      <w:r>
        <w:rPr>
          <w:color w:val="1A1A1A"/>
        </w:rPr>
        <w:t xml:space="preserve">At intake, provide age-appropriate information explaining the zero tolerance policy and how to report incidents or suspicions of sexual abuse or sexual harassment.</w:t>
      </w:r>
    </w:p>
    <w:p>
      <w:pPr>
        <w:spacing w:after="120" w:line="276"/>
      </w:pPr>
      <w:r>
        <w:rPr>
          <w:b/>
          <w:bCs/>
          <w:color w:val="1A1A1A"/>
        </w:rPr>
        <w:t xml:space="preserve">Divergence. </w:t>
      </w:r>
      <w:r>
        <w:rPr>
          <w:color w:val="1A1A1A"/>
        </w:rPr>
        <w:t xml:space="preserve">Verbal and written intake information covering zero tolerance, prevention and intervention, reporting, and treatment is required. Confirm the Detention and Intake Responsibility policy is updated to reference it, since that policy contains no PREA content at all.</w:t>
      </w:r>
    </w:p>
    <w:p>
      <w:pPr>
        <w:spacing w:after="160"/>
      </w:pPr>
    </w:p>
    <w:p>
      <w:pPr>
        <w:pStyle w:val="Heading3"/>
        <w:keepNext/>
      </w:pPr>
      <w:r>
        <w:t xml:space="preserve">26. 28 CFR 115.333(b), (e)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II.B.3</w:t>
            </w:r>
          </w:p>
        </w:tc>
      </w:tr>
    </w:tbl>
    <w:p>
      <w:pPr>
        <w:spacing w:after="80"/>
      </w:pPr>
    </w:p>
    <w:p>
      <w:pPr>
        <w:spacing w:after="120" w:line="276"/>
      </w:pPr>
      <w:r>
        <w:rPr>
          <w:b/>
          <w:bCs/>
          <w:color w:val="1A1A1A"/>
        </w:rPr>
        <w:t xml:space="preserve">The standard requires. </w:t>
      </w:r>
      <w:r>
        <w:rPr>
          <w:color w:val="1A1A1A"/>
        </w:rPr>
        <w:t xml:space="preserve">Within 10 days of intake, provide comprehensive age-appropriate education, in person or by video, on the right to be free from sexual abuse and harassment and from retaliation, and on agency response procedures; maintain documentation of resident participation.</w:t>
      </w:r>
    </w:p>
    <w:p>
      <w:pPr>
        <w:spacing w:after="120" w:line="276"/>
      </w:pPr>
      <w:r>
        <w:rPr>
          <w:b/>
          <w:bCs/>
          <w:color w:val="1A1A1A"/>
        </w:rPr>
        <w:t xml:space="preserve">Divergence. </w:t>
      </w:r>
      <w:r>
        <w:rPr>
          <w:color w:val="1A1A1A"/>
        </w:rPr>
        <w:t xml:space="preserve">The 10-day requirement, the in-person or video delivery option, and documentation of participation are all present.</w:t>
      </w:r>
    </w:p>
    <w:p>
      <w:pPr>
        <w:spacing w:after="160"/>
      </w:pPr>
    </w:p>
    <w:p>
      <w:pPr>
        <w:pStyle w:val="Heading3"/>
        <w:keepNext/>
      </w:pPr>
      <w:r>
        <w:t xml:space="preserve">28. 28 CFR 115.333(d), (f); 15 CCR 1353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II.B.2, II.B.4, II.B.5</w:t>
            </w:r>
          </w:p>
        </w:tc>
      </w:tr>
    </w:tbl>
    <w:p>
      <w:pPr>
        <w:spacing w:after="80"/>
      </w:pPr>
    </w:p>
    <w:p>
      <w:pPr>
        <w:spacing w:after="120" w:line="276"/>
      </w:pPr>
      <w:r>
        <w:rPr>
          <w:b/>
          <w:bCs/>
          <w:color w:val="1A1A1A"/>
        </w:rPr>
        <w:t xml:space="preserve">The standard requires. </w:t>
      </w:r>
      <w:r>
        <w:rPr>
          <w:color w:val="1A1A1A"/>
        </w:rPr>
        <w:t xml:space="preserve">Provide education in formats accessible to LEP, deaf, visually impaired, otherwise disabled, and limited-reading residents, and ensure key information is continuously and readily available through posters, handbooks, or other written formats.</w:t>
      </w:r>
    </w:p>
    <w:p>
      <w:pPr>
        <w:spacing w:after="120" w:line="276"/>
      </w:pPr>
      <w:r>
        <w:rPr>
          <w:b/>
          <w:bCs/>
          <w:color w:val="1A1A1A"/>
        </w:rPr>
        <w:t xml:space="preserve">Divergence. </w:t>
      </w:r>
      <w:r>
        <w:rPr>
          <w:color w:val="1A1A1A"/>
        </w:rPr>
        <w:t xml:space="preserve">Resident handbook, posted PREA notices with reporting telephone numbers in housing units, clinic, visiting, mental health offices, and booking and release areas, and accommodations for LEP and disabled youth are all required by policy.</w:t>
      </w:r>
    </w:p>
    <w:p>
      <w:pPr>
        <w:spacing w:after="160"/>
      </w:pPr>
    </w:p>
    <w:p>
      <w:pPr>
        <w:pStyle w:val="Heading3"/>
        <w:keepNext/>
      </w:pPr>
      <w:r>
        <w:t xml:space="preserve">30. 28 CFR 115.335(a)-(d)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IX.A.1-4 and Note</w:t>
            </w:r>
          </w:p>
        </w:tc>
      </w:tr>
    </w:tbl>
    <w:p>
      <w:pPr>
        <w:spacing w:after="80"/>
      </w:pPr>
    </w:p>
    <w:p>
      <w:pPr>
        <w:spacing w:after="120" w:line="276"/>
      </w:pPr>
      <w:r>
        <w:rPr>
          <w:b/>
          <w:bCs/>
          <w:color w:val="1A1A1A"/>
        </w:rPr>
        <w:t xml:space="preserve">The standard requires. </w:t>
      </w:r>
      <w:r>
        <w:rPr>
          <w:color w:val="1A1A1A"/>
        </w:rPr>
        <w:t xml:space="preserve">Train all full- and part-time medical and mental health practitioners who work regularly in the facility to detect and assess signs of sexual abuse, preserve physical evidence, respond effectively to juvenile victims, and know how and to whom to report; document the training; ensure they also receive employee or contractor training.</w:t>
      </w:r>
    </w:p>
    <w:p>
      <w:pPr>
        <w:spacing w:after="120" w:line="276"/>
      </w:pPr>
      <w:r>
        <w:rPr>
          <w:b/>
          <w:bCs/>
          <w:color w:val="1A1A1A"/>
        </w:rPr>
        <w:t xml:space="preserve">Divergence. </w:t>
      </w:r>
      <w:r>
        <w:rPr>
          <w:color w:val="1A1A1A"/>
        </w:rPr>
        <w:t xml:space="preserve">All four required subjects are stated, plus the forensic examination training and documentation caveat. Confirm training records for clinic and mental health staff are actually retained on file at YDF as the policy note requires.</w:t>
      </w:r>
    </w:p>
    <w:p>
      <w:pPr>
        <w:spacing w:after="160"/>
      </w:pPr>
    </w:p>
    <w:p>
      <w:pPr>
        <w:pStyle w:val="Heading2"/>
      </w:pPr>
      <w:r>
        <w:t xml:space="preserve">Screening</w:t>
      </w:r>
    </w:p>
    <w:p>
      <w:pPr>
        <w:pStyle w:val="Heading3"/>
        <w:keepNext/>
      </w:pPr>
      <w:r>
        <w:t xml:space="preserve">36. 28 CFR 115.342(c); 15 CCR 1352(e)-(f)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II.M (S-8), III.I; OO 1352.5 III.H; PREA Policy III.E</w:t>
            </w:r>
          </w:p>
        </w:tc>
      </w:tr>
    </w:tbl>
    <w:p>
      <w:pPr>
        <w:spacing w:after="80"/>
      </w:pPr>
    </w:p>
    <w:p>
      <w:pPr>
        <w:spacing w:after="120" w:line="276"/>
      </w:pPr>
      <w:r>
        <w:rPr>
          <w:b/>
          <w:bCs/>
          <w:color w:val="1A1A1A"/>
        </w:rPr>
        <w:t xml:space="preserve">The standard requires. </w:t>
      </w:r>
      <w:r>
        <w:rPr>
          <w:color w:val="1A1A1A"/>
        </w:rPr>
        <w:t xml:space="preserve">LGBTI residents shall not be placed in particular housing, bed, or other assignments solely on the basis of that identification or status, and such status shall not be considered an indicator of likelihood of being sexually abusive.</w:t>
      </w:r>
    </w:p>
    <w:p>
      <w:pPr>
        <w:spacing w:after="120" w:line="276"/>
      </w:pPr>
      <w:r>
        <w:rPr>
          <w:b/>
          <w:bCs/>
          <w:color w:val="1A1A1A"/>
        </w:rPr>
        <w:t xml:space="preserve">Divergence. </w:t>
      </w:r>
      <w:r>
        <w:rPr>
          <w:color w:val="1A1A1A"/>
        </w:rPr>
        <w:t xml:space="preserve">Unchanged as a finding and now supported by a fourth internal contradiction. OO 1352 II.M creates classification S-8 for any LGBTQI youth and III.I requires single-room housing at all times for S-8. That conflicts with 115.342(c), with 15 CCR 1352(e), with the Purpose and Scope paragraph of OO 1352 itself, with PREA Policy III.E, and now with OO 1352.5 III.H, which states that staff shall not consider a youth's sexual orientation or gender identity as a reason to isolate or withhold program options. OO 1352.5 took effect March 1, 2019. OO 1352 created S-8 effective December 9, 2019 and was revised February 27, 2020. The department adopted the correct rule first and then adopted the opposite rule twice afterward. Note that S-8 is materially broader than the OO 1352.5 III.I provision, because it sweeps in lesbian, gay, bisexual, and questioning youth for whom no anatomical privacy rationale exists at all.</w:t>
      </w:r>
    </w:p>
    <w:p>
      <w:pPr>
        <w:spacing w:after="240" w:line="260"/>
      </w:pPr>
      <w:r>
        <w:rPr>
          <w:i/>
          <w:iCs/>
          <w:color w:val="5A5A5A"/>
          <w:sz w:val="19"/>
          <w:szCs w:val="19"/>
        </w:rPr>
        <w:t xml:space="preserve">Change log: REVISED in 3: OO 1352.5 III.H adds a fourth internal contradiction and a damaging chronology.</w:t>
      </w:r>
    </w:p>
    <w:p>
      <w:pPr>
        <w:pStyle w:val="Heading3"/>
        <w:keepNext/>
      </w:pPr>
      <w:r>
        <w:t xml:space="preserve">37. 28 CFR 115.342(d)-(g); 15 CCR 1352.5(a)-(e)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II.A-D, III.A-K</w:t>
            </w:r>
          </w:p>
        </w:tc>
      </w:tr>
    </w:tbl>
    <w:p>
      <w:pPr>
        <w:spacing w:after="80"/>
      </w:pPr>
    </w:p>
    <w:p>
      <w:pPr>
        <w:spacing w:after="120" w:line="276"/>
      </w:pPr>
      <w:r>
        <w:rPr>
          <w:b/>
          <w:bCs/>
          <w:color w:val="1A1A1A"/>
        </w:rPr>
        <w:t xml:space="preserve">The standard requires. </w:t>
      </w:r>
      <w:r>
        <w:rPr>
          <w:color w:val="1A1A1A"/>
        </w:rPr>
        <w:t xml:space="preserve">Decide transgender and intersex facility, housing, and program assignments case by case considering health, safety, and management concerns; reassess at least twice yearly; give serious consideration to the resident's own views on safety; provide the opportunity to shower separately.</w:t>
      </w:r>
    </w:p>
    <w:p>
      <w:pPr>
        <w:spacing w:after="120" w:line="276"/>
      </w:pPr>
      <w:r>
        <w:rPr>
          <w:b/>
          <w:bCs/>
          <w:color w:val="1A1A1A"/>
        </w:rPr>
        <w:t xml:space="preserve">Divergence. </w:t>
      </w:r>
      <w:r>
        <w:rPr>
          <w:color w:val="1A1A1A"/>
        </w:rPr>
        <w:t xml:space="preserve">Nearly everything required is present, and one provision undoes part of it. Present and in two places exceeding the standard: individualized assessment at admission with an Identity Preference Form (III.A); no automatic housing by external anatomy and documented reasons for any placement not matching gender identity (III.B); consideration of the youth's preferences and provider recommendations (III.C), which closes 115.342(f); housing based on individualized needs prioritizing emotional and physical safety and considering the youth's own perception of where they will be most secure, documented in JPIP classification comments with date and justification (III.F); reassessment of placement and program assignment monthly or as needed (III.G), which exceeds the twice-yearly minimum at 115.342(e); a prohibition on considering sexual orientation or gender identity as a reason to isolate or withhold program options (III.H); private showers for all youth (III.J), which closes 115.342(g); and preservation of program participation despite private accommodations (III.K). The defect is III.I: all transgender and intersex youth shall be provided a single room. That is a categorical housing outcome assigned by status, which is what 115.342(c) and 15 CCR 1352(e) prohibit, and it contradicts III.B, III.F, and III.H within the same order. This version is more defensible than the S-8 mandate in OO 1352 because it is limited to transgender and intersex youth, states a privacy and safety rationale, and preserves program access, but categorical is still categorical. The fix is narrow: make a single room the presumptive result of the III.F individualized determination with documented reasons, rather than an automatic rule.</w:t>
      </w:r>
    </w:p>
    <w:p>
      <w:pPr>
        <w:spacing w:after="240" w:line="260"/>
      </w:pPr>
      <w:r>
        <w:rPr>
          <w:i/>
          <w:iCs/>
          <w:color w:val="5A5A5A"/>
          <w:sz w:val="19"/>
          <w:szCs w:val="19"/>
        </w:rPr>
        <w:t xml:space="preserve">Change log: MATERIALLY REVISED in 3: was Not Evidenced. OO 1352.5 largely closes the standard; III.I is a discrete conflict.</w:t>
      </w:r>
    </w:p>
    <w:p>
      <w:pPr>
        <w:pStyle w:val="Heading3"/>
        <w:keepNext/>
      </w:pPr>
      <w:r>
        <w:t xml:space="preserve">80. 28 CFR 115.341(c), 115.342; 15 CCR 1350.5(a)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II.F.2 and note; II.G, II.H (S-4 High and S-4 Low criteria); III.E</w:t>
            </w:r>
          </w:p>
        </w:tc>
      </w:tr>
    </w:tbl>
    <w:p>
      <w:pPr>
        <w:spacing w:after="80"/>
      </w:pPr>
    </w:p>
    <w:p>
      <w:pPr>
        <w:spacing w:after="120" w:line="276"/>
      </w:pPr>
      <w:r>
        <w:rPr>
          <w:b/>
          <w:bCs/>
          <w:color w:val="1A1A1A"/>
        </w:rPr>
        <w:t xml:space="preserve">The standard requires. </w:t>
      </w:r>
      <w:r>
        <w:rPr>
          <w:color w:val="1A1A1A"/>
        </w:rPr>
        <w:t xml:space="preserve">Screen for prior sexual victimization and for prior sexual abusiveness as distinct risk factors, and use the results to keep residents safe; do not treat a youth's own victimization as an indicator of likely abusiveness.</w:t>
      </w:r>
    </w:p>
    <w:p>
      <w:pPr>
        <w:spacing w:after="120" w:line="276"/>
      </w:pPr>
      <w:r>
        <w:rPr>
          <w:b/>
          <w:bCs/>
          <w:color w:val="1A1A1A"/>
        </w:rPr>
        <w:t xml:space="preserve">Divergence. </w:t>
      </w:r>
      <w:r>
        <w:rPr>
          <w:color w:val="1A1A1A"/>
        </w:rPr>
        <w:t xml:space="preserve">Two problems in the S-4 classification. First, the note at II.F.2 states that a youth with a history of being a victim of molest, arson, or cruelty to animals 'should alert the Classification Officer for possible sexually inappropriate tendencies.' That instructs staff to treat a youth's own sexual victimization as a predictor of sexual abusiveness. The Macdonald triad on which the molest, arson, and animal cruelty grouping rests has not held up, and the victim-to-perpetrator inference runs against 115.341(c), which lists prior victimization and prior abusiveness as separate factors serving different purposes. In litigation this single sentence is a gift to a plaintiff's expert. Second, S-4 as a code mixes populations: S-4 High captures youth with sex offense adjudications, while S-4 Low captures both youth who act out sexually and youth who have been victims of sexual abuse or are susceptible to victimization. To the department's credit the housing matrix at III.E keeps S-4 Low away from S-4 High and from S-3 moderate and high and S-5, so the operational outcome is sound. The defect is in the classification logic and its documentation, which will not survive an auditor tracing how victimization risk and abusiveness risk are separately assessed and separately acted on. Split the code and delete the note.</w:t>
      </w:r>
    </w:p>
    <w:p>
      <w:pPr>
        <w:spacing w:after="240" w:line="260"/>
      </w:pPr>
      <w:r>
        <w:rPr>
          <w:i/>
          <w:iCs/>
          <w:color w:val="5A5A5A"/>
          <w:sz w:val="19"/>
          <w:szCs w:val="19"/>
        </w:rPr>
        <w:t xml:space="preserve">Change log: NEW in revision 2, from OO 1352.</w:t>
      </w:r>
    </w:p>
    <w:p>
      <w:pPr>
        <w:pStyle w:val="Heading3"/>
        <w:keepNext/>
      </w:pPr>
      <w:r>
        <w:t xml:space="preserve">32. 28 CFR 115.341(b)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I.B.6 (MAYSI-2), I.B.12 (CATS, ATV), II.F-H (S-4 criteria)</w:t>
            </w:r>
          </w:p>
        </w:tc>
      </w:tr>
    </w:tbl>
    <w:p>
      <w:pPr>
        <w:spacing w:after="80"/>
      </w:pPr>
    </w:p>
    <w:p>
      <w:pPr>
        <w:spacing w:after="120" w:line="276"/>
      </w:pPr>
      <w:r>
        <w:rPr>
          <w:b/>
          <w:bCs/>
          <w:color w:val="1A1A1A"/>
        </w:rPr>
        <w:t xml:space="preserve">The standard requires. </w:t>
      </w:r>
      <w:r>
        <w:rPr>
          <w:color w:val="1A1A1A"/>
        </w:rPr>
        <w:t xml:space="preserve">Assessments shall be conducted using an objective screening instrument.</w:t>
      </w:r>
    </w:p>
    <w:p>
      <w:pPr>
        <w:spacing w:after="120" w:line="276"/>
      </w:pPr>
      <w:r>
        <w:rPr>
          <w:b/>
          <w:bCs/>
          <w:color w:val="1A1A1A"/>
        </w:rPr>
        <w:t xml:space="preserve">Divergence. </w:t>
      </w:r>
      <w:r>
        <w:rPr>
          <w:color w:val="1A1A1A"/>
        </w:rPr>
        <w:t xml:space="preserve">The department does use objective instruments, but none of them screens for sexual abuse risk. MAYSI-2 is administered, scored, and acted on before any housing assignment, and CATS and ATV are completed at classification, but these are mental health, suicide, trauma, and violence instruments. The S-4 classification supplies structured criteria for sexual risk and is the closest thing in the packet to an instrument, but it is applied on a totality-of-circumstances judgment by the Classification Officer rather than through a scored instrument, and it does not capture the 11 factors of 115.341(c) and 15 CCR 1350.5. Adopt a validated or structured sexual abuse risk instrument producing a documented, reviewable output.</w:t>
      </w:r>
    </w:p>
    <w:p>
      <w:pPr>
        <w:spacing w:after="240" w:line="260"/>
      </w:pPr>
      <w:r>
        <w:rPr>
          <w:i/>
          <w:iCs/>
          <w:color w:val="5A5A5A"/>
          <w:sz w:val="19"/>
          <w:szCs w:val="19"/>
        </w:rPr>
        <w:t xml:space="preserve">Change log: REVISED: gap text updated to credit MAYSI-2, CATS, ATV, and the S-4 criteria while explaining why none satisfies the standard.</w:t>
      </w:r>
    </w:p>
    <w:p>
      <w:pPr>
        <w:pStyle w:val="Heading3"/>
        <w:keepNext/>
      </w:pPr>
      <w:r>
        <w:t xml:space="preserve">31. 28 CFR 115.341(a);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 OO 1352 (Classification) V.A-C</w:t>
            </w:r>
          </w:p>
        </w:tc>
      </w:tr>
    </w:tbl>
    <w:p>
      <w:pPr>
        <w:spacing w:after="80"/>
      </w:pPr>
    </w:p>
    <w:p>
      <w:pPr>
        <w:spacing w:after="120" w:line="276"/>
      </w:pPr>
      <w:r>
        <w:rPr>
          <w:b/>
          <w:bCs/>
          <w:color w:val="1A1A1A"/>
        </w:rPr>
        <w:t xml:space="preserve">The standard requires. </w:t>
      </w:r>
      <w:r>
        <w:rPr>
          <w:color w:val="1A1A1A"/>
        </w:rPr>
        <w:t xml:space="preserve">Within 72 hours of arrival and periodically throughout confinement, obtain and use information about each resident's personal history and behavior to reduce the risk of sexual abuse by or upon that resident.</w:t>
      </w:r>
    </w:p>
    <w:p>
      <w:pPr>
        <w:spacing w:after="120" w:line="276"/>
      </w:pPr>
      <w:r>
        <w:rPr>
          <w:b/>
          <w:bCs/>
          <w:color w:val="1A1A1A"/>
        </w:rPr>
        <w:t xml:space="preserve">Divergence. </w:t>
      </w:r>
      <w:r>
        <w:rPr>
          <w:color w:val="1A1A1A"/>
        </w:rPr>
        <w:t xml:space="preserve">The 72-hour initial assessment is required and matches Title 15. On periodic reassessment, OO 1352 V now supplies a partial answer: a classification review at 90 days and every 90 days thereafter, following any major disciplinary action or emergency circumstance, and on the request of a Duty Supervisor, Mental Health, or Medical staff. Two limits. First, most youth are released well before 90 days, so the interval review will rarely trigger. Second, this is a security classification review, not a reassessment against the 11 sexual abuse risk factors. Add an express PREA reassessment trigger set: on receipt of new information, after any sexual abuse allegation or incident, on referral by staff or a clinician, and at the youth's request.</w:t>
      </w:r>
    </w:p>
    <w:p>
      <w:pPr>
        <w:spacing w:after="240" w:line="260"/>
      </w:pPr>
      <w:r>
        <w:rPr>
          <w:i/>
          <w:iCs/>
          <w:color w:val="5A5A5A"/>
          <w:sz w:val="19"/>
          <w:szCs w:val="19"/>
        </w:rPr>
        <w:t xml:space="preserve">Change log: REVISED: OO 1352 V classification review cycle credited; gap narrowed and sharpened.</w:t>
      </w:r>
    </w:p>
    <w:p>
      <w:pPr>
        <w:pStyle w:val="Heading3"/>
        <w:keepNext/>
      </w:pPr>
      <w:r>
        <w:t xml:space="preserve">35. 28 CFR 115.342(b), (h)-(i); 15 CCR 1354, 1354.5; WIC 208.3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 OO 1352 III.E.1.a (S-4 High single room), III.I (S-8 single room)</w:t>
            </w:r>
          </w:p>
        </w:tc>
      </w:tr>
    </w:tbl>
    <w:p>
      <w:pPr>
        <w:spacing w:after="80"/>
      </w:pPr>
    </w:p>
    <w:p>
      <w:pPr>
        <w:spacing w:after="120" w:line="276"/>
      </w:pPr>
      <w:r>
        <w:rPr>
          <w:b/>
          <w:bCs/>
          <w:color w:val="1A1A1A"/>
        </w:rPr>
        <w:t xml:space="preserve">The standard requires. </w:t>
      </w:r>
      <w:r>
        <w:rPr>
          <w:color w:val="1A1A1A"/>
        </w:rPr>
        <w:t xml:space="preserve">Isolate residents only as a last resort when less restrictive measures are inadequate and only until an alternative can be arranged; do not deny daily large-muscle exercise or legally required education; provide daily visits from a medical or mental health clinician; document the basis for the safety concern and why no alternative separation is available; review every 30 days.</w:t>
      </w:r>
    </w:p>
    <w:p>
      <w:pPr>
        <w:spacing w:after="120" w:line="276"/>
      </w:pPr>
      <w:r>
        <w:rPr>
          <w:b/>
          <w:bCs/>
          <w:color w:val="1A1A1A"/>
        </w:rPr>
        <w:t xml:space="preserve">Divergence. </w:t>
      </w:r>
      <w:r>
        <w:rPr>
          <w:color w:val="1A1A1A"/>
        </w:rPr>
        <w:t xml:space="preserve">Last resort standard, daily large-muscle exercise, legally required education, and the 30-day review are present in PREA Policy III.D. Defects: the policy says 'regular visits from medical or mental health staff' where the standard requires daily visits from a clinician, and it does not require documentation of the basis for the safety concern or of why no alternative separation could be arranged. OO 1352 adds a further problem by mandating single-room housing at all times for S-4 High and for S-8 by category, without the individualized documentation 115.342(h) requires. All protective separation must also be reconciled with WIC 208.3 and 15 CCR 1354.5, which impose a four-hour review cycle and documented supervisor authorization. The PREA policy predates 208.3 and does not address the interaction.</w:t>
      </w:r>
    </w:p>
    <w:p>
      <w:pPr>
        <w:spacing w:after="240" w:line="260"/>
      </w:pPr>
      <w:r>
        <w:rPr>
          <w:i/>
          <w:iCs/>
          <w:color w:val="5A5A5A"/>
          <w:sz w:val="19"/>
          <w:szCs w:val="19"/>
        </w:rPr>
        <w:t xml:space="preserve">Change log: REVISED: OO 1352 categorical single-room rules added to the gap.</w:t>
      </w:r>
    </w:p>
    <w:p>
      <w:pPr>
        <w:pStyle w:val="Heading3"/>
        <w:keepNext/>
      </w:pPr>
      <w:r>
        <w:t xml:space="preserve">33. 28 CFR 115.341(c)-(e); 15 CCR 1350.5(a)-(k)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I.A.1-11</w:t>
            </w:r>
          </w:p>
        </w:tc>
      </w:tr>
    </w:tbl>
    <w:p>
      <w:pPr>
        <w:spacing w:after="80"/>
      </w:pPr>
    </w:p>
    <w:p>
      <w:pPr>
        <w:spacing w:after="120" w:line="276"/>
      </w:pPr>
      <w:r>
        <w:rPr>
          <w:b/>
          <w:bCs/>
          <w:color w:val="1A1A1A"/>
        </w:rPr>
        <w:t xml:space="preserve">The standard requires. </w:t>
      </w:r>
      <w:r>
        <w:rPr>
          <w:color w:val="1A1A1A"/>
        </w:rPr>
        <w:t xml:space="preserve">Ascertain the 11 enumerated risk factors through intake conversations, medical and mental health screenings, classification assessments, and record review; control dissemination of the responses so sensitive information is not exploited to the youth's detriment.</w:t>
      </w:r>
    </w:p>
    <w:p>
      <w:pPr>
        <w:spacing w:after="120" w:line="276"/>
      </w:pPr>
      <w:r>
        <w:rPr>
          <w:b/>
          <w:bCs/>
          <w:color w:val="1A1A1A"/>
        </w:rPr>
        <w:t xml:space="preserve">Divergence. </w:t>
      </w:r>
      <w:r>
        <w:rPr>
          <w:color w:val="1A1A1A"/>
        </w:rPr>
        <w:t xml:space="preserve">All 11 factors are reproduced and the information-source language tracks the regulation. Note the operational order omits the Title 15 sentence on controls over dissemination that appears in the Purpose and Scope section only as 'all classification material shall be confidential.' Restating the dissemination-control duty as an operative requirement would close the residual exposure.</w:t>
      </w:r>
    </w:p>
    <w:p>
      <w:pPr>
        <w:spacing w:after="160"/>
      </w:pPr>
    </w:p>
    <w:p>
      <w:pPr>
        <w:pStyle w:val="Heading3"/>
        <w:keepNext/>
      </w:pPr>
      <w:r>
        <w:t xml:space="preserve">34. 28 CFR 115.342(a); 15 CCR 1352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 (Classification), Purpose and Scope; I.B.9-11</w:t>
            </w:r>
          </w:p>
        </w:tc>
      </w:tr>
    </w:tbl>
    <w:p>
      <w:pPr>
        <w:spacing w:after="80"/>
      </w:pPr>
    </w:p>
    <w:p>
      <w:pPr>
        <w:spacing w:after="120" w:line="276"/>
      </w:pPr>
      <w:r>
        <w:rPr>
          <w:b/>
          <w:bCs/>
          <w:color w:val="1A1A1A"/>
        </w:rPr>
        <w:t xml:space="preserve">The standard requires. </w:t>
      </w:r>
      <w:r>
        <w:rPr>
          <w:color w:val="1A1A1A"/>
        </w:rPr>
        <w:t xml:space="preserve">Use screening information to make housing, bed, program, education, and work assignments with the goal of keeping residents safe from sexual abuse.</w:t>
      </w:r>
    </w:p>
    <w:p>
      <w:pPr>
        <w:spacing w:after="120" w:line="276"/>
      </w:pPr>
      <w:r>
        <w:rPr>
          <w:b/>
          <w:bCs/>
          <w:color w:val="1A1A1A"/>
        </w:rPr>
        <w:t xml:space="preserve">Divergence. </w:t>
      </w:r>
      <w:r>
        <w:rPr>
          <w:color w:val="1A1A1A"/>
        </w:rPr>
        <w:t xml:space="preserve">The Purpose and Scope paragraph states that the Classification Officer shall use all information obtained to make housing, bed, program, education, and work assignments for youth with the goal of keeping all youth safe and free from sexual abuse in accordance with the Prison Rape Elimination Act. That is the standard almost verbatim. One tightening step: OO 1350.5 should cross-reference OO 1352 so the screening output is expressly an input to classification.</w:t>
      </w:r>
    </w:p>
    <w:p>
      <w:pPr>
        <w:spacing w:after="240" w:line="260"/>
      </w:pPr>
      <w:r>
        <w:rPr>
          <w:i/>
          <w:iCs/>
          <w:color w:val="5A5A5A"/>
          <w:sz w:val="19"/>
          <w:szCs w:val="19"/>
        </w:rPr>
        <w:t xml:space="preserve">Change log: MATERIALLY REVISED: was Partial / High. OO 1352 states the standard nearly verbatim.</w:t>
      </w:r>
    </w:p>
    <w:p>
      <w:pPr>
        <w:pStyle w:val="Heading2"/>
      </w:pPr>
      <w:r>
        <w:t xml:space="preserve">Reporting</w:t>
      </w:r>
    </w:p>
    <w:p>
      <w:pPr>
        <w:pStyle w:val="Heading3"/>
        <w:keepNext/>
      </w:pPr>
      <w:r>
        <w:t xml:space="preserve">41. 28 CFR 115.351(e)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Provide a method for staff to privately report sexual abuse and sexual harassment of residents.</w:t>
      </w:r>
    </w:p>
    <w:p>
      <w:pPr>
        <w:spacing w:after="120" w:line="276"/>
      </w:pPr>
      <w:r>
        <w:rPr>
          <w:b/>
          <w:bCs/>
          <w:color w:val="1A1A1A"/>
        </w:rPr>
        <w:t xml:space="preserve">Divergence. </w:t>
      </w:r>
      <w:r>
        <w:rPr>
          <w:color w:val="1A1A1A"/>
        </w:rPr>
        <w:t xml:space="preserve">Reverts to Not Addressed. Revision 2.1 credited non-agency staff advocates as a possible private staff reporting route; the department confirms those advocates no longer exist. Staff therefore have no private channel for reporting sexual abuse or sexual harassment of a resident. The PREA policy and OO 1453 both route staff reports to the Duty Supervisor, which is not private where the suspected abuser is a supervisor or sits in the reporting staff member's chain of command. This is a discrete gap with a cheap fix: a confidential line, a named recipient outside the chain, or an express route to Internal Affairs stated in policy.</w:t>
      </w:r>
    </w:p>
    <w:p>
      <w:pPr>
        <w:spacing w:after="240" w:line="260"/>
      </w:pPr>
      <w:r>
        <w:rPr>
          <w:i/>
          <w:iCs/>
          <w:color w:val="5A5A5A"/>
          <w:sz w:val="19"/>
          <w:szCs w:val="19"/>
        </w:rPr>
        <w:t xml:space="preserve">Change log: REVISED in 3: downgraded from Partial. The advocates credited in revision 2.1 no longer exist.</w:t>
      </w:r>
    </w:p>
    <w:p>
      <w:pPr>
        <w:pStyle w:val="Heading3"/>
        <w:keepNext/>
      </w:pPr>
      <w:r>
        <w:t xml:space="preserve">44. 28 CFR 115.353(c)</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names WEAVE; no MOU located</w:t>
            </w:r>
          </w:p>
        </w:tc>
      </w:tr>
    </w:tbl>
    <w:p>
      <w:pPr>
        <w:spacing w:after="80"/>
      </w:pPr>
    </w:p>
    <w:p>
      <w:pPr>
        <w:spacing w:after="120" w:line="276"/>
      </w:pPr>
      <w:r>
        <w:rPr>
          <w:b/>
          <w:bCs/>
          <w:color w:val="1A1A1A"/>
        </w:rPr>
        <w:t xml:space="preserve">The standard requires. </w:t>
      </w:r>
      <w:r>
        <w:rPr>
          <w:color w:val="1A1A1A"/>
        </w:rPr>
        <w:t xml:space="preserve">Maintain or attempt to enter into memoranda of understanding or other agreements with community service providers able to provide confidential emotional support services related to sexual abuse; maintain copies of the agreements or documentation of attempts.</w:t>
      </w:r>
    </w:p>
    <w:p>
      <w:pPr>
        <w:spacing w:after="120" w:line="276"/>
      </w:pPr>
      <w:r>
        <w:rPr>
          <w:b/>
          <w:bCs/>
          <w:color w:val="1A1A1A"/>
        </w:rPr>
        <w:t xml:space="preserve">Divergence. </w:t>
      </w:r>
      <w:r>
        <w:rPr>
          <w:color w:val="1A1A1A"/>
        </w:rPr>
        <w:t xml:space="preserve">No MOU requirement and no evidence of an MOU with a rape crisis center or victim services provider, or of documented attempts to obtain one. Auditors request the agreement or the attempt documentation as a document review item and there is no way to pass this standard without one on file. The good news is that OO 1361 already names WEAVE as an available confidential support line, so an operating relationship exists in some form and formalizing it should be a short task rather than a new partnership.</w:t>
      </w:r>
    </w:p>
    <w:p>
      <w:pPr>
        <w:spacing w:after="240" w:line="260"/>
      </w:pPr>
      <w:r>
        <w:rPr>
          <w:i/>
          <w:iCs/>
          <w:color w:val="5A5A5A"/>
          <w:sz w:val="19"/>
          <w:szCs w:val="19"/>
        </w:rPr>
        <w:t xml:space="preserve">Change log: REVISED: was Critical. WEAVE relationship already referenced in policy, so this is a documentation task.</w:t>
      </w:r>
    </w:p>
    <w:p>
      <w:pPr>
        <w:pStyle w:val="Heading3"/>
        <w:keepNext/>
      </w:pPr>
      <w:r>
        <w:t xml:space="preserve">46. 28 CFR 115.354; 15 CCR 1324(n)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Establish a method to receive third-party reports of sexual abuse and sexual harassment and distribute publicly information on how to report on behalf of a resident.</w:t>
      </w:r>
    </w:p>
    <w:p>
      <w:pPr>
        <w:spacing w:after="120" w:line="276"/>
      </w:pPr>
      <w:r>
        <w:rPr>
          <w:b/>
          <w:bCs/>
          <w:color w:val="1A1A1A"/>
        </w:rPr>
        <w:t xml:space="preserve">Divergence. </w:t>
      </w:r>
      <w:r>
        <w:rPr>
          <w:color w:val="1A1A1A"/>
        </w:rPr>
        <w:t xml:space="preserve">No third-party reporting method and no publicly distributed information on how a parent, attorney, advocate, or community member reports on a youth's behalf. OO 1361 addresses only youth-filed grievances. 15 CCR 1324(n) independently requires a provision for reporting by a third party. The OYCR Ombudsperson does accept complaints from families, staff, and others under WIC 2200(d)(2), which helps, but the standard obliges the agency itself to establish a receiving method and to publish how to use it. A dedicated web page and a posted telephone number closes this.</w:t>
      </w:r>
    </w:p>
    <w:p>
      <w:pPr>
        <w:spacing w:after="240" w:line="260"/>
      </w:pPr>
      <w:r>
        <w:rPr>
          <w:i/>
          <w:iCs/>
          <w:color w:val="5A5A5A"/>
          <w:sz w:val="19"/>
          <w:szCs w:val="19"/>
        </w:rPr>
        <w:t xml:space="preserve">Change log: REVISED: was Critical. OYCR Ombudsperson provides a partial external route; agency-side method and publication still required.</w:t>
      </w:r>
    </w:p>
    <w:p>
      <w:pPr>
        <w:pStyle w:val="Heading3"/>
        <w:keepNext/>
      </w:pPr>
      <w:r>
        <w:t xml:space="preserve">38. 28 CFR 115.351(a);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I.C, I.D, II.A, II.B; PREA Policy II.B.2</w:t>
            </w:r>
          </w:p>
        </w:tc>
      </w:tr>
    </w:tbl>
    <w:p>
      <w:pPr>
        <w:spacing w:after="80"/>
      </w:pPr>
    </w:p>
    <w:p>
      <w:pPr>
        <w:spacing w:after="120" w:line="276"/>
      </w:pPr>
      <w:r>
        <w:rPr>
          <w:b/>
          <w:bCs/>
          <w:color w:val="1A1A1A"/>
        </w:rPr>
        <w:t xml:space="preserve">The standard requires. </w:t>
      </w:r>
      <w:r>
        <w:rPr>
          <w:color w:val="1A1A1A"/>
        </w:rPr>
        <w:t xml:space="preserve">Provide multiple internal ways for residents to privately report sexual abuse and sexual harassment, retaliation, and staff neglect or violation of responsibilities that may have contributed to an incident.</w:t>
      </w:r>
    </w:p>
    <w:p>
      <w:pPr>
        <w:spacing w:after="120" w:line="276"/>
      </w:pPr>
      <w:r>
        <w:rPr>
          <w:b/>
          <w:bCs/>
          <w:color w:val="1A1A1A"/>
        </w:rPr>
        <w:t xml:space="preserve">Divergence. </w:t>
      </w:r>
      <w:r>
        <w:rPr>
          <w:color w:val="1A1A1A"/>
        </w:rPr>
        <w:t xml:space="preserve">OO 1361 I.C is strong: a youth reporting sexual assault or sexual harassment may use the grievance process in addition to telephone and in-person reporting, and may report to probation, medical, or mental health staff. I.D requires grievance forms to be accessible in each living unit without asking staff. II.B allows the youth to place the grievance in the secured box personally. II.A requires staff assistance within two hours of request. That is multiple private internal routes. Remaining gap: the standard also requires internal routes for reporting retaliation and for reporting staff neglect or violation of responsibilities that may have contributed to an incident. Neither is named as separately reportable.</w:t>
      </w:r>
    </w:p>
    <w:p>
      <w:pPr>
        <w:spacing w:after="240" w:line="260"/>
      </w:pPr>
      <w:r>
        <w:rPr>
          <w:i/>
          <w:iCs/>
          <w:color w:val="5A5A5A"/>
          <w:sz w:val="19"/>
          <w:szCs w:val="19"/>
        </w:rPr>
        <w:t xml:space="preserve">Change log: REVISED: was Partial / High. OO 1361 supplies multiple internal private routes; gap narrowed to retaliation and staff-neglect reporting.</w:t>
      </w:r>
    </w:p>
    <w:p>
      <w:pPr>
        <w:pStyle w:val="Heading3"/>
        <w:keepNext/>
      </w:pPr>
      <w:r>
        <w:t xml:space="preserve">39. 28 CFR 115.351(b); 15 CCR 1361(h)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(WEAVE, Office of the Inspector General); OYCR Ombudsperson per department; attorney access</w:t>
            </w:r>
          </w:p>
        </w:tc>
      </w:tr>
    </w:tbl>
    <w:p>
      <w:pPr>
        <w:spacing w:after="80"/>
      </w:pPr>
    </w:p>
    <w:p>
      <w:pPr>
        <w:spacing w:after="120" w:line="276"/>
      </w:pPr>
      <w:r>
        <w:rPr>
          <w:b/>
          <w:bCs/>
          <w:color w:val="1A1A1A"/>
        </w:rPr>
        <w:t xml:space="preserve">The standard requires. </w:t>
      </w:r>
      <w:r>
        <w:rPr>
          <w:color w:val="1A1A1A"/>
        </w:rPr>
        <w:t xml:space="preserve">Provide at least one way for residents to report abuse or harassment to a public or private entity or office not part of the agency, able to receive and immediately forward reports to agency officials, allowing the resident to remain anonymous on request.</w:t>
      </w:r>
    </w:p>
    <w:p>
      <w:pPr>
        <w:spacing w:after="120" w:line="276"/>
      </w:pPr>
      <w:r>
        <w:rPr>
          <w:b/>
          <w:bCs/>
          <w:color w:val="1A1A1A"/>
        </w:rPr>
        <w:t xml:space="preserve">Divergence. </w:t>
      </w:r>
      <w:r>
        <w:rPr>
          <w:color w:val="1A1A1A"/>
        </w:rPr>
        <w:t xml:space="preserve">Updated on department information: youth advocates no longer exist, and external access now consists of the Office of Youth and Community Restoration Ombudsperson, attorney access, and the WEAVE and Inspector General lines named in OO 1361 I.C. Assessment of each against the standard, which requires an entity not part of the agency, able to receive and immediately forward reports to agency officials, with anonymity available on request. The OYCR Ombudsperson is the right answer and very likely satisfies it: a state office with statutory authority under WIC 2200 and following to receive complaints from youth in any juvenile facility, independent of the department, with a toll-free number WIC 224.72 already requires be posted. Attorney access does not satisfy it, because counsel represents the youth and is not a channel that forwards reports to agency officials. WEAVE satisfies 115.353(a) outside support, not this standard. Three steps close it: name the OYCR Ombudsperson in OO 1361 I.C and correct or remove the Office of the Inspector General reference, whose statutory oversight runs to CDCR; obtain written confirmation from the Ombudsperson's office of its forwarding practice and its handling of anonymous complaints; and state in policy that a youth may remain anonymous on request. This is a drafting and confirmation task, not a construction task.</w:t>
      </w:r>
    </w:p>
    <w:p>
      <w:pPr>
        <w:spacing w:after="240" w:line="260"/>
      </w:pPr>
      <w:r>
        <w:rPr>
          <w:i/>
          <w:iCs/>
          <w:color w:val="5A5A5A"/>
          <w:sz w:val="19"/>
          <w:szCs w:val="19"/>
        </w:rPr>
        <w:t xml:space="preserve">Change log: REVISED in 3: youth advocates eliminated; OYCR Ombudsperson identified as the operative channel. Path to closure is now specific.</w:t>
      </w:r>
    </w:p>
    <w:p>
      <w:pPr>
        <w:pStyle w:val="Heading3"/>
        <w:keepNext/>
      </w:pPr>
      <w:r>
        <w:t xml:space="preserve">40. 28 CFR 115.351(c)-(d)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I.C, I.D, II.A, II.B; PREA Policy V.A.3</w:t>
            </w:r>
          </w:p>
        </w:tc>
      </w:tr>
    </w:tbl>
    <w:p>
      <w:pPr>
        <w:spacing w:after="80"/>
      </w:pPr>
    </w:p>
    <w:p>
      <w:pPr>
        <w:spacing w:after="120" w:line="276"/>
      </w:pPr>
      <w:r>
        <w:rPr>
          <w:b/>
          <w:bCs/>
          <w:color w:val="1A1A1A"/>
        </w:rPr>
        <w:t xml:space="preserve">The standard requires. </w:t>
      </w:r>
      <w:r>
        <w:rPr>
          <w:color w:val="1A1A1A"/>
        </w:rPr>
        <w:t xml:space="preserve">Staff shall accept reports made verbally, in writing, anonymously, and from third parties, and shall promptly document verbal reports; the facility shall provide residents access to the tools necessary to make a written report.</w:t>
      </w:r>
    </w:p>
    <w:p>
      <w:pPr>
        <w:spacing w:after="120" w:line="276"/>
      </w:pPr>
      <w:r>
        <w:rPr>
          <w:b/>
          <w:bCs/>
          <w:color w:val="1A1A1A"/>
        </w:rPr>
        <w:t xml:space="preserve">Divergence. </w:t>
      </w:r>
      <w:r>
        <w:rPr>
          <w:color w:val="1A1A1A"/>
        </w:rPr>
        <w:t xml:space="preserve">Free access to grievance forms in every living unit (I.D), confidential deposit in the secured box (II.B), staff assistance within two hours (II.A), and verbal and in-person reporting (I.C) are all covered, which satisfies 115.351(d) and much of (c). Remaining gap: no statement that staff shall accept anonymous reports and third-party reports, and no requirement that verbal reports be promptly documented. Verbal reporting is authorized by I.C but nothing says what the receiving staff member must then write down.</w:t>
      </w:r>
    </w:p>
    <w:p>
      <w:pPr>
        <w:spacing w:after="240" w:line="260"/>
      </w:pPr>
      <w:r>
        <w:rPr>
          <w:i/>
          <w:iCs/>
          <w:color w:val="5A5A5A"/>
          <w:sz w:val="19"/>
          <w:szCs w:val="19"/>
        </w:rPr>
        <w:t xml:space="preserve">Change log: REVISED: was Partial / High. OO 1361 closes the tools-and-access half; gap narrowed to anonymous, third-party, and documentation of verbal reports.</w:t>
      </w:r>
    </w:p>
    <w:p>
      <w:pPr>
        <w:pStyle w:val="Heading3"/>
        <w:keepNext/>
      </w:pPr>
      <w:r>
        <w:t xml:space="preserve">42. 28 CFR 115.352(a)-(g); 15 CCR 1361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1361 (Grievances), I.A, II.B, II.D, II.F, IV</w:t>
            </w:r>
          </w:p>
        </w:tc>
      </w:tr>
    </w:tbl>
    <w:p>
      <w:pPr>
        <w:spacing w:after="80"/>
      </w:pPr>
    </w:p>
    <w:p>
      <w:pPr>
        <w:spacing w:after="120" w:line="276"/>
      </w:pPr>
      <w:r>
        <w:rPr>
          <w:b/>
          <w:bCs/>
          <w:color w:val="1A1A1A"/>
        </w:rPr>
        <w:t xml:space="preserve">The standard requires. </w:t>
      </w:r>
      <w:r>
        <w:rPr>
          <w:color w:val="1A1A1A"/>
        </w:rPr>
        <w:t xml:space="preserve">No time limit on filing a sexual abuse grievance; no requirement to use an informal process or resolve with staff; the grievance may not be submitted to or referred to the staff member who is its subject; final agency decision within 90 days with a permitted 70-day extension on written notice; third parties, including parents and legal guardians, may file; emergency grievances alleging substantial risk of imminent sexual abuse get an initial response within 48 hours and a final decision within 5 calendar days; discipline for filing only on a demonstrated bad-faith showing.</w:t>
      </w:r>
    </w:p>
    <w:p>
      <w:pPr>
        <w:spacing w:after="120" w:line="276"/>
      </w:pPr>
      <w:r>
        <w:rPr>
          <w:b/>
          <w:bCs/>
          <w:color w:val="1A1A1A"/>
        </w:rPr>
        <w:t xml:space="preserve">Divergence. </w:t>
      </w:r>
      <w:r>
        <w:rPr>
          <w:color w:val="1A1A1A"/>
        </w:rPr>
        <w:t xml:space="preserve">Now assessable. Met: no time limit on filing (I.A); confidential submission that does not pass through the subject staff member (II.B) and assignment only to staff not directly involved in the circumstances (II.F.2.a), which satisfies 115.352(c); appeal heard by a person not directly involved, escalating to the Assistant Division Chief with a five-day decision (IV). The three-business-day initial response and ten-business-day resolution sit comfortably inside the 90-day federal cap. Remaining gaps: (1) no emergency grievance track for an allegation of substantial risk of imminent sexual abuse, which requires immediate forwarding to a level where corrective action can be taken, an initial response within 48 hours, and a final decision within five calendar days, with both documenting the risk determination and the action taken; I.C's 'health and safety issues must be addressed immediately' is close but is not the standard; (2) the extension in II.D, 'unless circumstances dictate a longer time frame,' has no outer bound, whereas PREA caps extensions at 70 days with written notice and a stated decision date; (3) no statement that a youth alleging sexual abuse is not required to use the informal process first, which matters because the order's Purpose and the 'Your Voice' track both push toward informal resolution; (4) no third-party filing right and, in particular, no right for a parent or legal guardian to file a sexual abuse grievance and appeal on the youth's behalf without the youth's agreement, which 115.352(e)(4) requires; (5) no bad-faith-only rule for disciplining a grievant, which interacts with the PREA Policy XIV.A conflict below.</w:t>
      </w:r>
    </w:p>
    <w:p>
      <w:pPr>
        <w:spacing w:after="240" w:line="260"/>
      </w:pPr>
      <w:r>
        <w:rPr>
          <w:i/>
          <w:iCs/>
          <w:color w:val="5A5A5A"/>
          <w:sz w:val="19"/>
          <w:szCs w:val="19"/>
        </w:rPr>
        <w:t xml:space="preserve">Change log: MATERIALLY REVISED: was Not Evidenced / Critical. OO 1361 reviewed; four of the standard's elements are met and five discrete gaps remain.</w:t>
      </w:r>
    </w:p>
    <w:p>
      <w:pPr>
        <w:pStyle w:val="Heading3"/>
        <w:keepNext/>
      </w:pPr>
      <w:r>
        <w:t xml:space="preserve">82. 28 CFR 115.351(b), 115.353(a); WIC 224.71, 224.72, 2200</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Resident Orientation Handbook (confirmed to contain the Youth Bill of Rights; document not yet produced); OO 1352 I.B.8; PREA Policy II.B</w:t>
            </w:r>
          </w:p>
        </w:tc>
      </w:tr>
    </w:tbl>
    <w:p>
      <w:pPr>
        <w:spacing w:after="80"/>
      </w:pPr>
    </w:p>
    <w:p>
      <w:pPr>
        <w:spacing w:after="120" w:line="276"/>
      </w:pPr>
      <w:r>
        <w:rPr>
          <w:b/>
          <w:bCs/>
          <w:color w:val="1A1A1A"/>
        </w:rPr>
        <w:t xml:space="preserve">The standard requires. </w:t>
      </w:r>
      <w:r>
        <w:rPr>
          <w:color w:val="1A1A1A"/>
        </w:rPr>
        <w:t xml:space="preserve">Provide every youth an age and developmentally appropriate orientation including an explanation and copy of the Youth Bill of Rights; post the listing of rights conspicuously including in classrooms and living units; include a copy in orientation packets for parents and guardians; make copies available in visiting areas in English, Spanish, and other languages; post the OYCR Ombudsperson toll-free number. The enumerated rights include freedom from sexual abuse and the right to contact ombudspersons and other advocates free from retaliation.</w:t>
      </w:r>
    </w:p>
    <w:p>
      <w:pPr>
        <w:spacing w:after="120" w:line="276"/>
      </w:pPr>
      <w:r>
        <w:rPr>
          <w:b/>
          <w:bCs/>
          <w:color w:val="1A1A1A"/>
        </w:rPr>
        <w:t xml:space="preserve">Divergence. </w:t>
      </w:r>
      <w:r>
        <w:rPr>
          <w:color w:val="1A1A1A"/>
        </w:rPr>
        <w:t xml:space="preserve">Confirmed by the department: the Resident Orientation Handbook contains the Youth Bill of Rights. Combined with OO 1352 I.B.8, which requires the Classification Officer to provide the handbook with a signed acknowledgement placed in the youth's file, that satisfies the core of WIC 224.72(a), the age and developmentally appropriate orientation including an explanation and copy of the rights, and creates the documentation an auditor would ask for. Three narrower elements of 224.72 remain to be verified rather than built: (b) the rights listing posted in a conspicuous location including classrooms and living units, which is separate from the handbook and separate from the PREA posters required at PREA Policy II.B.4; (c) a copy of the rights included in orientation packets provided to parents or guardians; and copies made available in the visiting areas in English, Spanish, and other languages as necessary. Also confirm the handbook edition in use reflects the current 224.71, which includes the right at subdivision (k) to contact ombudspersons, expressly including the Division of the Ombudsperson of the Office of Youth and Community Restoration, free from retaliation. That right connects directly to the external reporting channel discussed at 115.351(b).</w:t>
      </w:r>
    </w:p>
    <w:p>
      <w:pPr>
        <w:spacing w:after="240" w:line="260"/>
      </w:pPr>
      <w:r>
        <w:rPr>
          <w:i/>
          <w:iCs/>
          <w:color w:val="5A5A5A"/>
          <w:sz w:val="19"/>
          <w:szCs w:val="19"/>
        </w:rPr>
        <w:t xml:space="preserve">Change log: REVISED in 2.1: was Not Evidenced / High. Department confirmed the handbook carries the Youth Bill of Rights; remaining items are posting, parent packets, and translations.</w:t>
      </w:r>
    </w:p>
    <w:p>
      <w:pPr>
        <w:pStyle w:val="Heading3"/>
        <w:keepNext/>
      </w:pPr>
      <w:r>
        <w:t xml:space="preserve">45. 28 CFR 115.353(d); 15 CCR 1356, 1377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Evidenced,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Not provided (Access to Legal Services policy not in packet)</w:t>
            </w:r>
          </w:p>
        </w:tc>
      </w:tr>
    </w:tbl>
    <w:p>
      <w:pPr>
        <w:spacing w:after="80"/>
      </w:pPr>
    </w:p>
    <w:p>
      <w:pPr>
        <w:spacing w:after="120" w:line="276"/>
      </w:pPr>
      <w:r>
        <w:rPr>
          <w:b/>
          <w:bCs/>
          <w:color w:val="1A1A1A"/>
        </w:rPr>
        <w:t xml:space="preserve">The standard requires. </w:t>
      </w:r>
      <w:r>
        <w:rPr>
          <w:color w:val="1A1A1A"/>
        </w:rPr>
        <w:t xml:space="preserve">Provide residents reasonable and confidential access to attorneys or other legal representation and reasonable access to parents or legal guardians.</w:t>
      </w:r>
    </w:p>
    <w:p>
      <w:pPr>
        <w:spacing w:after="120" w:line="276"/>
      </w:pPr>
      <w:r>
        <w:rPr>
          <w:b/>
          <w:bCs/>
          <w:color w:val="1A1A1A"/>
        </w:rPr>
        <w:t xml:space="preserve">Divergence. </w:t>
      </w:r>
      <w:r>
        <w:rPr>
          <w:color w:val="1A1A1A"/>
        </w:rPr>
        <w:t xml:space="preserve">Likely addressed by the Access to Legal Services and Visiting policies under 15 CCR 1377 and 1374, which were not provided.</w:t>
      </w:r>
    </w:p>
    <w:p>
      <w:pPr>
        <w:spacing w:after="160"/>
      </w:pPr>
    </w:p>
    <w:p>
      <w:pPr>
        <w:pStyle w:val="Heading3"/>
        <w:keepNext/>
      </w:pPr>
      <w:r>
        <w:t xml:space="preserve">43. 28 CFR 115.353(a)-(b)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XVI.A; OO 1361 I.C (WEAVE)</w:t>
            </w:r>
          </w:p>
        </w:tc>
      </w:tr>
    </w:tbl>
    <w:p>
      <w:pPr>
        <w:spacing w:after="80"/>
      </w:pPr>
    </w:p>
    <w:p>
      <w:pPr>
        <w:spacing w:after="120" w:line="276"/>
      </w:pPr>
      <w:r>
        <w:rPr>
          <w:b/>
          <w:bCs/>
          <w:color w:val="1A1A1A"/>
        </w:rPr>
        <w:t xml:space="preserve">The standard requires. </w:t>
      </w:r>
      <w:r>
        <w:rPr>
          <w:color w:val="1A1A1A"/>
        </w:rPr>
        <w:t xml:space="preserve">Provide residents access to outside victim advocates by posting or otherwise making accessible mailing addresses and telephone numbers, including toll-free hotlines, of local, state, or national victim advocacy or rape crisis organizations; enable communication in as confidential a manner as possible; inform residents of the extent to which communications are monitored.</w:t>
      </w:r>
    </w:p>
    <w:p>
      <w:pPr>
        <w:spacing w:after="120" w:line="276"/>
      </w:pPr>
      <w:r>
        <w:rPr>
          <w:b/>
          <w:bCs/>
          <w:color w:val="1A1A1A"/>
        </w:rPr>
        <w:t xml:space="preserve">Divergence. </w:t>
      </w:r>
      <w:r>
        <w:rPr>
          <w:color w:val="1A1A1A"/>
        </w:rPr>
        <w:t xml:space="preserve">Mailing addresses and hotline numbers must be made available, communications kept as confidential as possible, and residents informed that communications are monitored. OO 1361 I.C strengthens this by naming WEAVE as free confidential telephone support. Specify posting locations to match the PREA poster locations in PREA Policy II.B.4, and add the OYCR Ombudsperson toll-free number, which WIC 224.72 already requires be posted.</w:t>
      </w:r>
    </w:p>
    <w:p>
      <w:pPr>
        <w:spacing w:after="240" w:line="260"/>
      </w:pPr>
      <w:r>
        <w:rPr>
          <w:i/>
          <w:iCs/>
          <w:color w:val="5A5A5A"/>
          <w:sz w:val="19"/>
          <w:szCs w:val="19"/>
        </w:rPr>
        <w:t xml:space="preserve">Change log: REVISED: OO 1361 naming of WEAVE credited.</w:t>
      </w:r>
    </w:p>
    <w:p>
      <w:pPr>
        <w:pStyle w:val="Heading2"/>
      </w:pPr>
      <w:r>
        <w:t xml:space="preserve">Official Response</w:t>
      </w:r>
    </w:p>
    <w:p>
      <w:pPr>
        <w:pStyle w:val="Heading3"/>
        <w:keepNext/>
      </w:pPr>
      <w:r>
        <w:t xml:space="preserve">48. 28 CFR 115.361(b); PC 11164 et seq.; PC 11166(a); PC 11165.9</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V.A.4-5; OO 1453 (Sexual Assault) I.A.9; Code of Conduct VII.A.1-5</w:t>
            </w:r>
          </w:p>
        </w:tc>
      </w:tr>
    </w:tbl>
    <w:p>
      <w:pPr>
        <w:spacing w:after="80"/>
      </w:pPr>
    </w:p>
    <w:p>
      <w:pPr>
        <w:spacing w:after="120" w:line="276"/>
      </w:pPr>
      <w:r>
        <w:rPr>
          <w:b/>
          <w:bCs/>
          <w:color w:val="1A1A1A"/>
        </w:rPr>
        <w:t xml:space="preserve">The standard requires. </w:t>
      </w:r>
      <w:r>
        <w:rPr>
          <w:color w:val="1A1A1A"/>
        </w:rPr>
        <w:t xml:space="preserve">Require all staff to comply with applicable mandatory child abuse reporting laws.</w:t>
      </w:r>
    </w:p>
    <w:p>
      <w:pPr>
        <w:spacing w:after="120" w:line="276"/>
      </w:pPr>
      <w:r>
        <w:rPr>
          <w:b/>
          <w:bCs/>
          <w:color w:val="1A1A1A"/>
        </w:rPr>
        <w:t xml:space="preserve">Divergence. </w:t>
      </w:r>
      <w:r>
        <w:rPr>
          <w:color w:val="1A1A1A"/>
        </w:rPr>
        <w:t xml:space="preserve">Worse than earlier revisions showed. The 24-hour Child Protective Services timeline now appears in two separate departmental documents. PREA Policy V.A.4 states it, and OO 1453 I.A.9 restates it: all incidents of sexual assault shall be reported to Child Protective Services verbally within 24 hours, with the written report within 36 hours. Penal Code 11166(a) requires the telephone report immediately or as soon as is practicably possible. OO 1453 was last revised December 9, 2019, six years after the PREA policy, so the department restated the error rather than catching it on review. The department's own Code of Conduct at VII.A.1 states the standard correctly, so three departmental documents now address the same duty and two of them are wrong. Separately, PC 11165.9 designates the agencies that may receive a mandated report, and PC 11166(j) imposes a distinct cross-reporting duty on a county probation department that receives one, requiring immediate telephone, fax, or electronic report to the law enforcement agency with jurisdiction, the agency responsible for WIC 300 investigations, and the district attorney, with written report within 36 hours. Neither is addressed in any reviewed document.</w:t>
      </w:r>
    </w:p>
    <w:p>
      <w:pPr>
        <w:spacing w:after="240" w:line="260"/>
      </w:pPr>
      <w:r>
        <w:rPr>
          <w:i/>
          <w:iCs/>
          <w:color w:val="5A5A5A"/>
          <w:sz w:val="19"/>
          <w:szCs w:val="19"/>
        </w:rPr>
        <w:t xml:space="preserve">Change log: REVISED in 3: the same 24-hour error appears again in OO 1453, revised December 2019.</w:t>
      </w:r>
    </w:p>
    <w:p>
      <w:pPr>
        <w:pStyle w:val="Heading3"/>
        <w:keepNext/>
      </w:pPr>
      <w:r>
        <w:t xml:space="preserve">52. 28 CFR 115.363(a)-(d)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V.A.7</w:t>
            </w:r>
          </w:p>
        </w:tc>
      </w:tr>
    </w:tbl>
    <w:p>
      <w:pPr>
        <w:spacing w:after="80"/>
      </w:pPr>
    </w:p>
    <w:p>
      <w:pPr>
        <w:spacing w:after="120" w:line="276"/>
      </w:pPr>
      <w:r>
        <w:rPr>
          <w:b/>
          <w:bCs/>
          <w:color w:val="1A1A1A"/>
        </w:rPr>
        <w:t xml:space="preserve">The standard requires. </w:t>
      </w:r>
      <w:r>
        <w:rPr>
          <w:color w:val="1A1A1A"/>
        </w:rPr>
        <w:t xml:space="preserve">On receiving an allegation that a resident was sexually abused while confined at another facility, notify the head of that facility or the appropriate agency office and the appropriate investigative agency as soon as possible and no later than 72 hours after receiving the allegation; document the notification.</w:t>
      </w:r>
    </w:p>
    <w:p>
      <w:pPr>
        <w:spacing w:after="120" w:line="276"/>
      </w:pPr>
      <w:r>
        <w:rPr>
          <w:b/>
          <w:bCs/>
          <w:color w:val="1A1A1A"/>
        </w:rPr>
        <w:t xml:space="preserve">Divergence. </w:t>
      </w:r>
      <w:r>
        <w:rPr>
          <w:color w:val="1A1A1A"/>
        </w:rPr>
        <w:t xml:space="preserve">The policy sets a 14-day window for the Chief Deputy or Assistant Chief Deputy to notify the head of the facility where the abuse allegedly occurred. The federal standard is 72 hours. The 14-day figure appears to have been carried over from the attorney notification timeline in 115.361(e)(3). This is a straight timeline error and should be corrected to 72 hours, with documentation of the notification added.</w:t>
      </w:r>
    </w:p>
    <w:p>
      <w:pPr>
        <w:spacing w:after="160"/>
      </w:pPr>
    </w:p>
    <w:p>
      <w:pPr>
        <w:pStyle w:val="Heading3"/>
        <w:keepNext/>
      </w:pPr>
      <w:r>
        <w:t xml:space="preserve">50. 28 CFR 115.361(e)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p>
      <w:pPr>
        <w:spacing w:after="120" w:line="276"/>
      </w:pPr>
      <w:r>
        <w:rPr>
          <w:b/>
          <w:bCs/>
          <w:color w:val="1A1A1A"/>
        </w:rPr>
        <w:t xml:space="preserve">Divergence. </w:t>
      </w:r>
      <w:r>
        <w:rPr>
          <w:color w:val="1A1A1A"/>
        </w:rPr>
        <w:t xml:space="preserve">No parent, guardian, caseworker, or attorney notification requirement appears in any document in the packet. This is a discrete, high-visibility failure. The 14-day attorney notification in particular is frequently missed and is easy to build into the IIR workflow in OO 1362.</w:t>
      </w:r>
    </w:p>
    <w:p>
      <w:pPr>
        <w:spacing w:after="160"/>
      </w:pPr>
    </w:p>
    <w:p>
      <w:pPr>
        <w:pStyle w:val="Heading3"/>
        <w:keepNext/>
      </w:pPr>
      <w:r>
        <w:t xml:space="preserve">47. 28 CFR 115.361(a)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IV.A; V.A.7</w:t>
            </w:r>
          </w:p>
        </w:tc>
      </w:tr>
    </w:tbl>
    <w:p>
      <w:pPr>
        <w:spacing w:after="80"/>
      </w:pPr>
    </w:p>
    <w:p>
      <w:pPr>
        <w:spacing w:after="120" w:line="276"/>
      </w:pPr>
      <w:r>
        <w:rPr>
          <w:b/>
          <w:bCs/>
          <w:color w:val="1A1A1A"/>
        </w:rPr>
        <w:t xml:space="preserve">The standard requires. </w:t>
      </w:r>
      <w:r>
        <w:rPr>
          <w:color w:val="1A1A1A"/>
        </w:rPr>
        <w:t xml:space="preserve">Require all staff to report immediately any knowledge, suspicion, or information regarding an incident of sexual abuse or sexual harassment that occurred in a facility, whether or not part of the agency; retaliation against residents or staff who reported; and any staff neglect or violation of responsibilities that may have contributed to an incident or to retaliation.</w:t>
      </w:r>
    </w:p>
    <w:p>
      <w:pPr>
        <w:spacing w:after="120" w:line="276"/>
      </w:pPr>
      <w:r>
        <w:rPr>
          <w:b/>
          <w:bCs/>
          <w:color w:val="1A1A1A"/>
        </w:rPr>
        <w:t xml:space="preserve">Divergence. </w:t>
      </w:r>
      <w:r>
        <w:rPr>
          <w:color w:val="1A1A1A"/>
        </w:rPr>
        <w:t xml:space="preserve">Immediate confidential reporting to the Duty Supervisor of information or suspicion of sexual assault within a county institution is required. Three elements are missing: sexual harassment as a separately reportable category, reports of retaliation, and reports of staff neglect or violation of responsibilities contributing to an incident. Abuse at another facility is addressed only in V.A.7 and only as a chief-level notification duty.</w:t>
      </w:r>
    </w:p>
    <w:p>
      <w:pPr>
        <w:spacing w:after="160"/>
      </w:pPr>
    </w:p>
    <w:p>
      <w:pPr>
        <w:pStyle w:val="Heading3"/>
        <w:keepNext/>
      </w:pPr>
      <w:r>
        <w:t xml:space="preserve">49. 28 CFR 115.361(c)-(d)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I.Q ('Need to Know' definition); VIII.A</w:t>
            </w:r>
          </w:p>
        </w:tc>
      </w:tr>
    </w:tbl>
    <w:p>
      <w:pPr>
        <w:spacing w:after="80"/>
      </w:pPr>
    </w:p>
    <w:p>
      <w:pPr>
        <w:spacing w:after="120" w:line="276"/>
      </w:pPr>
      <w:r>
        <w:rPr>
          <w:b/>
          <w:bCs/>
          <w:color w:val="1A1A1A"/>
        </w:rPr>
        <w:t xml:space="preserve">The standard requires. </w:t>
      </w:r>
      <w:r>
        <w:rPr>
          <w:color w:val="1A1A1A"/>
        </w:rPr>
        <w:t xml:space="preserve">Staff may not reveal information related to a sexual abuse report except to the extent necessary for treatment, investigation, and security and management decisions. Medical and mental health practitioners must report to designated supervisors and to the state or local services agency where required, and must inform residents at the initiation of services of their duty to report and the limits of confidentiality.</w:t>
      </w:r>
    </w:p>
    <w:p>
      <w:pPr>
        <w:spacing w:after="120" w:line="276"/>
      </w:pPr>
      <w:r>
        <w:rPr>
          <w:b/>
          <w:bCs/>
          <w:color w:val="1A1A1A"/>
        </w:rPr>
        <w:t xml:space="preserve">Divergence. </w:t>
      </w:r>
      <w:r>
        <w:rPr>
          <w:color w:val="1A1A1A"/>
        </w:rPr>
        <w:t xml:space="preserve">'Need to Know' is defined but never operationalized as a disclosure restriction. The requirement that clinicians advise youth at the initiation of services of their reporting duty and the limits of confidentiality is absent.</w:t>
      </w:r>
    </w:p>
    <w:p>
      <w:pPr>
        <w:spacing w:after="160"/>
      </w:pPr>
    </w:p>
    <w:p>
      <w:pPr>
        <w:pStyle w:val="Heading3"/>
        <w:keepNext/>
      </w:pPr>
      <w:r>
        <w:t xml:space="preserve">51. 28 CFR 115.362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VI.A.1; VII.A.1 (separation and contact elimination)</w:t>
            </w:r>
          </w:p>
        </w:tc>
      </w:tr>
    </w:tbl>
    <w:p>
      <w:pPr>
        <w:spacing w:after="80"/>
      </w:pPr>
    </w:p>
    <w:p>
      <w:pPr>
        <w:spacing w:after="120" w:line="276"/>
      </w:pPr>
      <w:r>
        <w:rPr>
          <w:b/>
          <w:bCs/>
          <w:color w:val="1A1A1A"/>
        </w:rPr>
        <w:t xml:space="preserve">The standard requires. </w:t>
      </w:r>
      <w:r>
        <w:rPr>
          <w:color w:val="1A1A1A"/>
        </w:rPr>
        <w:t xml:space="preserve">When the agency learns a resident is subject to substantial risk of imminent sexual abuse, take immediate action to protect the resident.</w:t>
      </w:r>
    </w:p>
    <w:p>
      <w:pPr>
        <w:spacing w:after="120" w:line="276"/>
      </w:pPr>
      <w:r>
        <w:rPr>
          <w:b/>
          <w:bCs/>
          <w:color w:val="1A1A1A"/>
        </w:rPr>
        <w:t xml:space="preserve">Divergence. </w:t>
      </w:r>
      <w:r>
        <w:rPr>
          <w:color w:val="1A1A1A"/>
        </w:rPr>
        <w:t xml:space="preserve">Separation after an incident is required. There is no stated duty to act immediately on a risk of imminent abuse that has not yet occurred, which is the trigger this standard addresses and the trigger the emergency grievance process under 115.352(f) feeds into.</w:t>
      </w:r>
    </w:p>
    <w:p>
      <w:pPr>
        <w:spacing w:after="160"/>
      </w:pPr>
    </w:p>
    <w:p>
      <w:pPr>
        <w:pStyle w:val="Heading3"/>
        <w:keepNext/>
      </w:pPr>
      <w:r>
        <w:t xml:space="preserve">53. 28 CFR 115.364(a)-(b)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 I.A.3, I.A.4, I.A.5; PREA Policy VI.A.1, VII.A.1</w:t>
            </w:r>
          </w:p>
        </w:tc>
      </w:tr>
    </w:tbl>
    <w:p>
      <w:pPr>
        <w:spacing w:after="80"/>
      </w:pPr>
    </w:p>
    <w:p>
      <w:pPr>
        <w:spacing w:after="120" w:line="276"/>
      </w:pPr>
      <w:r>
        <w:rPr>
          <w:b/>
          <w:bCs/>
          <w:color w:val="1A1A1A"/>
        </w:rPr>
        <w:t xml:space="preserve">The standard requires. </w:t>
      </w:r>
      <w:r>
        <w:rPr>
          <w:color w:val="1A1A1A"/>
        </w:rPr>
        <w:t xml:space="preserve">The first staff member to respond shall separate the alleged victim and abuser; preserve and protect the crime scene; and, where the timing still allows evidence collection, request that the victim take no action that could destroy physical evidence and ensure the alleged abuser takes no such action. A non-security first responder must make the request of the victim and then notify security staff.</w:t>
      </w:r>
    </w:p>
    <w:p>
      <w:pPr>
        <w:spacing w:after="120" w:line="276"/>
      </w:pPr>
      <w:r>
        <w:rPr>
          <w:b/>
          <w:bCs/>
          <w:color w:val="1A1A1A"/>
        </w:rPr>
        <w:t xml:space="preserve">Divergence. </w:t>
      </w:r>
      <w:r>
        <w:rPr>
          <w:color w:val="1A1A1A"/>
        </w:rPr>
        <w:t xml:space="preserve">Substantially closed by OO 1453, which was not available for the earlier revisions. I.A.1 requires immediate separation of victim and suspect with no contact. I.A.3 requires unit staff to protect the crime scene, naming the youth's room, shower area, and laundry room, by sealing off the area and denying access to other staff and youth. I.A.4 requires preventing both victim and suspect from showering. I.A.5 requires keeping both from the bathroom where possible and collecting toilet tissue as evidence if used. That covers the substance of 115.364(a) and in the crime scene provision exceeds what most agencies write down. Remaining gap: 115.364(b), the distinct duties of a non-security first responder, who must request that the victim take no action that could destroy evidence and then notify security staff. OO 1453 is directed to 'All Sworn Personnel' and does not address SCOE, clinic, mental health, kitchen, or volunteer staff who may be first on scene.</w:t>
      </w:r>
    </w:p>
    <w:p>
      <w:pPr>
        <w:spacing w:after="240" w:line="260"/>
      </w:pPr>
      <w:r>
        <w:rPr>
          <w:i/>
          <w:iCs/>
          <w:color w:val="5A5A5A"/>
          <w:sz w:val="19"/>
          <w:szCs w:val="19"/>
        </w:rPr>
        <w:t xml:space="preserve">Change log: MATERIALLY REVISED in 3: OO 1453 closes 115.364(a). Only the non-security responder duty remains.</w:t>
      </w:r>
    </w:p>
    <w:p>
      <w:pPr>
        <w:pStyle w:val="Heading3"/>
        <w:keepNext/>
      </w:pPr>
      <w:r>
        <w:t xml:space="preserve">54. 28 CFR 115.365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full document</w:t>
            </w:r>
          </w:p>
        </w:tc>
      </w:tr>
    </w:tbl>
    <w:p>
      <w:pPr>
        <w:spacing w:after="80"/>
      </w:pPr>
    </w:p>
    <w:p>
      <w:pPr>
        <w:spacing w:after="120" w:line="276"/>
      </w:pPr>
      <w:r>
        <w:rPr>
          <w:b/>
          <w:bCs/>
          <w:color w:val="1A1A1A"/>
        </w:rPr>
        <w:t xml:space="preserve">The standard requires. </w:t>
      </w:r>
      <w:r>
        <w:rPr>
          <w:color w:val="1A1A1A"/>
        </w:rPr>
        <w:t xml:space="preserve">Develop a written institutional plan to coordinate actions taken in response to an incident of sexual abuse among staff first responders, medical and mental health practitioners, investigators, and facility leadership.</w:t>
      </w:r>
    </w:p>
    <w:p>
      <w:pPr>
        <w:spacing w:after="120" w:line="276"/>
      </w:pPr>
      <w:r>
        <w:rPr>
          <w:b/>
          <w:bCs/>
          <w:color w:val="1A1A1A"/>
        </w:rPr>
        <w:t xml:space="preserve">Divergence. </w:t>
      </w:r>
      <w:r>
        <w:rPr>
          <w:color w:val="1A1A1A"/>
        </w:rPr>
        <w:t xml:space="preserve">Substantially closed. OO 1453 functions as a coordinated response plan in all but name: it sequences the first responder, the Duty Supervisor, the Chief Deputy or Assistant Chief Deputy, the Sheriff's Department, the Transportation Officer, the receiving medical facility, and the concluding incident review, and it specifies who does what at each stage. Three gaps remain. It covers sexual assault only, not the full sexual abuse and sexual harassment spectrum the standard reaches. It does not identify a role for mental health practitioners in the immediate response, although PREA Policy XV.A addresses crisis counseling separately. And it is not labeled or maintained as the institutional coordinated response plan, which matters only because an auditor asks for that document by name. Retitling and broadening OO 1453 is a far shorter path than drafting a new plan.</w:t>
      </w:r>
    </w:p>
    <w:p>
      <w:pPr>
        <w:spacing w:after="240" w:line="260"/>
      </w:pPr>
      <w:r>
        <w:rPr>
          <w:i/>
          <w:iCs/>
          <w:color w:val="5A5A5A"/>
          <w:sz w:val="19"/>
          <w:szCs w:val="19"/>
        </w:rPr>
        <w:t xml:space="preserve">Change log: MATERIALLY REVISED in 3: was Not Addressed. OO 1453 is functionally the plan.</w:t>
      </w:r>
    </w:p>
    <w:p>
      <w:pPr>
        <w:pStyle w:val="Heading3"/>
        <w:keepNext/>
      </w:pPr>
      <w:r>
        <w:t xml:space="preserve">56. 28 CFR 115.367(a)-(f)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Guidelines (retaliation paragraph)</w:t>
            </w:r>
          </w:p>
        </w:tc>
      </w:tr>
    </w:tbl>
    <w:p>
      <w:pPr>
        <w:spacing w:after="80"/>
      </w:pPr>
    </w:p>
    <w:p>
      <w:pPr>
        <w:spacing w:after="120" w:line="276"/>
      </w:pPr>
      <w:r>
        <w:rPr>
          <w:b/>
          <w:bCs/>
          <w:color w:val="1A1A1A"/>
        </w:rPr>
        <w:t xml:space="preserve">The standard requires. </w:t>
      </w:r>
      <w:r>
        <w:rPr>
          <w:color w:val="1A1A1A"/>
        </w:rPr>
        <w:t xml:space="preserve">Establish a policy protecting residents and staff who report or cooperate from retaliation; designate which staff members or departments monitor retaliation; employ multiple protection measures; monitor for at least 90 days the conduct and treatment of reporting residents and staff, including disciplinary reports, housing and program changes, and negative performance reviews or reassignments, with periodic status checks of residents; extend monitoring if indicated; act promptly to remedy retaliation.</w:t>
      </w:r>
    </w:p>
    <w:p>
      <w:pPr>
        <w:spacing w:after="120" w:line="276"/>
      </w:pPr>
      <w:r>
        <w:rPr>
          <w:b/>
          <w:bCs/>
          <w:color w:val="1A1A1A"/>
        </w:rPr>
        <w:t xml:space="preserve">Divergence. </w:t>
      </w:r>
      <w:r>
        <w:rPr>
          <w:color w:val="1A1A1A"/>
        </w:rPr>
        <w:t xml:space="preserve">Retaliation is prohibited and defined, and discipline or prosecution is threatened. Everything operational is missing: no designated retaliation monitor, no 90-day monitoring period, no enumerated indicators to watch, no periodic status checks with the youth, and no protection measures list. Retaliation monitoring is a standalone standard and a standalone audit failure.</w:t>
      </w:r>
    </w:p>
    <w:p>
      <w:pPr>
        <w:spacing w:after="160"/>
      </w:pPr>
    </w:p>
    <w:p>
      <w:pPr>
        <w:pStyle w:val="Heading3"/>
        <w:keepNext/>
      </w:pPr>
      <w:r>
        <w:t xml:space="preserve">57. 28 CFR 115.368; 15 CCR 1354, 1354.5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III.D</w:t>
            </w:r>
          </w:p>
        </w:tc>
      </w:tr>
    </w:tbl>
    <w:p>
      <w:pPr>
        <w:spacing w:after="80"/>
      </w:pPr>
    </w:p>
    <w:p>
      <w:pPr>
        <w:spacing w:after="120" w:line="276"/>
      </w:pPr>
      <w:r>
        <w:rPr>
          <w:b/>
          <w:bCs/>
          <w:color w:val="1A1A1A"/>
        </w:rPr>
        <w:t xml:space="preserve">The standard requires. </w:t>
      </w:r>
      <w:r>
        <w:rPr>
          <w:color w:val="1A1A1A"/>
        </w:rPr>
        <w:t xml:space="preserve">Any use of segregated housing to protect a resident alleged to have suffered sexual abuse is subject to the isolation requirements of 115.342.</w:t>
      </w:r>
    </w:p>
    <w:p>
      <w:pPr>
        <w:spacing w:after="120" w:line="276"/>
      </w:pPr>
      <w:r>
        <w:rPr>
          <w:b/>
          <w:bCs/>
          <w:color w:val="1A1A1A"/>
        </w:rPr>
        <w:t xml:space="preserve">Divergence. </w:t>
      </w:r>
      <w:r>
        <w:rPr>
          <w:color w:val="1A1A1A"/>
        </w:rPr>
        <w:t xml:space="preserve">Follows the 115.342(b) gaps above: daily clinician visits and documentation of the basis for isolation and the unavailability of alternatives. Must also be reconciled with WIC 208.3 room confinement limits.</w:t>
      </w:r>
    </w:p>
    <w:p>
      <w:pPr>
        <w:spacing w:after="160"/>
      </w:pPr>
    </w:p>
    <w:p>
      <w:pPr>
        <w:pStyle w:val="Heading3"/>
        <w:keepNext/>
      </w:pPr>
      <w:r>
        <w:t xml:space="preserve">55. 28 CFR 115.366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VII.A.2</w:t>
            </w:r>
          </w:p>
        </w:tc>
      </w:tr>
    </w:tbl>
    <w:p>
      <w:pPr>
        <w:spacing w:after="80"/>
      </w:pPr>
    </w:p>
    <w:p>
      <w:pPr>
        <w:spacing w:after="120" w:line="276"/>
      </w:pPr>
      <w:r>
        <w:rPr>
          <w:b/>
          <w:bCs/>
          <w:color w:val="1A1A1A"/>
        </w:rPr>
        <w:t xml:space="preserve">The standard requires. </w:t>
      </w:r>
      <w:r>
        <w:rPr>
          <w:color w:val="1A1A1A"/>
        </w:rPr>
        <w:t xml:space="preserve">Do not enter into or renew any collective bargaining or other agreement that limits the ability to remove alleged staff sexual abusers from contact with residents pending investigation or a discipline determination.</w:t>
      </w:r>
    </w:p>
    <w:p>
      <w:pPr>
        <w:spacing w:after="120" w:line="276"/>
      </w:pPr>
      <w:r>
        <w:rPr>
          <w:b/>
          <w:bCs/>
          <w:color w:val="1A1A1A"/>
        </w:rPr>
        <w:t xml:space="preserve">Divergence. </w:t>
      </w:r>
      <w:r>
        <w:rPr>
          <w:color w:val="1A1A1A"/>
        </w:rPr>
        <w:t xml:space="preserve">The prohibition is stated correctly. Confirm the current MOU language with Labor Relations, since the standard is audited against the agreement, not the policy.</w:t>
      </w:r>
    </w:p>
    <w:p>
      <w:pPr>
        <w:spacing w:after="160"/>
      </w:pPr>
    </w:p>
    <w:p>
      <w:pPr>
        <w:pStyle w:val="Heading2"/>
      </w:pPr>
      <w:r>
        <w:t xml:space="preserve">Investigations</w:t>
      </w:r>
    </w:p>
    <w:p>
      <w:pPr>
        <w:pStyle w:val="Heading3"/>
        <w:keepNext/>
      </w:pPr>
      <w:r>
        <w:t xml:space="preserve">59. 28 CFR 115.371(g)-(h), (j)-(k)</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 (10 years); Internal Affairs XI.C.1 (5 years); 115.371(j) (tenure plus 5 years)</w:t>
            </w:r>
          </w:p>
        </w:tc>
      </w:tr>
    </w:tbl>
    <w:p>
      <w:pPr>
        <w:spacing w:after="80"/>
      </w:pPr>
    </w:p>
    <w:p>
      <w:pPr>
        <w:spacing w:after="120" w:line="276"/>
      </w:pPr>
      <w:r>
        <w:rPr>
          <w:b/>
          <w:bCs/>
          <w:color w:val="1A1A1A"/>
        </w:rPr>
        <w:t xml:space="preserve">The standard requires. </w:t>
      </w:r>
      <w:r>
        <w:rPr>
          <w:color w:val="1A1A1A"/>
        </w:rPr>
        <w:t xml:space="preserve">Administrative investigations must include an effort to determine whether staff actions or failures to act contributed to the abuse and must be documented in written reports describing physical and testimonial evidence, credibility reasoning, and findings; criminal investigations documented with attached documentary evidence; reports retained as long as the alleged abuser is incarcerated or employed plus five years; departure of the alleged abuser or victim does not terminate an investigation.</w:t>
      </w:r>
    </w:p>
    <w:p>
      <w:pPr>
        <w:spacing w:after="120" w:line="276"/>
      </w:pPr>
      <w:r>
        <w:rPr>
          <w:b/>
          <w:bCs/>
          <w:color w:val="1A1A1A"/>
        </w:rPr>
        <w:t xml:space="preserve">Divergence. </w:t>
      </w:r>
      <w:r>
        <w:rPr>
          <w:color w:val="1A1A1A"/>
        </w:rPr>
        <w:t xml:space="preserve">Three different retention rules now govern the same records. Internal Affairs XI.C.1 retains records of citizen complaints, formal investigations, and dispositions for at least five years. PREA Policy XVIII.B retains all case records associated with claims of sexual abuse for at least ten years. 115.371(j) requires investigation reports to be retained for as long as the alleged abuser is incarcerated or employed by the agency, plus five years, which for a long-tenured employee is far longer than either. A department that destroys a sexual abuse investigation file at five years under the IA schedule violates its own PREA policy and the federal standard. Layer on CCP 352, which tolls a minor's limitations period, and the practical exposure is a file destroyed years before suit is filed. Reconcile the three into a single retention schedule reviewed with County Counsel. Also still missing: the duty to determine whether staff actions or failures to act contributed to the abuse; the required content of administrative and criminal investigative reports; and the rule that departure of the alleged abuser or victim does not terminate an investigation.</w:t>
      </w:r>
    </w:p>
    <w:p>
      <w:pPr>
        <w:spacing w:after="240" w:line="260"/>
      </w:pPr>
      <w:r>
        <w:rPr>
          <w:i/>
          <w:iCs/>
          <w:color w:val="5A5A5A"/>
          <w:sz w:val="19"/>
          <w:szCs w:val="19"/>
        </w:rPr>
        <w:t xml:space="preserve">Change log: MATERIALLY REVISED: was Partial / High. IA five-year retention conflicts with the PREA policy's ten years and with the federal formula.</w:t>
      </w:r>
    </w:p>
    <w:p>
      <w:pPr>
        <w:pStyle w:val="Heading3"/>
        <w:keepNext/>
      </w:pPr>
      <w:r>
        <w:t xml:space="preserve">58. 28 CFR 115.371(a)-(f);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XII.A-C; Internal Affairs Administrative Investigations, General D-F, VII, VIII, X</w:t>
            </w:r>
          </w:p>
        </w:tc>
      </w:tr>
    </w:tbl>
    <w:p>
      <w:pPr>
        <w:spacing w:after="80"/>
      </w:pPr>
    </w:p>
    <w:p>
      <w:pPr>
        <w:spacing w:after="120" w:line="276"/>
      </w:pPr>
      <w:r>
        <w:rPr>
          <w:b/>
          <w:bCs/>
          <w:color w:val="1A1A1A"/>
        </w:rPr>
        <w:t xml:space="preserve">The standard requires. </w:t>
      </w:r>
      <w:r>
        <w:rPr>
          <w:color w:val="1A1A1A"/>
        </w:rPr>
        <w:t xml:space="preserve">Investigate promptly, thoroughly, and objectively all allegations including third-party and anonymous reports; use investigators trained under 115.334; gather and preserve direct and circumstantial evidence including DNA and electronic monitoring data; interview victims, suspects, and witnesses; review prior complaints involving the suspected perpetrator; do not terminate an investigation solely because the source recants; consult prosecutors before compelled interviews; assess credibility individually and never require a victim to submit to a polygraph.</w:t>
      </w:r>
    </w:p>
    <w:p>
      <w:pPr>
        <w:spacing w:after="120" w:line="276"/>
      </w:pPr>
      <w:r>
        <w:rPr>
          <w:b/>
          <w:bCs/>
          <w:color w:val="1A1A1A"/>
        </w:rPr>
        <w:t xml:space="preserve">Divergence. </w:t>
      </w:r>
      <w:r>
        <w:rPr>
          <w:color w:val="1A1A1A"/>
        </w:rPr>
        <w:t xml:space="preserve">The Internal Affairs policy adds real substance: General D requires that all allegations of misconduct from citizen complaints or internal sources be promptly and thoroughly investigated; General E requires fair, impartial, and timely investigation; section VII requires an Administrative Admonishment or Lybarger warning before any interview or interrogation; section X sets a one-year completion timeline consistent with Government Code 3304. Still missing: express acceptance and investigation of third-party and anonymous reports; use of investigators trained under 115.334; the evidence-gathering standard, including physical and DNA evidence and available electronic monitoring data, which matters given the facility's fixed camera and audio recording systems referenced in OO 1362; review of prior complaints and reports of sexual abuse involving the suspected perpetrator; the rule that an investigation is not terminated solely because the source recants; consultation with prosecutors before compelled interviews, which is a live risk given the Lybarger compulsion in section VIII.B; individualized credibility assessment not determined by status as youth or staff; and the prohibition on requiring a youth who alleges abuse to submit to a polygraph.</w:t>
      </w:r>
    </w:p>
    <w:p>
      <w:pPr>
        <w:spacing w:after="240" w:line="260"/>
      </w:pPr>
      <w:r>
        <w:rPr>
          <w:i/>
          <w:iCs/>
          <w:color w:val="5A5A5A"/>
          <w:sz w:val="19"/>
          <w:szCs w:val="19"/>
        </w:rPr>
        <w:t xml:space="preserve">Change log: REVISED: IA policy elements credited; remaining gaps itemized against it.</w:t>
      </w:r>
    </w:p>
    <w:p>
      <w:pPr>
        <w:pStyle w:val="Heading3"/>
        <w:keepNext/>
      </w:pPr>
      <w:r>
        <w:t xml:space="preserve">61. 28 CFR 115.373(a)-(f)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XI.B.1-2</w:t>
            </w:r>
          </w:p>
        </w:tc>
      </w:tr>
    </w:tbl>
    <w:p>
      <w:pPr>
        <w:spacing w:after="80"/>
      </w:pPr>
    </w:p>
    <w:p>
      <w:pPr>
        <w:spacing w:after="120" w:line="276"/>
      </w:pPr>
      <w:r>
        <w:rPr>
          <w:b/>
          <w:bCs/>
          <w:color w:val="1A1A1A"/>
        </w:rPr>
        <w:t xml:space="preserve">The standard requires. </w:t>
      </w:r>
      <w:r>
        <w:rPr>
          <w:color w:val="1A1A1A"/>
        </w:rPr>
        <w:t xml:space="preserve">Inform the resident whether the allegation was substantiated, unsubstantiated, or unfounded; request that information from an outside investigating agency where the agency did not investigate; and, following a staff-abuse allegation, notify the resident when the staff member is no longer posted in the unit, is no longer employed, is indicted, or is convicted; and following a resident-abuse allegation, when the abuser is indicted or convicted; document all notifications and attempted notifications.</w:t>
      </w:r>
    </w:p>
    <w:p>
      <w:pPr>
        <w:spacing w:after="120" w:line="276"/>
      </w:pPr>
      <w:r>
        <w:rPr>
          <w:b/>
          <w:bCs/>
          <w:color w:val="1A1A1A"/>
        </w:rPr>
        <w:t xml:space="preserve">Divergence. </w:t>
      </w:r>
      <w:r>
        <w:rPr>
          <w:color w:val="1A1A1A"/>
        </w:rPr>
        <w:t xml:space="preserve">Internal Affairs XI.B.1 requires that where a formal investigation resulted from a citizen or internal complaint, the complainant be notified in writing of the disposition. Where the youth is the complainant that is a partial answer to 115.373(a), but it is contingent on the youth being treated as the complainant, it uses IA disposition language rather than substantiated, unsubstantiated, or unfounded, and it does not reach the rest of the standard. Still absent: notification where the agency did not conduct the investigation, including the duty to request the outcome from the investigating agency; and the four ongoing notifications following a staff-abuse allegation, when the staff member is no longer posted in the youth's unit, is no longer employed at the facility, is indicted, or is convicted, plus the two parallel notifications following a youth-on-youth allegation. No documentation of notifications or attempted notifications is required.</w:t>
      </w:r>
    </w:p>
    <w:p>
      <w:pPr>
        <w:spacing w:after="240" w:line="260"/>
      </w:pPr>
      <w:r>
        <w:rPr>
          <w:i/>
          <w:iCs/>
          <w:color w:val="5A5A5A"/>
          <w:sz w:val="19"/>
          <w:szCs w:val="19"/>
        </w:rPr>
        <w:t xml:space="preserve">Change log: REVISED: was Not Addressed. IA complainant notification credited as a partial answer.</w:t>
      </w:r>
    </w:p>
    <w:p>
      <w:pPr>
        <w:pStyle w:val="Heading3"/>
        <w:keepNext/>
      </w:pPr>
      <w:r>
        <w:t xml:space="preserve">81. 28 CFR 115.371(g), 115.373(a), 115.387(a)</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XI.A.3 (Unfounded, Exonerated, Not Sustained, Sustained, No Finding, Closed); PREA Policy V.A.8, XVIII.C</w:t>
            </w:r>
          </w:p>
        </w:tc>
      </w:tr>
    </w:tbl>
    <w:p>
      <w:pPr>
        <w:spacing w:after="80"/>
      </w:pPr>
    </w:p>
    <w:p>
      <w:pPr>
        <w:spacing w:after="120" w:line="276"/>
      </w:pPr>
      <w:r>
        <w:rPr>
          <w:b/>
          <w:bCs/>
          <w:color w:val="1A1A1A"/>
        </w:rPr>
        <w:t xml:space="preserve">The standard requires. </w:t>
      </w:r>
      <w:r>
        <w:rPr>
          <w:color w:val="1A1A1A"/>
        </w:rPr>
        <w:t xml:space="preserve">Use a consistent set of definitions across investigation, resident notification, and data collection. PREA findings are substantiated, unsubstantiated, or unfounded, and the incident review and Survey of Sexual Violence data sets are built on those categories.</w:t>
      </w:r>
    </w:p>
    <w:p>
      <w:pPr>
        <w:spacing w:after="120" w:line="276"/>
      </w:pPr>
      <w:r>
        <w:rPr>
          <w:b/>
          <w:bCs/>
          <w:color w:val="1A1A1A"/>
        </w:rPr>
        <w:t xml:space="preserve">Divergence. </w:t>
      </w:r>
      <w:r>
        <w:rPr>
          <w:color w:val="1A1A1A"/>
        </w:rPr>
        <w:t xml:space="preserve">The Internal Affairs disposition taxonomy has six categories and does not map cleanly to the three PREA categories. 'Unfounded' exists in both but carries a different meaning: in IA it means sufficient evidence to prove the complaint false, while in PREA it means the investigation determined the event did not occur, and that difference drives real consequences because an unfounded finding is the only one that switches off both the sexual abuse incident review under 115.386(a) and the retaliation monitoring obligation under 115.367(f). 'Not Sustained' is closest to unsubstantiated but is not the same term. 'Exonerated,' 'No Finding,' and 'Closed' have no PREA equivalent at all. Until the taxonomies are bridged, the department cannot tell a youth the outcome in the terms 115.373 requires, cannot reliably determine when an incident review is triggered, and cannot populate the Survey of Sexual Violence data set. Add a mapping table to the PREA policy translating each IA disposition into a PREA finding.</w:t>
      </w:r>
    </w:p>
    <w:p>
      <w:pPr>
        <w:spacing w:after="240" w:line="260"/>
      </w:pPr>
      <w:r>
        <w:rPr>
          <w:i/>
          <w:iCs/>
          <w:color w:val="5A5A5A"/>
          <w:sz w:val="19"/>
          <w:szCs w:val="19"/>
        </w:rPr>
        <w:t xml:space="preserve">Change log: NEW in revision 2, from the Internal Affairs policy.</w:t>
      </w:r>
    </w:p>
    <w:p>
      <w:pPr>
        <w:pStyle w:val="Heading3"/>
        <w:keepNext/>
      </w:pPr>
      <w:r>
        <w:t xml:space="preserve">60. 28 CFR 115.372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Internal Affairs Administrative Investigations XI.A.3</w:t>
            </w:r>
          </w:p>
        </w:tc>
      </w:tr>
    </w:tbl>
    <w:p>
      <w:pPr>
        <w:spacing w:after="80"/>
      </w:pPr>
    </w:p>
    <w:p>
      <w:pPr>
        <w:spacing w:after="120" w:line="276"/>
      </w:pPr>
      <w:r>
        <w:rPr>
          <w:b/>
          <w:bCs/>
          <w:color w:val="1A1A1A"/>
        </w:rPr>
        <w:t xml:space="preserve">The standard requires. </w:t>
      </w:r>
      <w:r>
        <w:rPr>
          <w:color w:val="1A1A1A"/>
        </w:rPr>
        <w:t xml:space="preserve">Impose no standard higher than a preponderance of the evidence in determining whether allegations are substantiated.</w:t>
      </w:r>
    </w:p>
    <w:p>
      <w:pPr>
        <w:spacing w:after="120" w:line="276"/>
      </w:pPr>
      <w:r>
        <w:rPr>
          <w:b/>
          <w:bCs/>
          <w:color w:val="1A1A1A"/>
        </w:rPr>
        <w:t xml:space="preserve">Divergence. </w:t>
      </w:r>
      <w:r>
        <w:rPr>
          <w:color w:val="1A1A1A"/>
        </w:rPr>
        <w:t xml:space="preserve">The Internal Affairs disposition definitions state that Sustained means there is sufficient evidence to establish by a preponderance of the evidence that the incident occurred and constitutes misconduct. That satisfies 115.372 for employee misconduct investigations. Two caveats worth noting rather than treating as failures here: the standard is stated only for employee investigations, not for administrative determinations on youth-on-youth allegations, and the IA disposition taxonomy does not map to the PREA taxonomy, which is addressed in the row below.</w:t>
      </w:r>
    </w:p>
    <w:p>
      <w:pPr>
        <w:spacing w:after="240" w:line="260"/>
      </w:pPr>
      <w:r>
        <w:rPr>
          <w:i/>
          <w:iCs/>
          <w:color w:val="5A5A5A"/>
          <w:sz w:val="19"/>
          <w:szCs w:val="19"/>
        </w:rPr>
        <w:t xml:space="preserve">Change log: MATERIALLY REVISED: was Not Addressed / High. IA policy states the preponderance standard expressly.</w:t>
      </w:r>
    </w:p>
    <w:p>
      <w:pPr>
        <w:pStyle w:val="Heading2"/>
      </w:pPr>
      <w:r>
        <w:t xml:space="preserve">Discipline</w:t>
      </w:r>
    </w:p>
    <w:p>
      <w:pPr>
        <w:pStyle w:val="Heading3"/>
        <w:keepNext/>
      </w:pPr>
      <w:r>
        <w:t xml:space="preserve">64. 28 CFR 115.378(a)-(g); 15 CCR 1390, 1391</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XIV.A; XIII.B; OO 1362 III.G</w:t>
            </w:r>
          </w:p>
        </w:tc>
      </w:tr>
    </w:tbl>
    <w:p>
      <w:pPr>
        <w:spacing w:after="80"/>
      </w:pPr>
    </w:p>
    <w:p>
      <w:pPr>
        <w:spacing w:after="120" w:line="276"/>
      </w:pPr>
      <w:r>
        <w:rPr>
          <w:b/>
          <w:bCs/>
          <w:color w:val="1A1A1A"/>
        </w:rPr>
        <w:t xml:space="preserve">The standard requires. </w:t>
      </w:r>
      <w:r>
        <w:rPr>
          <w:color w:val="1A1A1A"/>
        </w:rPr>
        <w:t xml:space="preserve">Discipline a resident for resident-on-resident sexual abuse only through a formal disciplinary process following an administrative or criminal finding; sanctions commensurate and consistent; isolation sanctions preserve daily large-muscle exercise, legally required education, and daily clinician visits; consider whether mental disability or illness contributed; discipline a resident for sexual contact with staff only on a finding the staff member did not consent; and a good-faith report based on a reasonable belief is not false reporting or lying even if unsubstantiated.</w:t>
      </w:r>
    </w:p>
    <w:p>
      <w:pPr>
        <w:spacing w:after="120" w:line="276"/>
      </w:pPr>
      <w:r>
        <w:rPr>
          <w:b/>
          <w:bCs/>
          <w:color w:val="1A1A1A"/>
        </w:rPr>
        <w:t xml:space="preserve">Divergence. </w:t>
      </w:r>
      <w:r>
        <w:rPr>
          <w:color w:val="1A1A1A"/>
        </w:rPr>
        <w:t xml:space="preserve">The False Allegations section states that if an investigation determines the allegations 'were false,' the resident making them may be disciplined. That is broader than PREA permits. Under 115.378(f) a good-faith report based on a reasonable belief cannot be treated as false reporting even where the investigation does not substantiate it, and 115.352(g) permits discipline only where the agency demonstrates bad faith. As written, the policy chills reporting, and it will be read to a jury that way. Rewrite to a bad-faith standard with the burden on the department. Also missing: the requirement that discipline for sexual contact with staff issue only on a finding the staff member did not consent, and the mental-disability consideration.</w:t>
      </w:r>
    </w:p>
    <w:p>
      <w:pPr>
        <w:spacing w:after="160"/>
      </w:pPr>
    </w:p>
    <w:p>
      <w:pPr>
        <w:pStyle w:val="Heading3"/>
        <w:keepNext/>
      </w:pPr>
      <w:r>
        <w:t xml:space="preserve">62. 28 CFR 115.376(a)-(d); PC 832.5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XIII.A, VII.A.1-2; Internal Affairs XIII (Disciplinary Process), X (Timelines)</w:t>
            </w:r>
          </w:p>
        </w:tc>
      </w:tr>
    </w:tbl>
    <w:p>
      <w:pPr>
        <w:spacing w:after="80"/>
      </w:pPr>
    </w:p>
    <w:p>
      <w:pPr>
        <w:spacing w:after="120" w:line="276"/>
      </w:pPr>
      <w:r>
        <w:rPr>
          <w:b/>
          <w:bCs/>
          <w:color w:val="1A1A1A"/>
        </w:rPr>
        <w:t xml:space="preserve">The standard requires. </w:t>
      </w:r>
      <w:r>
        <w:rPr>
          <w:color w:val="1A1A1A"/>
        </w:rPr>
        <w:t xml:space="preserve">Staff subject to discipline up to termination; termination is the presumptive sanction for staff who engaged in sexual abuse; sanctions for other policy violations commensurate with the conduct and consistent across comparable cases; all terminations, and resignations by staff who would have been terminated, reported to law enforcement unless clearly non-criminal, and to any relevant licensing bodies.</w:t>
      </w:r>
    </w:p>
    <w:p>
      <w:pPr>
        <w:spacing w:after="120" w:line="276"/>
      </w:pPr>
      <w:r>
        <w:rPr>
          <w:b/>
          <w:bCs/>
          <w:color w:val="1A1A1A"/>
        </w:rPr>
        <w:t xml:space="preserve">Divergence. </w:t>
      </w:r>
      <w:r>
        <w:rPr>
          <w:color w:val="1A1A1A"/>
        </w:rPr>
        <w:t xml:space="preserve">The Internal Affairs policy supplies a complete and well-built disciplinary machinery: Notice of Proposed Discipline, Skelly hearing before an Assistant Chief Deputy or higher not involved in the investigation or adjudication, Order of Disciplinary Action, and affidavits of service. What PREA adds and the department does not have: the presumptive-termination rule for staff who engaged in sexual abuse (115.376(b)), and the duty to report all terminations, and resignations by staff who would have been terminated, to law enforcement unless the conduct was clearly non-criminal and to any relevant licensing or certification bodies (115.376(d)). Coordinate the licensing element with County Counsel and Labor Relations; note that probation officers are peace officers under PC 830.5, which the IA policy itself recognizes at VIII.L.</w:t>
      </w:r>
    </w:p>
    <w:p>
      <w:pPr>
        <w:spacing w:after="240" w:line="260"/>
      </w:pPr>
      <w:r>
        <w:rPr>
          <w:i/>
          <w:iCs/>
          <w:color w:val="5A5A5A"/>
          <w:sz w:val="19"/>
          <w:szCs w:val="19"/>
        </w:rPr>
        <w:t xml:space="preserve">Change log: REVISED: IA disciplinary process credited; the two PREA-specific additions isolated.</w:t>
      </w:r>
    </w:p>
    <w:p>
      <w:pPr>
        <w:pStyle w:val="Heading3"/>
        <w:keepNext/>
      </w:pPr>
      <w:r>
        <w:t xml:space="preserve">63. 28 CFR 115.377(a)-(b)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Code of Conduct VI.E (rescinding or suspending clearance); VI.G (criminal conduct referral)</w:t>
            </w:r>
          </w:p>
        </w:tc>
      </w:tr>
    </w:tbl>
    <w:p>
      <w:pPr>
        <w:spacing w:after="80"/>
      </w:pPr>
    </w:p>
    <w:p>
      <w:pPr>
        <w:spacing w:after="120" w:line="276"/>
      </w:pPr>
      <w:r>
        <w:rPr>
          <w:b/>
          <w:bCs/>
          <w:color w:val="1A1A1A"/>
        </w:rPr>
        <w:t xml:space="preserve">The standard requires. </w:t>
      </w:r>
      <w:r>
        <w:rPr>
          <w:color w:val="1A1A1A"/>
        </w:rPr>
        <w:t xml:space="preserve">Any contractor or volunteer who engages in sexual abuse shall be barred from contact with residents and reported to law enforcement unless clearly non-criminal and to relevant licensing bodies; take appropriate remedial measures for other violations and consider barring further contact.</w:t>
      </w:r>
    </w:p>
    <w:p>
      <w:pPr>
        <w:spacing w:after="120" w:line="276"/>
      </w:pPr>
      <w:r>
        <w:rPr>
          <w:b/>
          <w:bCs/>
          <w:color w:val="1A1A1A"/>
        </w:rPr>
        <w:t xml:space="preserve">Divergence. </w:t>
      </w:r>
      <w:r>
        <w:rPr>
          <w:color w:val="1A1A1A"/>
        </w:rPr>
        <w:t xml:space="preserve">The clearance-suspension and criminal-referral machinery is well built out and largely accomplishes the standard in practice. Missing: express reporting to relevant licensing bodies, and a PREA-specific trigger. The Code of Conduct is dated 06/01/11 and does not mention sexual abuse or PREA at all.</w:t>
      </w:r>
    </w:p>
    <w:p>
      <w:pPr>
        <w:spacing w:after="160"/>
      </w:pPr>
    </w:p>
    <w:p>
      <w:pPr>
        <w:pStyle w:val="Heading2"/>
      </w:pPr>
      <w:r>
        <w:t xml:space="preserve">Medical and Mental Health</w:t>
      </w:r>
    </w:p>
    <w:p>
      <w:pPr>
        <w:pStyle w:val="Heading3"/>
        <w:keepNext/>
      </w:pPr>
      <w:r>
        <w:t xml:space="preserve">65. 28 CFR 115.381(a)-(b)</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III.C</w:t>
            </w:r>
          </w:p>
        </w:tc>
      </w:tr>
    </w:tbl>
    <w:p>
      <w:pPr>
        <w:spacing w:after="80"/>
      </w:pPr>
    </w:p>
    <w:p>
      <w:pPr>
        <w:spacing w:after="120" w:line="276"/>
      </w:pPr>
      <w:r>
        <w:rPr>
          <w:b/>
          <w:bCs/>
          <w:color w:val="1A1A1A"/>
        </w:rPr>
        <w:t xml:space="preserve">The standard requires. </w:t>
      </w:r>
      <w:r>
        <w:rPr>
          <w:color w:val="1A1A1A"/>
        </w:rPr>
        <w:t xml:space="preserve">Where screening indicates prior sexual victimization, offer a follow-up meeting with a medical or mental health practitioner within 14 days of the intake screening; where screening indicates prior perpetration of sexual abuse, offer a follow-up meeting with a mental health practitioner within 14 days.</w:t>
      </w:r>
    </w:p>
    <w:p>
      <w:pPr>
        <w:spacing w:after="120" w:line="276"/>
      </w:pPr>
      <w:r>
        <w:rPr>
          <w:b/>
          <w:bCs/>
          <w:color w:val="1A1A1A"/>
        </w:rPr>
        <w:t xml:space="preserve">Divergence. </w:t>
      </w:r>
      <w:r>
        <w:rPr>
          <w:color w:val="1A1A1A"/>
        </w:rPr>
        <w:t xml:space="preserve">Residents identified with such a history are referred to Mental Health as a high priority for evaluation, which is directionally right but does not meet the standard. Missing: the 14-day clock, the distinction between prior victimization and prior abusiveness, and the requirement that the meeting be offered rather than merely referred.</w:t>
      </w:r>
    </w:p>
    <w:p>
      <w:pPr>
        <w:spacing w:after="160"/>
      </w:pPr>
    </w:p>
    <w:p>
      <w:pPr>
        <w:pStyle w:val="Heading3"/>
        <w:keepNext/>
      </w:pPr>
      <w:r>
        <w:t xml:space="preserve">66. 28 CFR 115.381(c)-(d); 15 CCR 1407</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1350.5 Purpose and Scope; PREA Policy I.Q</w:t>
            </w:r>
          </w:p>
        </w:tc>
      </w:tr>
    </w:tbl>
    <w:p>
      <w:pPr>
        <w:spacing w:after="80"/>
      </w:pPr>
    </w:p>
    <w:p>
      <w:pPr>
        <w:spacing w:after="120" w:line="276"/>
      </w:pPr>
      <w:r>
        <w:rPr>
          <w:b/>
          <w:bCs/>
          <w:color w:val="1A1A1A"/>
        </w:rPr>
        <w:t xml:space="preserve">The standard requires. </w:t>
      </w:r>
      <w:r>
        <w:rPr>
          <w:color w:val="1A1A1A"/>
        </w:rPr>
        <w:t xml:space="preserve">Limit information about institutional sexual victimization or abusiveness to medical and mental health practitioners and other staff as necessary for treatment and security decisions; obtain informed consent before reporting non-institutional prior victimization unless the resident is under 18.</w:t>
      </w:r>
    </w:p>
    <w:p>
      <w:pPr>
        <w:spacing w:after="120" w:line="276"/>
      </w:pPr>
      <w:r>
        <w:rPr>
          <w:b/>
          <w:bCs/>
          <w:color w:val="1A1A1A"/>
        </w:rPr>
        <w:t xml:space="preserve">Divergence. </w:t>
      </w:r>
      <w:r>
        <w:rPr>
          <w:color w:val="1A1A1A"/>
        </w:rPr>
        <w:t xml:space="preserve">Confidentiality of classification material is stated. The informed-consent rule matters for residents 18 and over housed at YDF, which Title 15 expressly contemplates in its definition of 'youth,' and is not addressed.</w:t>
      </w:r>
    </w:p>
    <w:p>
      <w:pPr>
        <w:spacing w:after="160"/>
      </w:pPr>
    </w:p>
    <w:p>
      <w:pPr>
        <w:pStyle w:val="Heading3"/>
        <w:keepNext/>
      </w:pPr>
      <w:r>
        <w:t xml:space="preserve">67. 28 CFR 115.382(a)-(d); 15 CCR 1453</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VIII.A, VIII.C; XV.A</w:t>
            </w:r>
          </w:p>
        </w:tc>
      </w:tr>
    </w:tbl>
    <w:p>
      <w:pPr>
        <w:spacing w:after="80"/>
      </w:pPr>
    </w:p>
    <w:p>
      <w:pPr>
        <w:spacing w:after="120" w:line="276"/>
      </w:pPr>
      <w:r>
        <w:rPr>
          <w:b/>
          <w:bCs/>
          <w:color w:val="1A1A1A"/>
        </w:rPr>
        <w:t xml:space="preserve">The standard requires. </w:t>
      </w:r>
      <w:r>
        <w:rPr>
          <w:color w:val="1A1A1A"/>
        </w:rPr>
        <w:t xml:space="preserve">Timely unimpeded access to emergency medical treatment and crisis intervention; where no clinician is on duty, first responders take protective steps and immediately notify practitioners; offer timely information about and access to emergency contraception and sexually transmitted infection prophylaxis where medically appropriate; provide services without financial cost and regardless of whether the victim names the abuser or cooperates with an investigation.</w:t>
      </w:r>
    </w:p>
    <w:p>
      <w:pPr>
        <w:spacing w:after="120" w:line="276"/>
      </w:pPr>
      <w:r>
        <w:rPr>
          <w:b/>
          <w:bCs/>
          <w:color w:val="1A1A1A"/>
        </w:rPr>
        <w:t xml:space="preserve">Divergence. </w:t>
      </w:r>
      <w:r>
        <w:rPr>
          <w:color w:val="1A1A1A"/>
        </w:rPr>
        <w:t xml:space="preserve">Immediate notification of the Duty Supervisor, evidentiary examination, crisis counseling, and follow-up STI and HIV testing as clinically indicated are addressed. Missing: emergency contraception and STI prophylaxis, the no-cost provision, and the express rule that treatment does not depend on naming the abuser or cooperating with the investigation.</w:t>
      </w:r>
    </w:p>
    <w:p>
      <w:pPr>
        <w:spacing w:after="160"/>
      </w:pPr>
    </w:p>
    <w:p>
      <w:pPr>
        <w:pStyle w:val="Heading3"/>
        <w:keepNext/>
      </w:pPr>
      <w:r>
        <w:t xml:space="preserve">68. 28 CFR 115.383(a)-(h)</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XV.A-B; XVII.A</w:t>
            </w:r>
          </w:p>
        </w:tc>
      </w:tr>
    </w:tbl>
    <w:p>
      <w:pPr>
        <w:spacing w:after="80"/>
      </w:pPr>
    </w:p>
    <w:p>
      <w:pPr>
        <w:spacing w:after="120" w:line="276"/>
      </w:pPr>
      <w:r>
        <w:rPr>
          <w:b/>
          <w:bCs/>
          <w:color w:val="1A1A1A"/>
        </w:rPr>
        <w:t xml:space="preserve">The standard requires. </w:t>
      </w:r>
      <w:r>
        <w:rPr>
          <w:color w:val="1A1A1A"/>
        </w:rPr>
        <w:t xml:space="preserve">Offer medical and mental health evaluation and treatment to all residents victimized in any confinement facility; include follow-up services, treatment plans, and referrals on transfer or release; provide care consistent with the community level of care; offer pregnancy tests after sexually abusive vaginal penetration and access to pregnancy-related services; offer STI testing; provide all services at no cost and regardless of cooperation; attempt a mental health evaluation of all known resident-on-resident abusers within 60 days.</w:t>
      </w:r>
    </w:p>
    <w:p>
      <w:pPr>
        <w:spacing w:after="120" w:line="276"/>
      </w:pPr>
      <w:r>
        <w:rPr>
          <w:b/>
          <w:bCs/>
          <w:color w:val="1A1A1A"/>
        </w:rPr>
        <w:t xml:space="preserve">Divergence. </w:t>
      </w:r>
      <w:r>
        <w:rPr>
          <w:color w:val="1A1A1A"/>
        </w:rPr>
        <w:t xml:space="preserve">Crisis counseling, suicide and self-injury monitoring, and community re-entry referral on request are present. Missing: ongoing evaluation and treatment for victims of abuse suffered at any confinement facility; treatment plans and transfer or release referrals; the community level of care standard; pregnancy testing and pregnancy-related services; the no-cost and no-conditions rule; and the 60-day mental health evaluation of known resident-on-resident abusers.</w:t>
      </w:r>
    </w:p>
    <w:p>
      <w:pPr>
        <w:spacing w:after="160"/>
      </w:pPr>
    </w:p>
    <w:p>
      <w:pPr>
        <w:pStyle w:val="Heading2"/>
      </w:pPr>
      <w:r>
        <w:t xml:space="preserve">Data Collection and Review</w:t>
      </w:r>
    </w:p>
    <w:p>
      <w:pPr>
        <w:pStyle w:val="Heading3"/>
        <w:keepNext/>
      </w:pPr>
      <w:r>
        <w:t xml:space="preserve">71. 28 CFR 115.388(a)-(d)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w:t>
            </w:r>
          </w:p>
        </w:tc>
      </w:tr>
    </w:tbl>
    <w:p>
      <w:pPr>
        <w:spacing w:after="80"/>
      </w:pPr>
    </w:p>
    <w:p>
      <w:pPr>
        <w:spacing w:after="120" w:line="276"/>
      </w:pPr>
      <w:r>
        <w:rPr>
          <w:b/>
          <w:bCs/>
          <w:color w:val="1A1A1A"/>
        </w:rPr>
        <w:t xml:space="preserve">The standard requires. </w:t>
      </w:r>
      <w:r>
        <w:rPr>
          <w:color w:val="1A1A1A"/>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p>
      <w:pPr>
        <w:spacing w:after="120" w:line="276"/>
      </w:pPr>
      <w:r>
        <w:rPr>
          <w:b/>
          <w:bCs/>
          <w:color w:val="1A1A1A"/>
        </w:rPr>
        <w:t xml:space="preserve">Divergence. </w:t>
      </w:r>
      <w:r>
        <w:rPr>
          <w:color w:val="1A1A1A"/>
        </w:rPr>
        <w:t xml:space="preserve">This is the tracking hole. Section XVIII of the PREA policy is titled Tracking and Data Collection but contains only collection, retention, and publication of raw aggregate data. There is no requirement to analyze the data, identify problem areas, take corrective action, or produce an annual findings-and-corrective-action report approved by the Chief Probation Officer and published. Data that is collected and never analyzed is, in litigation, evidence of notice without response. Highest-value single fix in this list after the PREA Coordinator.</w:t>
      </w:r>
    </w:p>
    <w:p>
      <w:pPr>
        <w:spacing w:after="160"/>
      </w:pPr>
    </w:p>
    <w:p>
      <w:pPr>
        <w:pStyle w:val="Heading3"/>
        <w:keepNext/>
      </w:pPr>
      <w:r>
        <w:t xml:space="preserve">69. 28 CFR 115.386(a)-(e)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1453 (Sexual Assault) I.A.15; PREA Policy V.A.8</w:t>
            </w:r>
          </w:p>
        </w:tc>
      </w:tr>
    </w:tbl>
    <w:p>
      <w:pPr>
        <w:spacing w:after="80"/>
      </w:pPr>
    </w:p>
    <w:p>
      <w:pPr>
        <w:spacing w:after="120" w:line="276"/>
      </w:pPr>
      <w:r>
        <w:rPr>
          <w:b/>
          <w:bCs/>
          <w:color w:val="1A1A1A"/>
        </w:rPr>
        <w:t xml:space="preserve">The standard requires. </w:t>
      </w:r>
      <w:r>
        <w:rPr>
          <w:color w:val="1A1A1A"/>
        </w:rPr>
        <w:t xml:space="preserve">Conduct a sexual abuse incident review at the conclusion of every investigation, including unsubstantiated allegations but excluding unfounded ones, ordinarily within 30 days; the team must include upper-level management with input from line supervisors, investigators, and clinicians; the review must consider whether policy or practice should change, whether the incident was motivated by race, ethnicity, gender identity, LGBTI status, gang affiliation, or other group dynamics, examine the physical area for barriers enabling abuse, assess staffing adequacy on that shift, and assess whether monitoring technology should be deployed or augmented; prepare a written report to the facility head and PREA Compliance Manager; implement the recommendations or document why not.</w:t>
      </w:r>
    </w:p>
    <w:p>
      <w:pPr>
        <w:spacing w:after="120" w:line="276"/>
      </w:pPr>
      <w:r>
        <w:rPr>
          <w:b/>
          <w:bCs/>
          <w:color w:val="1A1A1A"/>
        </w:rPr>
        <w:t xml:space="preserve">Divergence. </w:t>
      </w:r>
      <w:r>
        <w:rPr>
          <w:color w:val="1A1A1A"/>
        </w:rPr>
        <w:t xml:space="preserve">Materially better than earlier revisions showed. OO 1453 I.A.15 requires that at the conclusion of the sexual assault investigation an incident review be conducted by upper management officials, with input from supervisors, investigators, and medical or mental health practitioners, and that a report be generated and forwarded to the PREA Coordinator and the Department Chief. That satisfies the team composition requirement of 115.386(b), the written report requirement of 115.386(d), and the routing to the facility head and compliance manager. Combined with PREA Policy V.A.8, which supplies the correct trigger including unsubstantiated allegations, the architecture is largely in place. Three elements remain: the ordinarily-within-30-days timeframe; the five substantive considerations at 115.386(c), meaning whether policy or practice should change, whether the incident was motivated by race, ethnicity, gender identity, LGBTI status, gang affiliation or other group dynamics, whether the physical area enabled abuse, whether staffing on that shift was adequate, and whether monitoring technology should be deployed or augmented; and the implement-or-document-why-not requirement at 115.386(e). Note the report has no valid recipient until a PREA Coordinator is designated.</w:t>
      </w:r>
    </w:p>
    <w:p>
      <w:pPr>
        <w:spacing w:after="240" w:line="260"/>
      </w:pPr>
      <w:r>
        <w:rPr>
          <w:i/>
          <w:iCs/>
          <w:color w:val="5A5A5A"/>
          <w:sz w:val="19"/>
          <w:szCs w:val="19"/>
        </w:rPr>
        <w:t xml:space="preserve">Change log: MATERIALLY REVISED in 3: OO 1453 I.A.15 supplies team, report, and routing. Remaining gap narrowed to timeframe, the five elements, and implementation.</w:t>
      </w:r>
    </w:p>
    <w:p>
      <w:pPr>
        <w:pStyle w:val="Heading3"/>
        <w:keepNext/>
      </w:pPr>
      <w:r>
        <w:t xml:space="preserve">70. 28 CFR 115.387(a)-(f)</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XVIII.C; OO 1362 (JPIP IIR); OO 1361 II.E (IA Pro grievance log)</w:t>
            </w:r>
          </w:p>
        </w:tc>
      </w:tr>
    </w:tbl>
    <w:p>
      <w:pPr>
        <w:spacing w:after="80"/>
      </w:pPr>
    </w:p>
    <w:p>
      <w:pPr>
        <w:spacing w:after="120" w:line="276"/>
      </w:pPr>
      <w:r>
        <w:rPr>
          <w:b/>
          <w:bCs/>
          <w:color w:val="1A1A1A"/>
        </w:rPr>
        <w:t xml:space="preserve">The standard requires. </w:t>
      </w:r>
      <w:r>
        <w:rPr>
          <w:color w:val="1A1A1A"/>
        </w:rPr>
        <w:t xml:space="preserve">Collect accurate uniform data for every allegation using a standardized instrument and set of definitions; aggregate at least annually; include the data necessary to answer all questions from the most recent DOJ Survey of Sexual Violence; maintain, review, and collect data from all incident-based documents including reports, investigation files, and incident reviews; obtain data from every contracted private facility; provide the previous calendar year's data to DOJ by June 30 on request.</w:t>
      </w:r>
    </w:p>
    <w:p>
      <w:pPr>
        <w:spacing w:after="120" w:line="276"/>
      </w:pPr>
      <w:r>
        <w:rPr>
          <w:b/>
          <w:bCs/>
          <w:color w:val="1A1A1A"/>
        </w:rPr>
        <w:t xml:space="preserve">Divergence. </w:t>
      </w:r>
      <w:r>
        <w:rPr>
          <w:color w:val="1A1A1A"/>
        </w:rPr>
        <w:t xml:space="preserve">JPIP Institutional Incident Report documentation, an annual submission by the Assistant Chief Deputy to the Bureau of Justice Statistics, and June 30 provision to DOJ on request are stated. Two existing systems could carry the data without new infrastructure: the JPIP IIR application, which already captures serious events including sexual assault and inappropriate sexual behavior under OO 1362 I.A.13, and IA Pro, in which OO 1361 II.E requires every grievance to be logged with eleven fields including the nature of the grievance. Neither currently carries a PREA flag, so identifying the sexual abuse and sexual harassment population requires narrative review. Still missing: a standardized data collection instrument and set of definitions, alignment of collected fields to the current DOJ Survey of Sexual Violence question set, extraction from investigation files and incident reviews rather than IIRs alone, and collection from any contracted facility.</w:t>
      </w:r>
    </w:p>
    <w:p>
      <w:pPr>
        <w:spacing w:after="240" w:line="260"/>
      </w:pPr>
      <w:r>
        <w:rPr>
          <w:i/>
          <w:iCs/>
          <w:color w:val="5A5A5A"/>
          <w:sz w:val="19"/>
          <w:szCs w:val="19"/>
        </w:rPr>
        <w:t xml:space="preserve">Change log: REVISED: IA Pro and JPIP identified as existing carriers for the data set.</w:t>
      </w:r>
    </w:p>
    <w:p>
      <w:pPr>
        <w:pStyle w:val="Heading3"/>
        <w:keepNext/>
      </w:pPr>
      <w:r>
        <w:t xml:space="preserve">72. 28 CFR 115.389(a)-(d)</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XVIII.B-C</w:t>
            </w:r>
          </w:p>
        </w:tc>
      </w:tr>
    </w:tbl>
    <w:p>
      <w:pPr>
        <w:spacing w:after="80"/>
      </w:pPr>
    </w:p>
    <w:p>
      <w:pPr>
        <w:spacing w:after="120" w:line="276"/>
      </w:pPr>
      <w:r>
        <w:rPr>
          <w:b/>
          <w:bCs/>
          <w:color w:val="1A1A1A"/>
        </w:rPr>
        <w:t xml:space="preserve">The standard requires. </w:t>
      </w:r>
      <w:r>
        <w:rPr>
          <w:color w:val="1A1A1A"/>
        </w:rPr>
        <w:t xml:space="preserve">Securely retain collected data; make aggregated data publicly available at least annually with all personal identifiers removed; retain the data for at least 10 years unless law requires otherwise.</w:t>
      </w:r>
    </w:p>
    <w:p>
      <w:pPr>
        <w:spacing w:after="120" w:line="276"/>
      </w:pPr>
      <w:r>
        <w:rPr>
          <w:b/>
          <w:bCs/>
          <w:color w:val="1A1A1A"/>
        </w:rPr>
        <w:t xml:space="preserve">Divergence. </w:t>
      </w:r>
      <w:r>
        <w:rPr>
          <w:color w:val="1A1A1A"/>
        </w:rPr>
        <w:t xml:space="preserve">Ten-year retention of case records and at least annual public availability through the website or other means are both required by policy. Add the express removal of personal identifiers before publication and a secure retention statement. Verify the annual publication is actually occurring, since an unperformed publication requirement is worse than none.</w:t>
      </w:r>
    </w:p>
    <w:p>
      <w:pPr>
        <w:spacing w:after="160"/>
      </w:pPr>
    </w:p>
    <w:p>
      <w:pPr>
        <w:pStyle w:val="Heading2"/>
      </w:pPr>
      <w:r>
        <w:t xml:space="preserve">Audit</w:t>
      </w:r>
    </w:p>
    <w:p>
      <w:pPr>
        <w:pStyle w:val="Heading3"/>
        <w:keepNext/>
      </w:pPr>
      <w:r>
        <w:t xml:space="preserve">73. 28 CFR 115.393; 115.401-115.405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None. Department reports no PREA audits are conducted; reliance is placed on Title 15 inspection.</w:t>
            </w:r>
          </w:p>
        </w:tc>
      </w:tr>
    </w:tbl>
    <w:p>
      <w:pPr>
        <w:spacing w:after="80"/>
      </w:pPr>
    </w:p>
    <w:p>
      <w:pPr>
        <w:spacing w:after="120" w:line="276"/>
      </w:pPr>
      <w:r>
        <w:rPr>
          <w:b/>
          <w:bCs/>
          <w:color w:val="1A1A1A"/>
        </w:rPr>
        <w:t xml:space="preserve">The standard requires. </w:t>
      </w:r>
      <w:r>
        <w:rPr>
          <w:color w:val="1A1A1A"/>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p>
      <w:pPr>
        <w:spacing w:after="120" w:line="276"/>
      </w:pPr>
      <w:r>
        <w:rPr>
          <w:b/>
          <w:bCs/>
          <w:color w:val="1A1A1A"/>
        </w:rPr>
        <w:t xml:space="preserve">Divergence. </w:t>
      </w:r>
      <w:r>
        <w:rPr>
          <w:color w:val="1A1A1A"/>
        </w:rPr>
        <w:t xml:space="preserve">Confirmed by the department: YDF does not undergo PREA audits and relies on Title 15 inspection instead. Two points. First, a Title 15 inspection is not a substitute and provides no defense on any standard Title 15 does not contain, which includes every structural standard in this register: the PREA Coordinator and Compliance Manager, the documented staffing plan and the 1:8 and 1:16 ratios, hiring and contractor screening at 115.317, specialized investigator training, retaliation monitoring, notification of investigation outcomes to residents, notification to parents and counsel, the data analysis and corrective action loop, and the audit cycle itself. A clean BSCC inspection will not answer the question a plaintiff's expert asks. Second, verify the inspection cadence: WIC 209 provides for BSCC inspection of juvenile halls biennially, and for annual inspection by the judge of the juvenile court, with fire and health inspections on their own schedules. If YDF is in fact receiving BSCC visits more than once a year, confirm what those visits are, because the answer affects what the department can represent about its oversight.</w:t>
      </w:r>
    </w:p>
    <w:p>
      <w:pPr>
        <w:spacing w:after="240" w:line="260"/>
      </w:pPr>
      <w:r>
        <w:rPr>
          <w:i/>
          <w:iCs/>
          <w:color w:val="5A5A5A"/>
          <w:sz w:val="19"/>
          <w:szCs w:val="19"/>
        </w:rPr>
        <w:t xml:space="preserve">Change log: REVISED in 3: department confirms no PREA audits; Title 15 inspection relied on as substitute.</w:t>
      </w:r>
    </w:p>
    <w:p>
      <w:pPr>
        <w:pStyle w:val="Heading2"/>
      </w:pPr>
      <w:r>
        <w:t xml:space="preserve">California-Specific</w:t>
      </w:r>
    </w:p>
    <w:p>
      <w:pPr>
        <w:pStyle w:val="Heading3"/>
        <w:keepNext/>
      </w:pPr>
      <w:r>
        <w:t xml:space="preserve">74. 15 CCR 1324(a)-(n)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Critical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(rev. 04/25/2013); Internal Affairs Administrative Investigations (eff. 01/11/2011, no revision shown); OO 1361 (eff. 01/01/2011, rev. 04/03/2019)</w:t>
            </w:r>
          </w:p>
        </w:tc>
      </w:tr>
    </w:tbl>
    <w:p>
      <w:pPr>
        <w:spacing w:after="80"/>
      </w:pPr>
    </w:p>
    <w:p>
      <w:pPr>
        <w:spacing w:after="120" w:line="276"/>
      </w:pPr>
      <w:r>
        <w:rPr>
          <w:b/>
          <w:bCs/>
          <w:color w:val="1A1A1A"/>
        </w:rPr>
        <w:t xml:space="preserve">The standard requires. </w:t>
      </w:r>
      <w:r>
        <w:rPr>
          <w:color w:val="1A1A1A"/>
        </w:rPr>
        <w:t xml:space="preserve">Maintain a written policy and procedure manual addressing at a minimum all applicable regulations, made available to and reviewed by all employees, administratively reviewed at least every two years and updated as necessary.</w:t>
      </w:r>
    </w:p>
    <w:p>
      <w:pPr>
        <w:spacing w:after="120" w:line="276"/>
      </w:pPr>
      <w:r>
        <w:rPr>
          <w:b/>
          <w:bCs/>
          <w:color w:val="1A1A1A"/>
        </w:rPr>
        <w:t xml:space="preserve">Divergence. </w:t>
      </w:r>
      <w:r>
        <w:rPr>
          <w:color w:val="1A1A1A"/>
        </w:rPr>
        <w:t xml:space="preserve">15 CCR 1324 requires the policy manual to be administratively reviewed at least every two years and updated as necessary. The governing PREA policy has not been revised since April 2013 and predates the January 1, 2019 Title 15 rewrite that added 1350.5, 1352.5, 1324(n), and 1361(h), as well as WIC 208.3 and the renumbering of PC 288a to PC 287. The Internal Affairs Administrative Investigations policy is dated January 11, 2011 with no revision shown, making it roughly fifteen years old, and it governs every sexual abuse investigation involving an employee. On its face this is a 1324 review failure independent of any substantive gap. The 2019 and 2020 operations orders (1350.5, 1352, 1360, 1361, 1362) are current by contrast, which makes the age of the two governing documents more conspicuous, not less.</w:t>
      </w:r>
    </w:p>
    <w:p>
      <w:pPr>
        <w:spacing w:after="240" w:line="260"/>
      </w:pPr>
      <w:r>
        <w:rPr>
          <w:i/>
          <w:iCs/>
          <w:color w:val="5A5A5A"/>
          <w:sz w:val="19"/>
          <w:szCs w:val="19"/>
        </w:rPr>
        <w:t xml:space="preserve">Change log: REVISED: Internal Affairs policy age added.</w:t>
      </w:r>
    </w:p>
    <w:p>
      <w:pPr>
        <w:pStyle w:val="Heading3"/>
        <w:keepNext/>
      </w:pPr>
      <w:r>
        <w:t xml:space="preserve">78. 28 CFR 115.331(a)(11); PC 261.5, 286, 287, 288, 289, 289.6</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PREA Policy I.I.1; OO 1352 II.G.1</w:t>
            </w:r>
          </w:p>
        </w:tc>
      </w:tr>
    </w:tbl>
    <w:p>
      <w:pPr>
        <w:spacing w:after="80"/>
      </w:pPr>
    </w:p>
    <w:p>
      <w:pPr>
        <w:spacing w:after="120" w:line="276"/>
      </w:pPr>
      <w:r>
        <w:rPr>
          <w:b/>
          <w:bCs/>
          <w:color w:val="1A1A1A"/>
        </w:rPr>
        <w:t xml:space="preserve">The standard requires. </w:t>
      </w:r>
      <w:r>
        <w:rPr>
          <w:color w:val="1A1A1A"/>
        </w:rPr>
        <w:t xml:space="preserve">Train staff on relevant laws regarding the applicable age of consent, and maintain accurate statutory citations in policy.</w:t>
      </w:r>
    </w:p>
    <w:p>
      <w:pPr>
        <w:spacing w:after="120" w:line="276"/>
      </w:pPr>
      <w:r>
        <w:rPr>
          <w:b/>
          <w:bCs/>
          <w:color w:val="1A1A1A"/>
        </w:rPr>
        <w:t xml:space="preserve">Divergence. </w:t>
      </w:r>
      <w:r>
        <w:rPr>
          <w:color w:val="1A1A1A"/>
        </w:rPr>
        <w:t xml:space="preserve">The PREA policy definitions section cites 'Penal Code Section 288a (Oral Copulation).' PC 288a was renumbered to PC 287 by SB 1494 effective January 1, 2019. OO 1352 II.G.1 carries the same problem from the other direction: the S-4 High criteria list sodomy under 286 PC, lewd or lascivious acts under 288 PC, and rape under 261 PC, but omit 287 entirely, so a youth with a documented 287 adjudication does not meet the enumerated S-4 High criteria on the face of the order. OO 1352 II.C.3 also references a pending commitment to the Division of Juvenile Justice, which closed on June 30, 2023 under SB 823. Age of consent is separately not addressed as a training topic.</w:t>
      </w:r>
    </w:p>
    <w:p>
      <w:pPr>
        <w:spacing w:after="240" w:line="260"/>
      </w:pPr>
      <w:r>
        <w:rPr>
          <w:i/>
          <w:iCs/>
          <w:color w:val="5A5A5A"/>
          <w:sz w:val="19"/>
          <w:szCs w:val="19"/>
        </w:rPr>
        <w:t xml:space="preserve">Change log: REVISED: was Medium. OO 1352 S-4 High omits PC 287 from the enumerated offenses, which is an operational gap, not just a citation error. DJJ reference also noted.</w:t>
      </w:r>
    </w:p>
    <w:p>
      <w:pPr>
        <w:pStyle w:val="Heading3"/>
        <w:keepNext/>
      </w:pPr>
      <w:r>
        <w:t xml:space="preserve">79. 15 CCR 1350; 15 CCR 1350.5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shd w:fill="F2DEDE" w:color="auto" w:val="clear"/>
            <w:tcMar>
              <w:top w:type="dxa" w:w="60"/>
              <w:left w:type="dxa" w:w="100"/>
              <w:bottom w:type="dxa" w:w="60"/>
              <w:right w:type="dxa" w:w="100"/>
            </w:tcMar>
          </w:tcPr>
          <w:p>
            <w:pPr>
              <w:spacing w:after="40" w:before="40" w:line="240"/>
            </w:pPr>
            <w:r>
              <w:rPr>
                <w:b/>
                <w:bCs/>
                <w:color w:val="1A1A1A"/>
                <w:sz w:val="19"/>
                <w:szCs w:val="19"/>
              </w:rPr>
              <w:t xml:space="preserve">Conflict, High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Detention and Intake Responsibility (Juvenile Hall P&amp;P, J-3.4)</w:t>
            </w:r>
          </w:p>
        </w:tc>
      </w:tr>
    </w:tbl>
    <w:p>
      <w:pPr>
        <w:spacing w:after="80"/>
      </w:pPr>
    </w:p>
    <w:p>
      <w:pPr>
        <w:spacing w:after="120" w:line="276"/>
      </w:pPr>
      <w:r>
        <w:rPr>
          <w:b/>
          <w:bCs/>
          <w:color w:val="1A1A1A"/>
        </w:rPr>
        <w:t xml:space="preserve">The standard requires. </w:t>
      </w:r>
      <w:r>
        <w:rPr>
          <w:color w:val="1A1A1A"/>
        </w:rPr>
        <w:t xml:space="preserve">Intake and admittance policies must be consistent with 15 CCR 1350 and 1350.5 and reflect current law.</w:t>
      </w:r>
    </w:p>
    <w:p>
      <w:pPr>
        <w:spacing w:after="120" w:line="276"/>
      </w:pPr>
      <w:r>
        <w:rPr>
          <w:b/>
          <w:bCs/>
          <w:color w:val="1A1A1A"/>
        </w:rPr>
        <w:t xml:space="preserve">Divergence. </w:t>
      </w:r>
      <w:r>
        <w:rPr>
          <w:color w:val="1A1A1A"/>
        </w:rPr>
        <w:t xml:space="preserve">This policy contains no PREA or sexual abuse screening content and does not reference OO 1350.5. It is also substantively obsolete: it repeatedly references the California Youth Authority and CYA parolees, and CYA became the Division of Juvenile Justice in 2005 and closed entirely on June 30, 2023 under SB 823. It also omits the 15 CCR 1350(a) admittance elements added in 2019. Recommend full rewrite and an explicit link to the 1350.5 screening.</w:t>
      </w:r>
    </w:p>
    <w:p>
      <w:pPr>
        <w:spacing w:after="160"/>
      </w:pPr>
    </w:p>
    <w:p>
      <w:pPr>
        <w:pStyle w:val="Heading3"/>
        <w:keepNext/>
      </w:pPr>
      <w:r>
        <w:t xml:space="preserve">77. 28 CFR 115.361(b); WIC 15610.23, 15630; GO Mandatory Reporting: Dependent Adult and Elder Abuse</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Partial,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General Order, Mandatory Reporting: Dependent Adult and Elder Abuse (eff. 06/30/2017)</w:t>
            </w:r>
          </w:p>
        </w:tc>
      </w:tr>
    </w:tbl>
    <w:p>
      <w:pPr>
        <w:spacing w:after="80"/>
      </w:pPr>
    </w:p>
    <w:p>
      <w:pPr>
        <w:spacing w:after="120" w:line="276"/>
      </w:pPr>
      <w:r>
        <w:rPr>
          <w:b/>
          <w:bCs/>
          <w:color w:val="1A1A1A"/>
        </w:rPr>
        <w:t xml:space="preserve">The standard requires. </w:t>
      </w:r>
      <w:r>
        <w:rPr>
          <w:color w:val="1A1A1A"/>
        </w:rPr>
        <w:t xml:space="preserve">Mandated reporters must report known or suspected abuse of a dependent adult to Adult Protective Services or local law enforcement immediately or as soon as practicably possible, with a written or internet report within two working days.</w:t>
      </w:r>
    </w:p>
    <w:p>
      <w:pPr>
        <w:spacing w:after="120" w:line="276"/>
      </w:pPr>
      <w:r>
        <w:rPr>
          <w:b/>
          <w:bCs/>
          <w:color w:val="1A1A1A"/>
        </w:rPr>
        <w:t xml:space="preserve">Divergence. </w:t>
      </w:r>
      <w:r>
        <w:rPr>
          <w:color w:val="1A1A1A"/>
        </w:rPr>
        <w:t xml:space="preserve">The department has a functioning dependent adult reporting order, but the PREA policy's reporting provisions (V.A.4-6) address only child abuse reporting. Title 15 defines 'youth' to include persons over 18 in custody, and a detained resident aged 18 to 64 with a qualifying physical or mental limitation may meet the WIC 15610.23 dependent adult definition. Add a cross-reference so staff have a defined reporting pathway for residents who are 18 or older, who fall outside CANRA.</w:t>
      </w:r>
    </w:p>
    <w:p>
      <w:pPr>
        <w:spacing w:after="160"/>
      </w:pPr>
    </w:p>
    <w:p>
      <w:pPr>
        <w:pStyle w:val="Heading3"/>
        <w:keepNext/>
      </w:pPr>
      <w:r>
        <w:t xml:space="preserve">75. 28 CFR 115.315(e); 115.342(d)-(g); 15 CCR 1352.5</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Low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1352.5, Transgender and Intersex Youth, effective March 1, 2019</w:t>
            </w:r>
          </w:p>
        </w:tc>
      </w:tr>
    </w:tbl>
    <w:p>
      <w:pPr>
        <w:spacing w:after="80"/>
      </w:pPr>
    </w:p>
    <w:p>
      <w:pPr>
        <w:spacing w:after="120" w:line="276"/>
      </w:pPr>
      <w:r>
        <w:rPr>
          <w:b/>
          <w:bCs/>
          <w:color w:val="1A1A1A"/>
        </w:rPr>
        <w:t xml:space="preserve">The standard requires. </w:t>
      </w:r>
      <w:r>
        <w:rPr>
          <w:color w:val="1A1A1A"/>
        </w:rPr>
        <w:t xml:space="preserve">Written policies and procedures ensuring respectful and equitable treatment of transgender and intersex youth: respect for gender identity, preferred name and pronoun, clothing and undergarments consistent with gender identity, housing that best meets individual needs with documented reasons for any decision not matching gender identity, consideration of the youth's preferences and provider recommendations, access to qualified medical and behavioral health providers, privacy during bathroom, shower, and dressing, no physical searches to determine anatomical sex, and respect for the youth's preference on the gender of the searching staff member whenever feasible.</w:t>
      </w:r>
    </w:p>
    <w:p>
      <w:pPr>
        <w:spacing w:after="120" w:line="276"/>
      </w:pPr>
      <w:r>
        <w:rPr>
          <w:b/>
          <w:bCs/>
          <w:color w:val="1A1A1A"/>
        </w:rPr>
        <w:t xml:space="preserve">Divergence. </w:t>
      </w:r>
      <w:r>
        <w:rPr>
          <w:color w:val="1A1A1A"/>
        </w:rPr>
        <w:t xml:space="preserve">Produced and reviewed. The order implements 15 CCR 1352.5 comprehensively: respect for gender identity and preferred pronoun with documented exceptions for gang or slang names (II.A); dress and undergarments consistent with gender identity (II.B); access to qualified medical and behavioral health providers (II.C); safety and privacy for bathroom, shower, and dressing (II.D); individualized housing with documented justification (III.B, III.F); consideration of youth preference and provider recommendations (III.C); no physical search to determine anatomical sex (IV.A.1); and respect for the youth's preference on the gender of searching staff whenever feasible (IV.A.3). Revision 1 of this analysis wrongly reported that no such policy existed and revision 2 could not assess it. The finding is now closed except for the III.I categorical single-room provision, which is tracked in the 115.342(d)-(g) row, and one date problem worth noting: 1352.5 took effect March 1, 2019, and OO 1352 created the conflicting S-8 classification in December 2019 and revised it in February 2020, meaning the later order contradicted the earlier one.</w:t>
      </w:r>
    </w:p>
    <w:p>
      <w:pPr>
        <w:spacing w:after="240" w:line="260"/>
      </w:pPr>
      <w:r>
        <w:rPr>
          <w:i/>
          <w:iCs/>
          <w:color w:val="5A5A5A"/>
          <w:sz w:val="19"/>
          <w:szCs w:val="19"/>
        </w:rPr>
        <w:t xml:space="preserve">Change log: MATERIALLY REVISED in 3: policy produced and substantially compliant. Corrects revisions 1 and 2.</w:t>
      </w:r>
    </w:p>
    <w:p>
      <w:pPr>
        <w:pStyle w:val="Heading3"/>
        <w:keepNext/>
      </w:pPr>
      <w:r>
        <w:t xml:space="preserve">76. 15 CCR 1362</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400"/>
        <w:gridCol w:w="7680"/>
      </w:tblGrid>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Addressed, Medium priority</w:t>
            </w:r>
          </w:p>
        </w:tc>
      </w:tr>
      <w:tr>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Departmental provision</w:t>
            </w:r>
          </w:p>
        </w:tc>
        <w:tc>
          <w:tcPr>
            <w:tcW w:type="dxa" w:w="7680"/>
            <w:tcMar>
              <w:top w:type="dxa" w:w="60"/>
              <w:left w:type="dxa" w:w="100"/>
              <w:bottom w:type="dxa" w:w="60"/>
              <w:right w:type="dxa" w:w="100"/>
            </w:tcMar>
          </w:tcPr>
          <w:p>
            <w:pPr>
              <w:spacing w:after="40" w:before="40" w:line="240"/>
            </w:pPr>
            <w:r>
              <w:rPr>
                <w:b w:val="false"/>
                <w:bCs w:val="false"/>
                <w:color w:val="1A1A1A"/>
                <w:sz w:val="19"/>
                <w:szCs w:val="19"/>
              </w:rPr>
              <w:t xml:space="preserve">OO 1362 (Reporting of Incidents)</w:t>
            </w:r>
          </w:p>
        </w:tc>
      </w:tr>
    </w:tbl>
    <w:p>
      <w:pPr>
        <w:spacing w:after="80"/>
      </w:pPr>
    </w:p>
    <w:p>
      <w:pPr>
        <w:spacing w:after="120" w:line="276"/>
      </w:pPr>
      <w:r>
        <w:rPr>
          <w:b/>
          <w:bCs/>
          <w:color w:val="1A1A1A"/>
        </w:rPr>
        <w:t xml:space="preserve">The standard requires. </w:t>
      </w:r>
      <w:r>
        <w:rPr>
          <w:color w:val="1A1A1A"/>
        </w:rPr>
        <w:t xml:space="preserve">A written report of all incidents resulting in physical harm, use of force, serious threat of physical harm, or death shall be prepared by staff and submitted to the facility manager by end of shift unless additional time is authorized.</w:t>
      </w:r>
    </w:p>
    <w:p>
      <w:pPr>
        <w:spacing w:after="120" w:line="276"/>
      </w:pPr>
      <w:r>
        <w:rPr>
          <w:b/>
          <w:bCs/>
          <w:color w:val="1A1A1A"/>
        </w:rPr>
        <w:t xml:space="preserve">Divergence. </w:t>
      </w:r>
      <w:r>
        <w:rPr>
          <w:color w:val="1A1A1A"/>
        </w:rPr>
        <w:t xml:space="preserve">OO 1362 substantially exceeds the Title 15 minimum, and I.A.13 lists sexual assault, acting out, and other inappropriate sexual behavior as a reportable serious event. Consider adding an explicit PREA flag field to the IIR so that sexual abuse and sexual harassment allegations are machine-identifiable for the 115.387 data set rather than requiring narrative review.</w:t>
      </w:r>
    </w:p>
    <w:p>
      <w:pPr>
        <w:spacing w:after="160"/>
      </w:pPr>
    </w:p>
    <w:p>
      <w:r>
        <w:br w:type="page"/>
      </w:r>
    </w:p>
    <w:p>
      <w:pPr>
        <w:pStyle w:val="Heading1"/>
      </w:pPr>
      <w:r>
        <w:t xml:space="preserve">5. The same findings, policy by policy</w:t>
      </w:r>
    </w:p>
    <w:p>
      <w:pPr>
        <w:spacing w:after="120" w:line="276"/>
      </w:pPr>
      <w:r>
        <w:rPr>
          <w:color w:val="1A1A1A"/>
        </w:rPr>
        <w:t xml:space="preserve">Part 4 is organized the way an auditor reads. This part is organized the way the work gets done: one document at a time. A requirement that cites more than one document appears under each, so the counts below sum to more than 83.</w:t>
      </w:r>
    </w:p>
    <w:p>
      <w:pPr>
        <w:pStyle w:val="Heading2"/>
        <w:keepNext/>
      </w:pPr>
      <w:r>
        <w:t xml:space="preserve">PREA Policy and Procedure, Juvenile Institutions</w:t>
      </w:r>
    </w:p>
    <w:p>
      <w:pPr>
        <w:keepNext/>
        <w:spacing w:after="120"/>
      </w:pPr>
      <w:r>
        <w:rPr>
          <w:i/>
          <w:iCs/>
          <w:color w:val="5A5A5A"/>
          <w:sz w:val="19"/>
          <w:szCs w:val="19"/>
        </w:rPr>
        <w:t xml:space="preserve">eff/rev 04/25/2013. Cited by 46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7</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8</w:t>
            </w:r>
          </w:p>
        </w:tc>
      </w:tr>
    </w:tbl>
    <w:p>
      <w:pPr>
        <w:spacing w:after="80"/>
      </w:pPr>
    </w:p>
    <w:p>
      <w:pPr>
        <w:spacing w:after="120" w:line="276"/>
      </w:pPr>
      <w:r>
        <w:rPr>
          <w:b/>
          <w:bCs/>
          <w:color w:val="1A1A1A"/>
        </w:rPr>
        <w:t xml:space="preserve">Conflicts to correct. </w:t>
      </w:r>
      <w:r>
        <w:rPr>
          <w:color w:val="1A1A1A"/>
        </w:rPr>
        <w:t xml:space="preserve">row 36 (28 CFR 115.342(c); 15 CCR 1352(e)-(f)); row 48 (28 CFR 115.361(b); PC 11164 et seq.; PC 11166(a); PC 11165.9); row 52 (28 CFR 115.363(a)-(d)); row 59 (28 CFR 115.371(g)-(h), (j)-(k)); row 64 (28 CFR 115.378(a)-(g); 15 CCR 1390, 1391); row 74 (15 CCR 1324(a)-(n)); row 78 (28 CFR 115.331(a)(11); PC 261.5, 286, 287, 288, 289, 289.6).</w:t>
      </w:r>
    </w:p>
    <w:p>
      <w:pPr>
        <w:spacing w:after="260" w:line="260"/>
      </w:pPr>
      <w:r>
        <w:rPr>
          <w:color w:val="5A5A5A"/>
          <w:sz w:val="19"/>
          <w:szCs w:val="19"/>
        </w:rPr>
        <w:t xml:space="preserve">All rows: 1, 4, 8, 9, 13, 16, 17, 18, 19, 20, 22, 23, 24, 25, 26, 28, 30, 35, 36, 38, 40, 43, 47, 48, 49, 51, 52, 53, 55, 56, 57, 58, 59, 62, 64, 65, 66, 67, 68, 69, 70, 72, 74, 78, 81, 82.</w:t>
      </w:r>
    </w:p>
    <w:p>
      <w:pPr>
        <w:pStyle w:val="Heading2"/>
        <w:keepNext/>
      </w:pPr>
      <w:r>
        <w:t xml:space="preserve">OO 1321 Staffing</w:t>
      </w:r>
    </w:p>
    <w:p>
      <w:pPr>
        <w:keepNext/>
        <w:spacing w:after="120"/>
      </w:pPr>
      <w:r>
        <w:rPr>
          <w:i/>
          <w:iCs/>
          <w:color w:val="5A5A5A"/>
          <w:sz w:val="19"/>
          <w:szCs w:val="19"/>
        </w:rPr>
        <w:t xml:space="preserve">reviewed 01/16/2020.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6 (28 CFR 115.313(c); 15 CCR 1321(h)(1)).</w:t>
      </w:r>
    </w:p>
    <w:p>
      <w:pPr>
        <w:spacing w:after="120" w:line="276"/>
      </w:pPr>
      <w:r>
        <w:rPr>
          <w:b/>
          <w:bCs/>
          <w:color w:val="1A1A1A"/>
        </w:rPr>
        <w:t xml:space="preserve">Silent on. </w:t>
      </w:r>
      <w:r>
        <w:rPr>
          <w:color w:val="1A1A1A"/>
        </w:rPr>
        <w:t xml:space="preserve">row 5 (28 CFR 115.313(a)-(b); 15 CCR 1321(a), (h)).</w:t>
      </w:r>
    </w:p>
    <w:p>
      <w:pPr>
        <w:spacing w:after="260" w:line="260"/>
      </w:pPr>
      <w:r>
        <w:rPr>
          <w:color w:val="5A5A5A"/>
          <w:sz w:val="19"/>
          <w:szCs w:val="19"/>
        </w:rPr>
        <w:t xml:space="preserve">All rows: 5, 6.</w:t>
      </w:r>
    </w:p>
    <w:p>
      <w:pPr>
        <w:pStyle w:val="Heading2"/>
        <w:keepNext/>
      </w:pPr>
      <w:r>
        <w:t xml:space="preserve">OO 1322 Training and Staff Development</w:t>
      </w:r>
    </w:p>
    <w:p>
      <w:pPr>
        <w:keepNext/>
        <w:spacing w:after="120"/>
      </w:pPr>
      <w:r>
        <w:rPr>
          <w:i/>
          <w:iCs/>
          <w:color w:val="5A5A5A"/>
          <w:sz w:val="19"/>
          <w:szCs w:val="19"/>
        </w:rPr>
        <w:t xml:space="preserve">eff 06/15/2015, rev 05/08/2019.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20, 22.</w:t>
      </w:r>
    </w:p>
    <w:p>
      <w:pPr>
        <w:pStyle w:val="Heading2"/>
        <w:keepNext/>
      </w:pPr>
      <w:r>
        <w:t xml:space="preserve">OO 1350.5 Screening for the Risk of Sexual Abuse</w:t>
      </w:r>
    </w:p>
    <w:p>
      <w:pPr>
        <w:keepNext/>
        <w:spacing w:after="120"/>
      </w:pPr>
      <w:r>
        <w:rPr>
          <w:i/>
          <w:iCs/>
          <w:color w:val="5A5A5A"/>
          <w:sz w:val="19"/>
          <w:szCs w:val="19"/>
        </w:rPr>
        <w:t xml:space="preserve">eff 11/10/2019.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260" w:line="260"/>
      </w:pPr>
      <w:r>
        <w:rPr>
          <w:color w:val="5A5A5A"/>
          <w:sz w:val="19"/>
          <w:szCs w:val="19"/>
        </w:rPr>
        <w:t xml:space="preserve">All rows: 31, 33, 66.</w:t>
      </w:r>
    </w:p>
    <w:p>
      <w:pPr>
        <w:pStyle w:val="Heading2"/>
        <w:keepNext/>
      </w:pPr>
      <w:r>
        <w:t xml:space="preserve">OO 1352 Classification</w:t>
      </w:r>
    </w:p>
    <w:p>
      <w:pPr>
        <w:keepNext/>
        <w:spacing w:after="120"/>
      </w:pPr>
      <w:r>
        <w:rPr>
          <w:i/>
          <w:iCs/>
          <w:color w:val="5A5A5A"/>
          <w:sz w:val="19"/>
          <w:szCs w:val="19"/>
        </w:rPr>
        <w:t xml:space="preserve">eff 12/09/2019, rev 02/27/2020. Cited by 9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3</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3</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36 (28 CFR 115.342(c); 15 CCR 1352(e)-(f)); row 78 (28 CFR 115.331(a)(11); PC 261.5, 286, 287, 288, 289, 289.6); row 80 (28 CFR 115.341(c), 115.342; 15 CCR 1350.5(a)).</w:t>
      </w:r>
    </w:p>
    <w:p>
      <w:pPr>
        <w:spacing w:after="120" w:line="276"/>
      </w:pPr>
      <w:r>
        <w:rPr>
          <w:b/>
          <w:bCs/>
          <w:color w:val="1A1A1A"/>
        </w:rPr>
        <w:t xml:space="preserve">Silent on. </w:t>
      </w:r>
      <w:r>
        <w:rPr>
          <w:color w:val="1A1A1A"/>
        </w:rPr>
        <w:t xml:space="preserve">row 32 (28 CFR 115.341(b)); row 83 (28 CFR 115.317(c)(2), (d)).</w:t>
      </w:r>
    </w:p>
    <w:p>
      <w:pPr>
        <w:spacing w:after="260" w:line="260"/>
      </w:pPr>
      <w:r>
        <w:rPr>
          <w:color w:val="5A5A5A"/>
          <w:sz w:val="19"/>
          <w:szCs w:val="19"/>
        </w:rPr>
        <w:t xml:space="preserve">All rows: 31, 32, 34, 35, 36, 78, 80, 82, 83.</w:t>
      </w:r>
    </w:p>
    <w:p>
      <w:pPr>
        <w:pStyle w:val="Heading2"/>
        <w:keepNext/>
      </w:pPr>
      <w:r>
        <w:t xml:space="preserve">OO 1352.5 Transgender and Intersex Youth</w:t>
      </w:r>
    </w:p>
    <w:p>
      <w:pPr>
        <w:keepNext/>
        <w:spacing w:after="120"/>
      </w:pPr>
      <w:r>
        <w:rPr>
          <w:i/>
          <w:iCs/>
          <w:color w:val="5A5A5A"/>
          <w:sz w:val="19"/>
          <w:szCs w:val="19"/>
        </w:rPr>
        <w:t xml:space="preserve">eff 03/01/2019. Cited by 4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r>
    </w:tbl>
    <w:p>
      <w:pPr>
        <w:spacing w:after="80"/>
      </w:pPr>
    </w:p>
    <w:p>
      <w:pPr>
        <w:spacing w:after="120" w:line="276"/>
      </w:pPr>
      <w:r>
        <w:rPr>
          <w:b/>
          <w:bCs/>
          <w:color w:val="1A1A1A"/>
        </w:rPr>
        <w:t xml:space="preserve">Conflicts to correct. </w:t>
      </w:r>
      <w:r>
        <w:rPr>
          <w:color w:val="1A1A1A"/>
        </w:rPr>
        <w:t xml:space="preserve">row 36 (28 CFR 115.342(c); 15 CCR 1352(e)-(f)); row 37 (28 CFR 115.342(d)-(g); 15 CCR 1352.5(a)-(e)).</w:t>
      </w:r>
    </w:p>
    <w:p>
      <w:pPr>
        <w:spacing w:after="260" w:line="260"/>
      </w:pPr>
      <w:r>
        <w:rPr>
          <w:color w:val="5A5A5A"/>
          <w:sz w:val="19"/>
          <w:szCs w:val="19"/>
        </w:rPr>
        <w:t xml:space="preserve">All rows: 11, 36, 37, 75.</w:t>
      </w:r>
    </w:p>
    <w:p>
      <w:pPr>
        <w:pStyle w:val="Heading2"/>
        <w:keepNext/>
      </w:pPr>
      <w:r>
        <w:t xml:space="preserve">OO 1360 Searches</w:t>
      </w:r>
    </w:p>
    <w:p>
      <w:pPr>
        <w:keepNext/>
        <w:spacing w:after="120"/>
      </w:pPr>
      <w:r>
        <w:rPr>
          <w:i/>
          <w:iCs/>
          <w:color w:val="5A5A5A"/>
          <w:sz w:val="19"/>
          <w:szCs w:val="19"/>
        </w:rPr>
        <w:t xml:space="preserve">eff 12/01/2019, rev 03/04/2020. Cited by 2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Silent on. </w:t>
      </w:r>
      <w:r>
        <w:rPr>
          <w:color w:val="1A1A1A"/>
        </w:rPr>
        <w:t xml:space="preserve">row 10 (28 CFR 115.315(d); 15 CCR 1352.5(e)).</w:t>
      </w:r>
    </w:p>
    <w:p>
      <w:pPr>
        <w:spacing w:after="260" w:line="260"/>
      </w:pPr>
      <w:r>
        <w:rPr>
          <w:color w:val="5A5A5A"/>
          <w:sz w:val="19"/>
          <w:szCs w:val="19"/>
        </w:rPr>
        <w:t xml:space="preserve">All rows: 9, 10.</w:t>
      </w:r>
    </w:p>
    <w:p>
      <w:pPr>
        <w:pStyle w:val="Heading2"/>
        <w:keepNext/>
      </w:pPr>
      <w:r>
        <w:t xml:space="preserve">OO 1361 Grievances</w:t>
      </w:r>
    </w:p>
    <w:p>
      <w:pPr>
        <w:keepNext/>
        <w:spacing w:after="120"/>
      </w:pPr>
      <w:r>
        <w:rPr>
          <w:i/>
          <w:iCs/>
          <w:color w:val="5A5A5A"/>
          <w:sz w:val="19"/>
          <w:szCs w:val="19"/>
        </w:rPr>
        <w:t xml:space="preserve">eff 01/01/2011, rev 04/03/2019.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5</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74 (15 CCR 1324(a)-(n)).</w:t>
      </w:r>
    </w:p>
    <w:p>
      <w:pPr>
        <w:spacing w:after="120" w:line="276"/>
      </w:pPr>
      <w:r>
        <w:rPr>
          <w:b/>
          <w:bCs/>
          <w:color w:val="1A1A1A"/>
        </w:rPr>
        <w:t xml:space="preserve">Silent on. </w:t>
      </w:r>
      <w:r>
        <w:rPr>
          <w:color w:val="1A1A1A"/>
        </w:rPr>
        <w:t xml:space="preserve">row 44 (28 CFR 115.353(c)).</w:t>
      </w:r>
    </w:p>
    <w:p>
      <w:pPr>
        <w:spacing w:after="260" w:line="260"/>
      </w:pPr>
      <w:r>
        <w:rPr>
          <w:color w:val="5A5A5A"/>
          <w:sz w:val="19"/>
          <w:szCs w:val="19"/>
        </w:rPr>
        <w:t xml:space="preserve">All rows: 38, 39, 40, 42, 43, 44, 70, 74.</w:t>
      </w:r>
    </w:p>
    <w:p>
      <w:pPr>
        <w:pStyle w:val="Heading2"/>
        <w:keepNext/>
      </w:pPr>
      <w:r>
        <w:t xml:space="preserve">OO 1362 Reporting of Incidents</w:t>
      </w:r>
    </w:p>
    <w:p>
      <w:pPr>
        <w:keepNext/>
        <w:spacing w:after="120"/>
      </w:pPr>
      <w:r>
        <w:rPr>
          <w:i/>
          <w:iCs/>
          <w:color w:val="5A5A5A"/>
          <w:sz w:val="19"/>
          <w:szCs w:val="19"/>
        </w:rPr>
        <w:t xml:space="preserve">eff 11/01/2019.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64 (28 CFR 115.378(a)-(g); 15 CCR 1390, 1391).</w:t>
      </w:r>
    </w:p>
    <w:p>
      <w:pPr>
        <w:spacing w:after="260" w:line="260"/>
      </w:pPr>
      <w:r>
        <w:rPr>
          <w:color w:val="5A5A5A"/>
          <w:sz w:val="19"/>
          <w:szCs w:val="19"/>
        </w:rPr>
        <w:t xml:space="preserve">All rows: 64, 70, 76.</w:t>
      </w:r>
    </w:p>
    <w:p>
      <w:pPr>
        <w:pStyle w:val="Heading2"/>
        <w:keepNext/>
      </w:pPr>
      <w:r>
        <w:t xml:space="preserve">OO 1453 Sexual Assault</w:t>
      </w:r>
    </w:p>
    <w:p>
      <w:pPr>
        <w:keepNext/>
        <w:spacing w:after="120"/>
      </w:pPr>
      <w:r>
        <w:rPr>
          <w:i/>
          <w:iCs/>
          <w:color w:val="5A5A5A"/>
          <w:sz w:val="19"/>
          <w:szCs w:val="19"/>
        </w:rPr>
        <w:t xml:space="preserve">eff 04/25/2013, rev 12/09/2019.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6</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2 (28 CFR 115.311(b)); row 48 (28 CFR 115.361(b); PC 11164 et seq.; PC 11166(a); PC 11165.9).</w:t>
      </w:r>
    </w:p>
    <w:p>
      <w:pPr>
        <w:spacing w:after="260" w:line="260"/>
      </w:pPr>
      <w:r>
        <w:rPr>
          <w:color w:val="5A5A5A"/>
          <w:sz w:val="19"/>
          <w:szCs w:val="19"/>
        </w:rPr>
        <w:t xml:space="preserve">All rows: 2, 16, 18, 19, 48, 53, 54, 69.</w:t>
      </w:r>
    </w:p>
    <w:p>
      <w:pPr>
        <w:pStyle w:val="Heading2"/>
        <w:keepNext/>
      </w:pPr>
      <w:r>
        <w:t xml:space="preserve">Internal Affairs Administrative Investigations</w:t>
      </w:r>
    </w:p>
    <w:p>
      <w:pPr>
        <w:keepNext/>
        <w:spacing w:after="120"/>
      </w:pPr>
      <w:r>
        <w:rPr>
          <w:i/>
          <w:iCs/>
          <w:color w:val="5A5A5A"/>
          <w:sz w:val="19"/>
          <w:szCs w:val="19"/>
        </w:rPr>
        <w:t xml:space="preserve">eff 01/11/2011, no revision. Cited by 8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2</w:t>
            </w:r>
          </w:p>
        </w:tc>
        <w:tc>
          <w:tcPr>
            <w:tcW w:type="dxa" w:w="2016"/>
            <w:shd w:fill="FCF0DC"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4</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r>
    </w:tbl>
    <w:p>
      <w:pPr>
        <w:spacing w:after="80"/>
      </w:pPr>
    </w:p>
    <w:p>
      <w:pPr>
        <w:spacing w:after="120" w:line="276"/>
      </w:pPr>
      <w:r>
        <w:rPr>
          <w:b/>
          <w:bCs/>
          <w:color w:val="1A1A1A"/>
        </w:rPr>
        <w:t xml:space="preserve">Conflicts to correct. </w:t>
      </w:r>
      <w:r>
        <w:rPr>
          <w:color w:val="1A1A1A"/>
        </w:rPr>
        <w:t xml:space="preserve">row 59 (28 CFR 115.371(g)-(h), (j)-(k)); row 74 (15 CCR 1324(a)-(n)).</w:t>
      </w:r>
    </w:p>
    <w:p>
      <w:pPr>
        <w:spacing w:after="120" w:line="276"/>
      </w:pPr>
      <w:r>
        <w:rPr>
          <w:b/>
          <w:bCs/>
          <w:color w:val="1A1A1A"/>
        </w:rPr>
        <w:t xml:space="preserve">Silent on. </w:t>
      </w:r>
      <w:r>
        <w:rPr>
          <w:color w:val="1A1A1A"/>
        </w:rPr>
        <w:t xml:space="preserve">row 29 (28 CFR 115.334(a)-(d)).</w:t>
      </w:r>
    </w:p>
    <w:p>
      <w:pPr>
        <w:spacing w:after="260" w:line="260"/>
      </w:pPr>
      <w:r>
        <w:rPr>
          <w:color w:val="5A5A5A"/>
          <w:sz w:val="19"/>
          <w:szCs w:val="19"/>
        </w:rPr>
        <w:t xml:space="preserve">All rows: 29, 58, 59, 60, 61, 62, 74, 81.</w:t>
      </w:r>
    </w:p>
    <w:p>
      <w:pPr>
        <w:pStyle w:val="Heading2"/>
        <w:keepNext/>
      </w:pPr>
      <w:r>
        <w:t xml:space="preserve">Code of Conduct, Non-Sworn and Non-County Personnel</w:t>
      </w:r>
    </w:p>
    <w:p>
      <w:pPr>
        <w:keepNext/>
        <w:spacing w:after="120"/>
      </w:pPr>
      <w:r>
        <w:rPr>
          <w:i/>
          <w:iCs/>
          <w:color w:val="5A5A5A"/>
          <w:sz w:val="19"/>
          <w:szCs w:val="19"/>
        </w:rPr>
        <w:t xml:space="preserve">eff 06/01/2011. Cited by 3 requirements.</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2</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48 (28 CFR 115.361(b); PC 11164 et seq.; PC 11166(a); PC 11165.9).</w:t>
      </w:r>
    </w:p>
    <w:p>
      <w:pPr>
        <w:spacing w:after="260" w:line="260"/>
      </w:pPr>
      <w:r>
        <w:rPr>
          <w:color w:val="5A5A5A"/>
          <w:sz w:val="19"/>
          <w:szCs w:val="19"/>
        </w:rPr>
        <w:t xml:space="preserve">All rows: 24, 48, 63.</w:t>
      </w:r>
    </w:p>
    <w:p>
      <w:pPr>
        <w:pStyle w:val="Heading2"/>
        <w:keepNext/>
      </w:pPr>
      <w:r>
        <w:t xml:space="preserve">Detention and Intake Responsibility (J-3.4)</w:t>
      </w:r>
    </w:p>
    <w:p>
      <w:pPr>
        <w:keepNext/>
        <w:spacing w:after="120"/>
      </w:pPr>
      <w:r>
        <w:rPr>
          <w:i/>
          <w:iCs/>
          <w:color w:val="5A5A5A"/>
          <w:sz w:val="19"/>
          <w:szCs w:val="19"/>
        </w:rPr>
        <w:t xml:space="preserve">undated.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shd w:fill="F2DEDE" w:color="auto" w:val="clear"/>
            <w:tcMar>
              <w:top w:type="dxa" w:w="60"/>
              <w:left w:type="dxa" w:w="100"/>
              <w:bottom w:type="dxa" w:w="60"/>
              <w:right w:type="dxa" w:w="100"/>
            </w:tcMar>
          </w:tcPr>
          <w:p>
            <w:pPr>
              <w:spacing w:after="40" w:before="40" w:line="240"/>
              <w:jc w:val="center"/>
            </w:pPr>
            <w:r>
              <w:rPr>
                <w:b/>
                <w:bCs/>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120" w:line="276"/>
      </w:pPr>
      <w:r>
        <w:rPr>
          <w:b/>
          <w:bCs/>
          <w:color w:val="1A1A1A"/>
        </w:rPr>
        <w:t xml:space="preserve">Conflicts to correct. </w:t>
      </w:r>
      <w:r>
        <w:rPr>
          <w:color w:val="1A1A1A"/>
        </w:rPr>
        <w:t xml:space="preserve">row 79 (15 CCR 1350; 15 CCR 1350.5).</w:t>
      </w:r>
    </w:p>
    <w:p>
      <w:pPr>
        <w:spacing w:after="260" w:line="260"/>
      </w:pPr>
      <w:r>
        <w:rPr>
          <w:color w:val="5A5A5A"/>
          <w:sz w:val="19"/>
          <w:szCs w:val="19"/>
        </w:rPr>
        <w:t xml:space="preserve">All rows: 79.</w:t>
      </w:r>
    </w:p>
    <w:p>
      <w:pPr>
        <w:pStyle w:val="Heading2"/>
        <w:keepNext/>
      </w:pPr>
      <w:r>
        <w:t xml:space="preserve">General Order, Mandatory Reporting: Dependent Adult and Elder Abuse</w:t>
      </w:r>
    </w:p>
    <w:p>
      <w:pPr>
        <w:keepNext/>
        <w:spacing w:after="120"/>
      </w:pPr>
      <w:r>
        <w:rPr>
          <w:i/>
          <w:iCs/>
          <w:color w:val="5A5A5A"/>
          <w:sz w:val="19"/>
          <w:szCs w:val="19"/>
        </w:rPr>
        <w:t xml:space="preserve">eff 06/30/2017. Cited by 1 requirement.</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2016"/>
        <w:gridCol w:w="2016"/>
        <w:gridCol w:w="2016"/>
        <w:gridCol w:w="2016"/>
        <w:gridCol w:w="2016"/>
      </w:tblGrid>
      <w:tr>
        <w:trPr>
          <w:tblHeader/>
        </w:trPr>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Conflict</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Addressed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Partial</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Not Evidenced</w:t>
            </w:r>
          </w:p>
        </w:tc>
        <w:tc>
          <w:tcPr>
            <w:tcW w:type="dxa" w:w="2016"/>
            <w:shd w:fill="E8E8E8" w:color="auto" w:val="clear"/>
            <w:tcMar>
              <w:top w:type="dxa" w:w="60"/>
              <w:left w:type="dxa" w:w="100"/>
              <w:bottom w:type="dxa" w:w="60"/>
              <w:right w:type="dxa" w:w="100"/>
            </w:tcMar>
          </w:tcPr>
          <w:p>
            <w:pPr>
              <w:spacing w:after="40" w:before="40" w:line="240"/>
              <w:jc w:val="center"/>
            </w:pPr>
            <w:r>
              <w:rPr>
                <w:b/>
                <w:bCs/>
                <w:color w:val="1A1A1A"/>
                <w:sz w:val="16"/>
                <w:szCs w:val="16"/>
              </w:rPr>
              <w:t xml:space="preserve">Addressed</w:t>
            </w:r>
          </w:p>
        </w:tc>
      </w:tr>
      <w:tr>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1</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c>
          <w:tcPr>
            <w:tcW w:type="dxa" w:w="2016"/>
            <w:tcMar>
              <w:top w:type="dxa" w:w="60"/>
              <w:left w:type="dxa" w:w="100"/>
              <w:bottom w:type="dxa" w:w="60"/>
              <w:right w:type="dxa" w:w="100"/>
            </w:tcMar>
          </w:tcPr>
          <w:p>
            <w:pPr>
              <w:spacing w:after="40" w:before="40" w:line="240"/>
              <w:jc w:val="center"/>
            </w:pPr>
            <w:r>
              <w:rPr>
                <w:b w:val="false"/>
                <w:bCs w:val="false"/>
                <w:color w:val="1A1A1A"/>
                <w:sz w:val="19"/>
                <w:szCs w:val="19"/>
              </w:rPr>
              <w:t xml:space="preserve">0</w:t>
            </w:r>
          </w:p>
        </w:tc>
      </w:tr>
    </w:tbl>
    <w:p>
      <w:pPr>
        <w:spacing w:after="80"/>
      </w:pPr>
    </w:p>
    <w:p>
      <w:pPr>
        <w:spacing w:after="260" w:line="260"/>
      </w:pPr>
      <w:r>
        <w:rPr>
          <w:color w:val="5A5A5A"/>
          <w:sz w:val="19"/>
          <w:szCs w:val="19"/>
        </w:rPr>
        <w:t xml:space="preserve">All rows: 77.</w:t>
      </w:r>
    </w:p>
    <w:p>
      <w:pPr>
        <w:pStyle w:val="Heading2"/>
      </w:pPr>
      <w:r>
        <w:t xml:space="preserve">No departmental document identified</w:t>
      </w:r>
    </w:p>
    <w:p>
      <w:pPr>
        <w:spacing w:after="120" w:line="276"/>
      </w:pPr>
      <w:r>
        <w:rPr>
          <w:color w:val="1A1A1A"/>
        </w:rPr>
        <w:t xml:space="preserve">13 requirements cite none of the 14 documents reviewed. Eleven record no departmental provision at all and cannot be remediated by amendment: they need drafting or an administrative decision. Two turn on documents that exist but were not produced, rows 14 and 45, and may close on production.</w:t>
      </w:r>
    </w:p>
    <w:tbl>
      <w:tblPr>
        <w:tblW w:type="dxa" w:w="10080"/>
        <w:tblBorders>
          <w:top w:val="single" w:color="BFBFBF" w:sz="2"/>
          <w:left w:val="single" w:color="BFBFBF" w:sz="2"/>
          <w:bottom w:val="single" w:color="BFBFBF" w:sz="2"/>
          <w:right w:val="single" w:color="BFBFBF" w:sz="2"/>
          <w:insideH w:val="single" w:color="BFBFBF" w:sz="2"/>
          <w:insideV w:val="single" w:color="BFBFBF" w:sz="2"/>
        </w:tblBorders>
      </w:tblPr>
      <w:tblGrid>
        <w:gridCol w:w="700"/>
        <w:gridCol w:w="2400"/>
        <w:gridCol w:w="1400"/>
        <w:gridCol w:w="5580"/>
      </w:tblGrid>
      <w:tr>
        <w:trPr>
          <w:tblHeader/>
        </w:trPr>
        <w:tc>
          <w:tcPr>
            <w:tcW w:type="dxa" w:w="700"/>
            <w:shd w:fill="E8E8E8" w:color="auto" w:val="clear"/>
            <w:tcMar>
              <w:top w:type="dxa" w:w="60"/>
              <w:left w:type="dxa" w:w="100"/>
              <w:bottom w:type="dxa" w:w="60"/>
              <w:right w:type="dxa" w:w="100"/>
            </w:tcMar>
          </w:tcPr>
          <w:p>
            <w:pPr>
              <w:spacing w:after="40" w:before="40" w:line="240"/>
            </w:pPr>
            <w:r>
              <w:rPr>
                <w:b/>
                <w:bCs/>
                <w:color w:val="1A1A1A"/>
                <w:sz w:val="19"/>
                <w:szCs w:val="19"/>
              </w:rPr>
              <w:t xml:space="preserve">Row</w:t>
            </w:r>
          </w:p>
        </w:tc>
        <w:tc>
          <w:tcPr>
            <w:tcW w:type="dxa" w:w="2400"/>
            <w:shd w:fill="E8E8E8" w:color="auto" w:val="clear"/>
            <w:tcMar>
              <w:top w:type="dxa" w:w="60"/>
              <w:left w:type="dxa" w:w="100"/>
              <w:bottom w:type="dxa" w:w="60"/>
              <w:right w:type="dxa" w:w="100"/>
            </w:tcMar>
          </w:tcPr>
          <w:p>
            <w:pPr>
              <w:spacing w:after="40" w:before="40" w:line="240"/>
            </w:pPr>
            <w:r>
              <w:rPr>
                <w:b/>
                <w:bCs/>
                <w:color w:val="1A1A1A"/>
                <w:sz w:val="19"/>
                <w:szCs w:val="19"/>
              </w:rPr>
              <w:t xml:space="preserve">Authority</w:t>
            </w:r>
          </w:p>
        </w:tc>
        <w:tc>
          <w:tcPr>
            <w:tcW w:type="dxa" w:w="1400"/>
            <w:shd w:fill="E8E8E8" w:color="auto" w:val="clear"/>
            <w:tcMar>
              <w:top w:type="dxa" w:w="60"/>
              <w:left w:type="dxa" w:w="100"/>
              <w:bottom w:type="dxa" w:w="60"/>
              <w:right w:type="dxa" w:w="100"/>
            </w:tcMar>
          </w:tcPr>
          <w:p>
            <w:pPr>
              <w:spacing w:after="40" w:before="40" w:line="240"/>
            </w:pPr>
            <w:r>
              <w:rPr>
                <w:b/>
                <w:bCs/>
                <w:color w:val="1A1A1A"/>
                <w:sz w:val="19"/>
                <w:szCs w:val="19"/>
              </w:rPr>
              <w:t xml:space="preserve">Status</w:t>
            </w:r>
          </w:p>
        </w:tc>
        <w:tc>
          <w:tcPr>
            <w:tcW w:type="dxa" w:w="5580"/>
            <w:shd w:fill="E8E8E8" w:color="auto" w:val="clear"/>
            <w:tcMar>
              <w:top w:type="dxa" w:w="60"/>
              <w:left w:type="dxa" w:w="100"/>
              <w:bottom w:type="dxa" w:w="60"/>
              <w:right w:type="dxa" w:w="100"/>
            </w:tcMar>
          </w:tcPr>
          <w:p>
            <w:pPr>
              <w:spacing w:after="40" w:before="40" w:line="240"/>
            </w:pPr>
            <w:r>
              <w:rPr>
                <w:b/>
                <w:bCs/>
                <w:color w:val="1A1A1A"/>
                <w:sz w:val="19"/>
                <w:szCs w:val="19"/>
              </w:rPr>
              <w:t xml:space="preserve">Requirement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115.311(c)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Where an agency operates more than one facility, each facility shall designate a PREA Compliance Manager with sufficient time and authority to coordinate that facility's compliance.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115.313(d)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At least annually, in consultation with the PREA Coordinator, assess, determine, and document whether adjustments are needed to the staffing plan, prevailing staffing patterns, video monitoring deployment, and resources available to adhere to the plan.</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12</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115.315(f)</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 security staff how to conduct cross-gender pat-down searches and searches of transgender and intersex residents professionally, respectfully, and in the least intrusive manner consistent with security needs.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115.318(a)-(b)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When designing, acquiring, expanding, or modifying facilities, and when installing or updating video or other monitoring technology, consider the effect on the ability to protect residents from sexual abuse.</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115.331(b)</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Training tailored to the unique needs and attributes of juvenile residents and to the gender of residents at the employee's facility, with additional training when an employee transfers between a male-only and a female-only facility.</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27</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115.333(c)</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Medium</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Residents receive education upon transfer to a different facility to the extent the new facility's policies and procedures differ.</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Provide a method for staff to privately report sexual abuse and sexual harassment of residents.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46</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115.354; 15 CCR 1324(n)</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Establish a method to receive third-party reports of sexual abuse and sexual harassment and distribute publicly information on how to report on behalf of a resident.</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50</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115.361(e)</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On receiving any allegation of sexual abuse, the facility head or designee shall promptly report it to the appropriate agency office and to the alleged victim's parents or legal guardians unless official documentation shows they should not be notified; to the caseworker instead if the youth is under child welfare guardianship; and, where a juvenile court retains jurisdiction, to the youth's attorney or legal representative of record within 14 days.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71</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115.388(a)-(d)</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Review the aggregated data to assess and improve the effectiveness of prevention, detection, and response policies, practices, and training by identifying problem areas, taking ongoing corrective action, and preparing an annual report of findings and corrective actions for each facility and for the agency as a whole; compare the current year with prior years and assess progress; the report must be approved by the agency head and made readily available to the public, with any redactions identified.</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73</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115.393; 115.401-115.405</w:t>
            </w:r>
          </w:p>
        </w:tc>
        <w:tc>
          <w:tcPr>
            <w:tcW w:type="dxa" w:w="1400"/>
            <w:shd w:fill="FCF0DC" w:color="auto" w:val="clear"/>
            <w:tcMar>
              <w:top w:type="dxa" w:w="60"/>
              <w:left w:type="dxa" w:w="100"/>
              <w:bottom w:type="dxa" w:w="60"/>
              <w:right w:type="dxa" w:w="100"/>
            </w:tcMar>
          </w:tcPr>
          <w:p>
            <w:pPr>
              <w:spacing w:after="40" w:before="40" w:line="240"/>
            </w:pPr>
            <w:r>
              <w:rPr>
                <w:b w:val="false"/>
                <w:bCs w:val="false"/>
                <w:color w:val="1A1A1A"/>
                <w:sz w:val="19"/>
                <w:szCs w:val="19"/>
              </w:rPr>
              <w:t xml:space="preserve">Not Addressed, Critical</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Ensure each facility is audited at least once during every three-year cycle, with at least one-third of each facility type audited each year, by a DOJ-certified auditor; the auditor's final report must be published on the agency website or otherwise made readily available to the public.</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14</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115.317(a)-(h); 15 CCR 1320(b)(4)</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Partial, High</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Do not hire, promote, or contract with anyone who has engaged in sexual abuse in an institution or been convicted or adjudicated for coercive sexual activity. Before hiring: criminal background check, child abuse registry check, and best efforts to contact all prior institutional employers about substantiated allegations or resignations during a pending investigation. Repeat background checks at least every five years. Ask applicants and employees directly about prior misconduct, impose a continuing duty to disclose, treat material omissions as grounds for termination, and respond to reference requests from other institutional employers.</w:t>
            </w:r>
          </w:p>
        </w:tc>
      </w:tr>
      <w:tr>
        <w:tc>
          <w:tcPr>
            <w:tcW w:type="dxa" w:w="700"/>
            <w:tcMar>
              <w:top w:type="dxa" w:w="60"/>
              <w:left w:type="dxa" w:w="100"/>
              <w:bottom w:type="dxa" w:w="60"/>
              <w:right w:type="dxa" w:w="100"/>
            </w:tcMar>
          </w:tcPr>
          <w:p>
            <w:pPr>
              <w:spacing w:after="40" w:before="40" w:line="240"/>
            </w:pPr>
            <w:r>
              <w:rPr>
                <w:b w:val="false"/>
                <w:bCs w:val="false"/>
                <w:color w:val="1A1A1A"/>
                <w:sz w:val="19"/>
                <w:szCs w:val="19"/>
              </w:rPr>
              <w:t xml:space="preserve">45</w:t>
            </w:r>
          </w:p>
        </w:tc>
        <w:tc>
          <w:tcPr>
            <w:tcW w:type="dxa" w:w="2400"/>
            <w:tcMar>
              <w:top w:type="dxa" w:w="60"/>
              <w:left w:type="dxa" w:w="100"/>
              <w:bottom w:type="dxa" w:w="60"/>
              <w:right w:type="dxa" w:w="100"/>
            </w:tcMar>
          </w:tcPr>
          <w:p>
            <w:pPr>
              <w:spacing w:after="40" w:before="40" w:line="240"/>
            </w:pPr>
            <w:r>
              <w:rPr>
                <w:b w:val="false"/>
                <w:bCs w:val="false"/>
                <w:color w:val="1A1A1A"/>
                <w:sz w:val="19"/>
                <w:szCs w:val="19"/>
              </w:rPr>
              <w:t xml:space="preserve">28 CFR 115.353(d); 15 CCR 1356, 1377</w:t>
            </w:r>
          </w:p>
        </w:tc>
        <w:tc>
          <w:tcPr>
            <w:tcW w:type="dxa" w:w="1400"/>
            <w:tcMar>
              <w:top w:type="dxa" w:w="60"/>
              <w:left w:type="dxa" w:w="100"/>
              <w:bottom w:type="dxa" w:w="60"/>
              <w:right w:type="dxa" w:w="100"/>
            </w:tcMar>
          </w:tcPr>
          <w:p>
            <w:pPr>
              <w:spacing w:after="40" w:before="40" w:line="240"/>
            </w:pPr>
            <w:r>
              <w:rPr>
                <w:b w:val="false"/>
                <w:bCs w:val="false"/>
                <w:color w:val="1A1A1A"/>
                <w:sz w:val="19"/>
                <w:szCs w:val="19"/>
              </w:rPr>
              <w:t xml:space="preserve">Not Evidenced, Low</w:t>
            </w:r>
          </w:p>
        </w:tc>
        <w:tc>
          <w:tcPr>
            <w:tcW w:type="dxa" w:w="5580"/>
            <w:tcMar>
              <w:top w:type="dxa" w:w="60"/>
              <w:left w:type="dxa" w:w="100"/>
              <w:bottom w:type="dxa" w:w="60"/>
              <w:right w:type="dxa" w:w="100"/>
            </w:tcMar>
          </w:tcPr>
          <w:p>
            <w:pPr>
              <w:spacing w:after="40" w:before="40" w:line="240"/>
            </w:pPr>
            <w:r>
              <w:rPr>
                <w:b w:val="false"/>
                <w:bCs w:val="false"/>
                <w:color w:val="1A1A1A"/>
                <w:sz w:val="19"/>
                <w:szCs w:val="19"/>
              </w:rPr>
              <w:t xml:space="preserve">Provide residents reasonable and confidential access to attorneys or other legal representation and reasonable access to parents or legal guardians.</w:t>
            </w:r>
          </w:p>
        </w:tc>
      </w:tr>
    </w:tbl>
    <w:p>
      <w:r>
        <w:br w:type="page"/>
      </w:r>
    </w:p>
    <w:p>
      <w:pPr>
        <w:pStyle w:val="Heading1"/>
      </w:pPr>
      <w:r>
        <w:t xml:space="preserve">6. How to use this against the register</w:t>
      </w:r>
    </w:p>
    <w:p>
      <w:pPr>
        <w:spacing w:after="120" w:line="276"/>
      </w:pPr>
      <w:r>
        <w:rPr>
          <w:color w:val="1A1A1A"/>
        </w:rPr>
        <w:t xml:space="preserve">prea-register.csv remains the working record. This document is generated from it by tools/build_crosswalk.py and tools/build_crosswalk_docx.js, so it is a view, not a second source of truth. When a finding changes, edit the CSV, record what changed in the change_log column using the convention already in the file, then regenerate.</w:t>
      </w:r>
    </w:p>
    <w:p>
      <w:pPr>
        <w:spacing w:after="120" w:line="276"/>
      </w:pPr>
      <w:r>
        <w:rPr>
          <w:color w:val="1A1A1A"/>
        </w:rPr>
        <w:t xml:space="preserve">The owner, target_date, and disposition columns are intentionally empty. Populating them is what turns the register into the corrective action plan, which is the record that matters if anyone asks what the department did after it identified these issues.</w:t>
      </w:r>
    </w:p>
    <w:p>
      <w:pPr>
        <w:spacing w:after="120" w:line="276"/>
      </w:pPr>
      <w:r>
        <w:rPr>
          <w:b/>
          <w:bCs/>
          <w:color w:val="1A1A1A"/>
        </w:rPr>
        <w:t xml:space="preserve">Sequence suggested by this view. </w:t>
      </w:r>
      <w:r>
        <w:rPr>
          <w:color w:val="1A1A1A"/>
        </w:rPr>
        <w:t xml:space="preserve">The twelve conflicts at part 3 first, because seven of them are correctable by amendment and all twelve are provisions the department can be shown to have published. Then the eleven requirements with no departmental provision at part 5, because those need drafting lead time. The 39 partials last, since each already has an anchor to amend.</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120"/>
      <w:jc w:val="right"/>
    </w:pPr>
    <w:r>
      <w:rPr>
        <w:color w:val="5A5A5A"/>
        <w:sz w:val="16"/>
        <w:szCs w:val="16"/>
      </w:rPr>
      <w:t xml:space="preserve">PREA versus Policy crosswalk. YDF, register Revision 3. Not legal advice.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Calibri" w:cs="Calibri" w:eastAsia="Calibri" w:hAnsi="Calibri"/>
      <w:b/>
      <w:bCs/>
      <w:color w:val="1A1A1A"/>
      <w:sz w:val="32"/>
      <w:szCs w:val="32"/>
    </w:rPr>
  </w:style>
  <w:style w:type="paragraph" w:styleId="Heading2">
    <w:name w:val="Heading 2"/>
    <w:basedOn w:val="Normal"/>
    <w:next w:val="Normal"/>
    <w:qFormat/>
    <w:pPr>
      <w:spacing w:after="140" w:before="300"/>
    </w:pPr>
    <w:rPr>
      <w:rFonts w:ascii="Calibri" w:cs="Calibri" w:eastAsia="Calibri" w:hAnsi="Calibri"/>
      <w:b/>
      <w:bCs/>
      <w:color w:val="1A1A1A"/>
      <w:sz w:val="25"/>
      <w:szCs w:val="25"/>
    </w:rPr>
  </w:style>
  <w:style w:type="paragraph" w:styleId="Heading3">
    <w:name w:val="Heading 3"/>
    <w:basedOn w:val="Normal"/>
    <w:next w:val="Normal"/>
    <w:qFormat/>
    <w:pPr>
      <w:spacing w:after="100" w:before="260"/>
    </w:pPr>
    <w:rPr>
      <w:rFonts w:ascii="Calibri" w:cs="Calibri" w:eastAsia="Calibri" w:hAnsi="Calibri"/>
      <w:b/>
      <w:bCs/>
      <w:color w:val="333333"/>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PREA versus Policy: a standard-by-standard crosswalk</dc:title>
  <dc:creator>Sacramento County Probation Department</dc:creator>
  <dc:description>Gap register Revision 3</dc:description>
  <cp:lastModifiedBy>Un-named</cp:lastModifiedBy>
  <cp:revision>1</cp:revision>
  <dcterms:created xsi:type="dcterms:W3CDTF">2026-08-20T19:22:09.795Z</dcterms:created>
  <dcterms:modified xsi:type="dcterms:W3CDTF">2026-08-20T19:22:09.795Z</dcterms:modified>
</cp:coreProperties>
</file>

<file path=docProps/custom.xml><?xml version="1.0" encoding="utf-8"?>
<Properties xmlns="http://schemas.openxmlformats.org/officeDocument/2006/custom-properties" xmlns:vt="http://schemas.openxmlformats.org/officeDocument/2006/docPropsVTypes"/>
</file>