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1800"/>
        <w:jc w:val="center"/>
      </w:pPr>
      <w:r>
        <w:rPr>
          <w:b/>
          <w:bCs/>
          <w:i w:val="false"/>
          <w:iCs w:val="false"/>
          <w:color w:val="1A1A1A"/>
          <w:sz w:val="48"/>
          <w:szCs w:val="48"/>
        </w:rPr>
        <w:t xml:space="preserve">PREA Compliance: Where We Stand</w:t>
      </w:r>
    </w:p>
    <w:p>
      <w:pPr>
        <w:spacing w:after="360"/>
        <w:jc w:val="center"/>
      </w:pPr>
      <w:r>
        <w:rPr>
          <w:b w:val="false"/>
          <w:bCs w:val="false"/>
          <w:i w:val="false"/>
          <w:iCs w:val="false"/>
          <w:color w:val="595959"/>
          <w:sz w:val="32"/>
          <w:szCs w:val="32"/>
        </w:rPr>
        <w:t xml:space="preserve">Management briefing</w:t>
      </w:r>
    </w:p>
    <w:p>
      <w:pPr>
        <w:spacing w:after="40"/>
        <w:jc w:val="center"/>
      </w:pPr>
      <w:r>
        <w:rPr>
          <w:b w:val="false"/>
          <w:bCs w:val="false"/>
          <w:i w:val="false"/>
          <w:iCs w:val="false"/>
          <w:color w:val="1A1A1A"/>
          <w:sz w:val="26"/>
          <w:szCs w:val="26"/>
        </w:rPr>
        <w:t xml:space="preserve">Sacramento County Probation Department</w:t>
      </w:r>
    </w:p>
    <w:p>
      <w:pPr>
        <w:spacing w:after="360"/>
        <w:jc w:val="center"/>
      </w:pPr>
      <w:r>
        <w:rPr>
          <w:b w:val="false"/>
          <w:bCs w:val="false"/>
          <w:i w:val="false"/>
          <w:iCs w:val="false"/>
          <w:color w:val="1A1A1A"/>
          <w:sz w:val="26"/>
          <w:szCs w:val="26"/>
        </w:rPr>
        <w:t xml:space="preserve">Youth Detention Facility</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4"/>
            </w:pPr>
            <w:r>
              <w:rPr>
                <w:b w:val="false"/>
                <w:bCs w:val="false"/>
                <w:i w:val="false"/>
                <w:iCs w:val="false"/>
                <w:color w:val="1A1A1A"/>
                <w:sz w:val="24"/>
                <w:szCs w:val="24"/>
              </w:rPr>
              <w:t xml:space="preserve">WORKING DRAFT. Not legal advice. Route to County Counsel before circulating outside the department.</w:t>
            </w:r>
          </w:p>
        </w:tc>
      </w:tr>
    </w:tbl>
    <w:p>
      <w:pPr>
        <w:spacing w:before="320"/>
        <w:jc w:val="center"/>
      </w:pPr>
      <w:r>
        <w:rPr>
          <w:b w:val="false"/>
          <w:bCs w:val="false"/>
          <w:i w:val="false"/>
          <w:iCs w:val="false"/>
          <w:color w:val="595959"/>
          <w:sz w:val="24"/>
          <w:szCs w:val="24"/>
        </w:rPr>
        <w:t xml:space="preserve">Drawn from gap register Revision 10, 91 requirements assessed against 17 departmental documents.</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The short version</w:t>
      </w:r>
    </w:p>
    <w:p>
      <w:pPr>
        <w:spacing w:after="140" w:line="276"/>
      </w:pPr>
      <w:r>
        <w:rPr>
          <w:b w:val="false"/>
          <w:bCs w:val="false"/>
          <w:i w:val="false"/>
          <w:iCs w:val="false"/>
          <w:color w:val="1A1A1A"/>
          <w:sz w:val="24"/>
          <w:szCs w:val="24"/>
        </w:rPr>
        <w:t xml:space="preserve">Five things, and then the detail behind each one.</w:t>
      </w:r>
    </w:p>
    <w:p>
      <w:pPr>
        <w:spacing w:after="130" w:line="276"/>
      </w:pPr>
      <w:r>
        <w:rPr>
          <w:b/>
          <w:bCs/>
          <w:i w:val="false"/>
          <w:iCs w:val="false"/>
          <w:color w:val="1A1A1A"/>
          <w:sz w:val="24"/>
          <w:szCs w:val="24"/>
        </w:rPr>
        <w:t xml:space="preserve">1.  </w:t>
      </w:r>
      <w:r>
        <w:rPr>
          <w:b w:val="false"/>
          <w:bCs w:val="false"/>
          <w:i w:val="false"/>
          <w:iCs w:val="false"/>
          <w:color w:val="1A1A1A"/>
          <w:sz w:val="24"/>
          <w:szCs w:val="24"/>
        </w:rPr>
        <w:t xml:space="preserve"/>
      </w:r>
      <w:r>
        <w:rPr>
          <w:b/>
          <w:bCs/>
          <w:i w:val="false"/>
          <w:iCs w:val="false"/>
          <w:color w:val="1A1A1A"/>
          <w:sz w:val="24"/>
          <w:szCs w:val="24"/>
        </w:rPr>
        <w:t xml:space="preserve">PREA applies to us.</w:t>
      </w:r>
      <w:r>
        <w:rPr>
          <w:b w:val="false"/>
          <w:bCs w:val="false"/>
          <w:i w:val="false"/>
          <w:iCs w:val="false"/>
          <w:color w:val="1A1A1A"/>
          <w:sz w:val="24"/>
          <w:szCs w:val="24"/>
        </w:rPr>
        <w:t xml:space="preserve"> It covers local government confinement facilities. There is no federal fine for a county and no private lawsuit under PREA itself, so the standards are not the risk. They are the measuring stick somebody else uses.</w:t>
      </w:r>
    </w:p>
    <w:p>
      <w:pPr>
        <w:spacing w:after="130" w:line="276"/>
      </w:pPr>
      <w:r>
        <w:rPr>
          <w:b/>
          <w:bCs/>
          <w:i w:val="false"/>
          <w:iCs w:val="false"/>
          <w:color w:val="1A1A1A"/>
          <w:sz w:val="24"/>
          <w:szCs w:val="24"/>
        </w:rPr>
        <w:t xml:space="preserve">2.  </w:t>
      </w:r>
      <w:r>
        <w:rPr>
          <w:b w:val="false"/>
          <w:bCs w:val="false"/>
          <w:i w:val="false"/>
          <w:iCs w:val="false"/>
          <w:color w:val="1A1A1A"/>
          <w:sz w:val="24"/>
          <w:szCs w:val="24"/>
        </w:rPr>
        <w:t xml:space="preserve"/>
      </w:r>
      <w:r>
        <w:rPr>
          <w:b/>
          <w:bCs/>
          <w:i w:val="false"/>
          <w:iCs w:val="false"/>
          <w:color w:val="1A1A1A"/>
          <w:sz w:val="24"/>
          <w:szCs w:val="24"/>
        </w:rPr>
        <w:t xml:space="preserve">The risk is state law and civil liability.</w:t>
      </w:r>
      <w:r>
        <w:rPr>
          <w:b w:val="false"/>
          <w:bCs w:val="false"/>
          <w:i w:val="false"/>
          <w:iCs w:val="false"/>
          <w:color w:val="1A1A1A"/>
          <w:sz w:val="24"/>
          <w:szCs w:val="24"/>
        </w:rPr>
        <w:t xml:space="preserve"> Title 15 embeds PREA content in about ten sections, and BSCC inspects against it every two years. AB 452 removed the limitations period for childhood sexual assault occurring on or after 01/01/2024, so a claim arising from a resident today has no deadline and never will.</w:t>
      </w:r>
    </w:p>
    <w:p>
      <w:pPr>
        <w:spacing w:after="130" w:line="276"/>
      </w:pPr>
      <w:r>
        <w:rPr>
          <w:b/>
          <w:bCs/>
          <w:i w:val="false"/>
          <w:iCs w:val="false"/>
          <w:color w:val="1A1A1A"/>
          <w:sz w:val="24"/>
          <w:szCs w:val="24"/>
        </w:rPr>
        <w:t xml:space="preserve">3.  </w:t>
      </w:r>
      <w:r>
        <w:rPr>
          <w:b w:val="false"/>
          <w:bCs w:val="false"/>
          <w:i w:val="false"/>
          <w:iCs w:val="false"/>
          <w:color w:val="1A1A1A"/>
          <w:sz w:val="24"/>
          <w:szCs w:val="24"/>
        </w:rPr>
        <w:t xml:space="preserve"/>
      </w:r>
      <w:r>
        <w:rPr>
          <w:b/>
          <w:bCs/>
          <w:i w:val="false"/>
          <w:iCs w:val="false"/>
          <w:color w:val="1A1A1A"/>
          <w:sz w:val="24"/>
          <w:szCs w:val="24"/>
        </w:rPr>
        <w:t xml:space="preserve">The documents are mostly there. The problem is what they say.</w:t>
      </w:r>
      <w:r>
        <w:rPr>
          <w:b w:val="false"/>
          <w:bCs w:val="false"/>
          <w:i w:val="false"/>
          <w:iCs w:val="false"/>
          <w:color w:val="1A1A1A"/>
          <w:sz w:val="24"/>
          <w:szCs w:val="24"/>
        </w:rPr>
        <w:t xml:space="preserve"> Of 91 requirements assessed against 17 policies, thirteen are not gaps at all: the policy states a rule that contradicts the law or another one of our own orders. Those are the expensive ones, because a written wrong rule is evidence, and most of them are correctable by amendment.</w:t>
      </w:r>
    </w:p>
    <w:p>
      <w:pPr>
        <w:spacing w:after="130" w:line="276"/>
      </w:pPr>
      <w:r>
        <w:rPr>
          <w:b/>
          <w:bCs/>
          <w:i w:val="false"/>
          <w:iCs w:val="false"/>
          <w:color w:val="1A1A1A"/>
          <w:sz w:val="24"/>
          <w:szCs w:val="24"/>
        </w:rPr>
        <w:t xml:space="preserve">4.  </w:t>
      </w:r>
      <w:r>
        <w:rPr>
          <w:b w:val="false"/>
          <w:bCs w:val="false"/>
          <w:i w:val="false"/>
          <w:iCs w:val="false"/>
          <w:color w:val="1A1A1A"/>
          <w:sz w:val="24"/>
          <w:szCs w:val="24"/>
        </w:rPr>
        <w:t xml:space="preserve"/>
      </w:r>
      <w:r>
        <w:rPr>
          <w:b/>
          <w:bCs/>
          <w:i w:val="false"/>
          <w:iCs w:val="false"/>
          <w:color w:val="1A1A1A"/>
          <w:sz w:val="24"/>
          <w:szCs w:val="24"/>
        </w:rPr>
        <w:t xml:space="preserve">Three of the thirteen create personal exposure for staff, not just the County.</w:t>
      </w:r>
      <w:r>
        <w:rPr>
          <w:b w:val="false"/>
          <w:bCs w:val="false"/>
          <w:i w:val="false"/>
          <w:iCs w:val="false"/>
          <w:color w:val="1A1A1A"/>
          <w:sz w:val="24"/>
          <w:szCs w:val="24"/>
        </w:rPr>
        <w:t xml:space="preserve"> The mandated reporting timeline is wrong in two documents. One order directs supervisors to question a youth in a way that omits a statute that took effect in 2021. Both are correctable this quarter.</w:t>
      </w:r>
    </w:p>
    <w:p>
      <w:pPr>
        <w:spacing w:after="130" w:line="276"/>
      </w:pPr>
      <w:r>
        <w:rPr>
          <w:b/>
          <w:bCs/>
          <w:i w:val="false"/>
          <w:iCs w:val="false"/>
          <w:color w:val="1A1A1A"/>
          <w:sz w:val="24"/>
          <w:szCs w:val="24"/>
        </w:rPr>
        <w:t xml:space="preserve">5.  </w:t>
      </w:r>
      <w:r>
        <w:rPr>
          <w:b w:val="false"/>
          <w:bCs w:val="false"/>
          <w:i w:val="false"/>
          <w:iCs w:val="false"/>
          <w:color w:val="1A1A1A"/>
          <w:sz w:val="24"/>
          <w:szCs w:val="24"/>
        </w:rPr>
        <w:t xml:space="preserve"/>
      </w:r>
      <w:r>
        <w:rPr>
          <w:b/>
          <w:bCs/>
          <w:i w:val="false"/>
          <w:iCs w:val="false"/>
          <w:color w:val="1A1A1A"/>
          <w:sz w:val="24"/>
          <w:szCs w:val="24"/>
        </w:rPr>
        <w:t xml:space="preserve">Seven of the fifteen recommended changes are drafted and ready to review.</w:t>
      </w:r>
      <w:r>
        <w:rPr>
          <w:b w:val="false"/>
          <w:bCs w:val="false"/>
          <w:i w:val="false"/>
          <w:iCs w:val="false"/>
          <w:color w:val="1A1A1A"/>
          <w:sz w:val="24"/>
          <w:szCs w:val="24"/>
        </w:rPr>
        <w:t xml:space="preserve"> The other eight need a decision from this room, not more analysis. That is the ask.</w:t>
      </w:r>
    </w:p>
    <w:p>
      <w:r>
        <w:br w:type="page"/>
      </w:r>
    </w:p>
    <w:p>
      <w:pPr>
        <w:pStyle w:val="Heading1"/>
      </w:pPr>
      <w:r>
        <w:t xml:space="preserve">Does PREA actually bind us</w:t>
      </w:r>
    </w:p>
    <w:p>
      <w:pPr>
        <w:spacing w:after="140" w:line="276"/>
      </w:pPr>
      <w:r>
        <w:rPr>
          <w:b w:val="false"/>
          <w:bCs w:val="false"/>
          <w:i w:val="false"/>
          <w:iCs w:val="false"/>
          <w:color w:val="1A1A1A"/>
          <w:sz w:val="24"/>
          <w:szCs w:val="24"/>
        </w:rPr>
        <w:t xml:space="preserve">This gets asked first every time, so it is settled here. The answer has two halves and the second one is the one that matters.</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Yes, as a standard.</w:t>
      </w:r>
      <w:r>
        <w:rPr>
          <w:b w:val="false"/>
          <w:bCs w:val="false"/>
          <w:i w:val="false"/>
          <w:iCs w:val="false"/>
          <w:color w:val="1A1A1A"/>
          <w:sz w:val="24"/>
          <w:szCs w:val="24"/>
        </w:rPr>
        <w:t xml:space="preserve"> PREA covers local government confinement facilities, 34 U.S.C. 30309(7). Agency includes local units, 28 CFR 115.5. Subpart D covers juvenile facilities. DOJ guidance states the standards apply equally to locally operated facilities.</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No, as a direct federal penalty.</w:t>
      </w:r>
      <w:r>
        <w:rPr>
          <w:b w:val="false"/>
          <w:bCs w:val="false"/>
          <w:i w:val="false"/>
          <w:iCs w:val="false"/>
          <w:color w:val="1A1A1A"/>
          <w:sz w:val="24"/>
          <w:szCs w:val="24"/>
        </w:rPr>
        <w:t xml:space="preserve"> The five percent grant penalty, 34 U.S.C. 30307(c)(2), runs through the governor's certification, which 28 CFR 115.501(b) limits to state executive branch facilities. The Attorney General's own overview states it does not encompass county facilities. There is no private right of action under PREA.</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And that is exactly why we are exposed.</w:t>
      </w:r>
      <w:r>
        <w:rPr>
          <w:b w:val="false"/>
          <w:bCs w:val="false"/>
          <w:i w:val="false"/>
          <w:iCs w:val="false"/>
          <w:color w:val="1A1A1A"/>
          <w:sz w:val="24"/>
          <w:szCs w:val="24"/>
        </w:rPr>
        <w:t xml:space="preserve"> DJJ closed 06/30/2023, so no California juvenile facility sits inside any governor's certification. Counties are persons under 42 U.S.C. 1983, with no Eleventh Amendment immunity and no qualified immunity for the entity. Being county run is what creates the damages exposure rather than removing it.</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California has not adopted a PREA audit requirement for juvenile facilities.</w:t>
      </w:r>
      <w:r>
        <w:rPr>
          <w:b w:val="false"/>
          <w:bCs w:val="false"/>
          <w:i w:val="false"/>
          <w:iCs w:val="false"/>
          <w:color w:val="1A1A1A"/>
          <w:sz w:val="24"/>
          <w:szCs w:val="24"/>
        </w:rPr>
        <w:t xml:space="preserve"> Both editions of Title 15 read for this project contain no PREA reference and no facility audit requirement. So nobody is coming to audit us. The exposure arrives as a BSCC inspection finding or as a lawsuit, not as an audit report.</w:t>
      </w:r>
    </w:p>
    <w:p>
      <w:r>
        <w:br w:type="page"/>
      </w:r>
    </w:p>
    <w:p>
      <w:pPr>
        <w:pStyle w:val="Heading1"/>
      </w:pPr>
      <w:r>
        <w:t xml:space="preserve">Where we stand, by the numbers</w:t>
      </w:r>
    </w:p>
    <w:p>
      <w:pPr>
        <w:spacing w:after="140" w:line="276"/>
      </w:pPr>
      <w:r>
        <w:rPr>
          <w:b w:val="false"/>
          <w:bCs w:val="false"/>
          <w:i w:val="false"/>
          <w:iCs w:val="false"/>
          <w:color w:val="1A1A1A"/>
          <w:sz w:val="24"/>
          <w:szCs w:val="24"/>
        </w:rPr>
        <w:t xml:space="preserve">91 requirements from 28 CFR Part 115 Subpart D and Title 15, assessed against the 17 departmental documents produced to this review. The counts below are read out of the register at build time, so this page cannot drift from it.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900"/>
        <w:gridCol w:w="1240"/>
        <w:gridCol w:w="800"/>
        <w:gridCol w:w="2900"/>
        <w:gridCol w:w="2240"/>
      </w:tblGrid>
      <w:tr>
        <w:trPr>
          <w:tblHeader/>
        </w:trPr>
        <w:tc>
          <w:tcPr>
            <w:tcW w:type="dxa" w:w="29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Status</w:t>
            </w:r>
          </w:p>
        </w:tc>
        <w:tc>
          <w:tcPr>
            <w:tcW w:type="dxa" w:w="1240"/>
            <w:shd w:fill="EDEDED"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Rows</w:t>
            </w:r>
          </w:p>
        </w:tc>
        <w:tc>
          <w:tcPr>
            <w:tcW w:type="dxa" w:w="8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Priority</w:t>
            </w:r>
          </w:p>
        </w:tc>
        <w:tc>
          <w:tcPr>
            <w:tcW w:type="dxa" w:w="2240"/>
            <w:shd w:fill="EDEDED"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Rows</w:t>
            </w:r>
          </w:p>
        </w:tc>
      </w:tr>
      <w:tr>
        <w:tc>
          <w:tcPr>
            <w:tcW w:type="dxa" w:w="2900"/>
            <w:shd w:fill="F2DEDE"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Conflict</w:t>
            </w:r>
          </w:p>
        </w:tc>
        <w:tc>
          <w:tcPr>
            <w:tcW w:type="dxa" w:w="1240"/>
            <w:shd w:fill="F2DEDE"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13</w:t>
            </w:r>
          </w:p>
        </w:tc>
        <w:tc>
          <w:tcPr>
            <w:tcW w:type="dxa" w:w="8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shd w:fill="F2DEDE"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Critical</w:t>
            </w:r>
          </w:p>
        </w:tc>
        <w:tc>
          <w:tcPr>
            <w:tcW w:type="dxa" w:w="2240"/>
            <w:shd w:fill="F2DEDE"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22</w:t>
            </w:r>
          </w:p>
        </w:tc>
      </w:tr>
      <w:tr>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Not Addressed</w:t>
            </w:r>
          </w:p>
        </w:tc>
        <w:tc>
          <w:tcPr>
            <w:tcW w:type="dxa" w:w="124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21</w:t>
            </w:r>
          </w:p>
        </w:tc>
        <w:tc>
          <w:tcPr>
            <w:tcW w:type="dxa" w:w="8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High</w:t>
            </w:r>
          </w:p>
        </w:tc>
        <w:tc>
          <w:tcPr>
            <w:tcW w:type="dxa" w:w="224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39</w:t>
            </w:r>
          </w:p>
        </w:tc>
      </w:tr>
      <w:tr>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Partial</w:t>
            </w:r>
          </w:p>
        </w:tc>
        <w:tc>
          <w:tcPr>
            <w:tcW w:type="dxa" w:w="124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41</w:t>
            </w:r>
          </w:p>
        </w:tc>
        <w:tc>
          <w:tcPr>
            <w:tcW w:type="dxa" w:w="8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Medium</w:t>
            </w:r>
          </w:p>
        </w:tc>
        <w:tc>
          <w:tcPr>
            <w:tcW w:type="dxa" w:w="224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16</w:t>
            </w:r>
          </w:p>
        </w:tc>
      </w:tr>
      <w:tr>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Addressed</w:t>
            </w:r>
          </w:p>
        </w:tc>
        <w:tc>
          <w:tcPr>
            <w:tcW w:type="dxa" w:w="124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14</w:t>
            </w:r>
          </w:p>
        </w:tc>
        <w:tc>
          <w:tcPr>
            <w:tcW w:type="dxa" w:w="8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Low</w:t>
            </w:r>
          </w:p>
        </w:tc>
        <w:tc>
          <w:tcPr>
            <w:tcW w:type="dxa" w:w="224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14</w:t>
            </w:r>
          </w:p>
        </w:tc>
      </w:tr>
      <w:tr>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Not Evidenced</w:t>
            </w:r>
          </w:p>
        </w:tc>
        <w:tc>
          <w:tcPr>
            <w:tcW w:type="dxa" w:w="124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2</w:t>
            </w:r>
          </w:p>
        </w:tc>
        <w:tc>
          <w:tcPr>
            <w:tcW w:type="dxa" w:w="8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24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
            </w:r>
          </w:p>
        </w:tc>
      </w:tr>
    </w:tbl>
    <w:p>
      <w:pPr>
        <w:spacing w:after="14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8"/>
            </w:pPr>
            <w:r>
              <w:rPr>
                <w:b w:val="false"/>
                <w:bCs w:val="false"/>
                <w:i w:val="false"/>
                <w:iCs w:val="false"/>
                <w:color w:val="1A1A1A"/>
                <w:sz w:val="24"/>
                <w:szCs w:val="24"/>
              </w:rPr>
              <w:t xml:space="preserve"/>
            </w:r>
            <w:r>
              <w:rPr>
                <w:b/>
                <w:bCs/>
                <w:i w:val="false"/>
                <w:iCs w:val="false"/>
                <w:color w:val="1A1A1A"/>
                <w:sz w:val="24"/>
                <w:szCs w:val="24"/>
              </w:rPr>
              <w:t xml:space="preserve">Read the Conflict row first.</w:t>
            </w:r>
            <w:r>
              <w:rPr>
                <w:b w:val="false"/>
                <w:bCs w:val="false"/>
                <w:i w:val="false"/>
                <w:iCs w:val="false"/>
                <w:color w:val="1A1A1A"/>
                <w:sz w:val="24"/>
                <w:szCs w:val="24"/>
              </w:rPr>
              <w:t xml:space="preserve"> Not Addressed means we have not written it down yet. Conflict means we have written down the wrong rule. The second is worse: it is harder to defend, it is already in staff hands, and it is cheaper to fix. Not Evidenced means the document is referenced in another policy but has not been produced to this review, so no finding is made either way.</w:t>
            </w:r>
          </w:p>
        </w:tc>
      </w:tr>
    </w:tbl>
    <w:p>
      <w:r>
        <w:br w:type="page"/>
      </w:r>
    </w:p>
    <w:p>
      <w:pPr>
        <w:pStyle w:val="Heading1"/>
      </w:pPr>
      <w:r>
        <w:t xml:space="preserve">Where the real exposure is</w:t>
      </w:r>
    </w:p>
    <w:p>
      <w:pPr>
        <w:spacing w:after="140" w:line="276"/>
      </w:pPr>
      <w:r>
        <w:rPr>
          <w:b w:val="false"/>
          <w:bCs w:val="false"/>
          <w:i w:val="false"/>
          <w:iCs w:val="false"/>
          <w:color w:val="1A1A1A"/>
          <w:sz w:val="24"/>
          <w:szCs w:val="24"/>
        </w:rPr>
        <w:t xml:space="preserve">Not 91 rows. These seven. Each one is in the register with the policy text behind it, and each is written the same way: what our policy says, what the rule says, why it costs us, and what the fix is.</w:t>
      </w:r>
    </w:p>
    <w:p>
      <w:pPr>
        <w:pStyle w:val="Heading2"/>
        <w:spacing w:after="60" w:before="260"/>
      </w:pPr>
      <w:r>
        <w:rPr>
          <w:b/>
          <w:bCs/>
          <w:i w:val="false"/>
          <w:iCs w:val="false"/>
          <w:color w:val="1A1A1A"/>
          <w:sz w:val="30"/>
          <w:szCs w:val="30"/>
        </w:rPr>
        <w:t xml:space="preserve">1.  </w:t>
      </w:r>
      <w:r>
        <w:rPr>
          <w:b/>
          <w:bCs/>
          <w:i w:val="false"/>
          <w:iCs w:val="false"/>
          <w:color w:val="1A1A1A"/>
          <w:sz w:val="30"/>
          <w:szCs w:val="30"/>
        </w:rPr>
        <w:t xml:space="preserve">Automatic single room housing for LGBTQI, transgender and intersex youth</w:t>
      </w:r>
    </w:p>
    <w:p>
      <w:pPr>
        <w:spacing w:after="160"/>
      </w:pPr>
      <w:r>
        <w:rPr>
          <w:b w:val="false"/>
          <w:bCs w:val="false"/>
          <w:i/>
          <w:iCs/>
          <w:color w:val="595959"/>
          <w:sz w:val="24"/>
          <w:szCs w:val="24"/>
        </w:rPr>
        <w:t xml:space="preserve">Register rows 36, 37</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our policy says.</w:t>
      </w:r>
      <w:r>
        <w:rPr>
          <w:b w:val="false"/>
          <w:bCs w:val="false"/>
          <w:i w:val="false"/>
          <w:iCs w:val="false"/>
          <w:color w:val="1A1A1A"/>
          <w:sz w:val="24"/>
          <w:szCs w:val="24"/>
        </w:rPr>
        <w:t xml:space="preserve"> OO 1352 II.M creates classification S-8 for any LGBTQI youth, and III.I.1 requires single room housing at all times. OO 1352.5 III.I does the same for all transgender and intersex youth.</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the rule says.</w:t>
      </w:r>
      <w:r>
        <w:rPr>
          <w:b w:val="false"/>
          <w:bCs w:val="false"/>
          <w:i w:val="false"/>
          <w:iCs w:val="false"/>
          <w:color w:val="1A1A1A"/>
          <w:sz w:val="24"/>
          <w:szCs w:val="24"/>
        </w:rPr>
        <w:t xml:space="preserve"> 15 CCR 1352(e) bars separating a youth from the general population or assigning a single occupancy room solely on a listed basis, and states the lawful alternative on its face: individualized placement, or a single room at the youth's specific request. 115.342(c) is to the same effect. 15 CCR 1324(k) separately requires the policy manual itself to bar classification and restrictive housing decisions on those bases.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Why it costs us.</w:t>
            </w:r>
            <w:r>
              <w:rPr>
                <w:b w:val="false"/>
                <w:bCs w:val="false"/>
                <w:i w:val="false"/>
                <w:iCs w:val="false"/>
                <w:color w:val="1A1A1A"/>
                <w:sz w:val="24"/>
                <w:szCs w:val="24"/>
              </w:rPr>
              <w:t xml:space="preserve"> This is the cleanest adverse finding available against us, for three reasons. </w:t>
            </w:r>
            <w:r>
              <w:rPr>
                <w:b/>
                <w:bCs/>
                <w:i w:val="false"/>
                <w:iCs w:val="false"/>
                <w:color w:val="1A1A1A"/>
                <w:sz w:val="24"/>
                <w:szCs w:val="24"/>
              </w:rPr>
              <w:t xml:space="preserve">The timing.</w:t>
            </w:r>
            <w:r>
              <w:rPr>
                <w:b w:val="false"/>
                <w:bCs w:val="false"/>
                <w:i w:val="false"/>
                <w:iCs w:val="false"/>
                <w:color w:val="1A1A1A"/>
                <w:sz w:val="24"/>
                <w:szCs w:val="24"/>
              </w:rPr>
              <w:t xml:space="preserve"> 1352(e) is not new: it is in the edition effective 04/01/2014. S-8 was created 12/09/2019 and retained on the 02/27/2020 revision, five and a half years after the state rule was already in force. </w:t>
            </w:r>
            <w:r>
              <w:rPr>
                <w:b/>
                <w:bCs/>
                <w:i w:val="false"/>
                <w:iCs w:val="false"/>
                <w:color w:val="1A1A1A"/>
                <w:sz w:val="24"/>
                <w:szCs w:val="24"/>
              </w:rPr>
              <w:t xml:space="preserve">The comparison, from our own order.</w:t>
            </w:r>
            <w:r>
              <w:rPr>
                <w:b w:val="false"/>
                <w:bCs w:val="false"/>
                <w:i w:val="false"/>
                <w:iCs w:val="false"/>
                <w:color w:val="1A1A1A"/>
                <w:sz w:val="24"/>
                <w:szCs w:val="24"/>
              </w:rPr>
              <w:t xml:space="preserve"> III.I.1 for S-8 and III.E.1.a for S-4 High are word for word identical, and they are the only two provisions in the entire order imposing that mandate. S-4 High is the documented sex offence category. So the order gives LGBTQI youth the identical housing restriction it reserves for adjudicated sex offenders, and gives it to no one else. </w:t>
            </w:r>
            <w:r>
              <w:rPr>
                <w:b/>
                <w:bCs/>
                <w:i w:val="false"/>
                <w:iCs w:val="false"/>
                <w:color w:val="1A1A1A"/>
                <w:sz w:val="24"/>
                <w:szCs w:val="24"/>
              </w:rPr>
              <w:t xml:space="preserve">And the order contradicts itself:</w:t>
            </w:r>
            <w:r>
              <w:rPr>
                <w:b w:val="false"/>
                <w:bCs w:val="false"/>
                <w:i w:val="false"/>
                <w:iCs w:val="false"/>
                <w:color w:val="1A1A1A"/>
                <w:sz w:val="24"/>
                <w:szCs w:val="24"/>
              </w:rPr>
              <w:t xml:space="preserve"> II.M.1.a defers housing to OO 1352.5, and III.I.1 then forecloses it.</w:t>
            </w:r>
          </w:p>
        </w:tc>
      </w:tr>
    </w:tbl>
    <w:p>
      <w:pPr>
        <w:spacing w:after="120"/>
      </w:pP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The fix.</w:t>
      </w:r>
      <w:r>
        <w:rPr>
          <w:b w:val="false"/>
          <w:bCs w:val="false"/>
          <w:i w:val="false"/>
          <w:iCs w:val="false"/>
          <w:color w:val="1A1A1A"/>
          <w:sz w:val="24"/>
          <w:szCs w:val="24"/>
        </w:rPr>
        <w:t xml:space="preserve"> Recommended changes 1 and 2, drafted. Rescind the S-8 mandate and replace it with the 1352(e) list verbatim, carrying the regulation's own carve out for single occupancy at the youth's request, documented. Convert OO 1352.5 III.I to a presumptive, documented, individualized outcome. A fourth paragraph bars any classification code that carries an automatic housing consequence, which is what stops this reappearing under another letter.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What I need.</w:t>
            </w:r>
            <w:r>
              <w:rPr>
                <w:b w:val="false"/>
                <w:bCs w:val="false"/>
                <w:i w:val="false"/>
                <w:iCs w:val="false"/>
                <w:color w:val="1A1A1A"/>
                <w:sz w:val="24"/>
                <w:szCs w:val="24"/>
              </w:rPr>
              <w:t xml:space="preserve"> Nothing. This one is ready to move.</w:t>
            </w:r>
          </w:p>
        </w:tc>
      </w:tr>
    </w:tbl>
    <w:p>
      <w:r>
        <w:br w:type="page"/>
      </w:r>
    </w:p>
    <w:p>
      <w:pPr>
        <w:pStyle w:val="Heading2"/>
        <w:spacing w:after="60" w:before="0"/>
      </w:pPr>
      <w:r>
        <w:rPr>
          <w:b/>
          <w:bCs/>
          <w:i w:val="false"/>
          <w:iCs w:val="false"/>
          <w:color w:val="1A1A1A"/>
          <w:sz w:val="30"/>
          <w:szCs w:val="30"/>
        </w:rPr>
        <w:t xml:space="preserve">2.  </w:t>
      </w:r>
      <w:r>
        <w:rPr>
          <w:b/>
          <w:bCs/>
          <w:i w:val="false"/>
          <w:iCs w:val="false"/>
          <w:color w:val="1A1A1A"/>
          <w:sz w:val="30"/>
          <w:szCs w:val="30"/>
        </w:rPr>
        <w:t xml:space="preserve">The child abuse reporting timeline is wrong, in two documents</w:t>
      </w:r>
    </w:p>
    <w:p>
      <w:pPr>
        <w:spacing w:after="160"/>
      </w:pPr>
      <w:r>
        <w:rPr>
          <w:b w:val="false"/>
          <w:bCs w:val="false"/>
          <w:i/>
          <w:iCs/>
          <w:color w:val="595959"/>
          <w:sz w:val="24"/>
          <w:szCs w:val="24"/>
        </w:rPr>
        <w:t xml:space="preserve">Register row 48</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our policy says.</w:t>
      </w:r>
      <w:r>
        <w:rPr>
          <w:b w:val="false"/>
          <w:bCs w:val="false"/>
          <w:i w:val="false"/>
          <w:iCs w:val="false"/>
          <w:color w:val="1A1A1A"/>
          <w:sz w:val="24"/>
          <w:szCs w:val="24"/>
        </w:rPr>
        <w:t xml:space="preserve"> PREA Policy V.A.4 and OO 1453 I.A.9 both state that sexual assault is reported to Child Protective Services verbally within 24 hours. OO 1453 restated it on a 12/09/2019 revision.</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the rule says.</w:t>
      </w:r>
      <w:r>
        <w:rPr>
          <w:b w:val="false"/>
          <w:bCs w:val="false"/>
          <w:i w:val="false"/>
          <w:iCs w:val="false"/>
          <w:color w:val="1A1A1A"/>
          <w:sz w:val="24"/>
          <w:szCs w:val="24"/>
        </w:rPr>
        <w:t xml:space="preserve"> Penal Code 11166(a) requires a telephone report immediately or as soon as practicably possible, with the written report on form SS 8572 within 36 hours.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Why it costs us.</w:t>
            </w:r>
            <w:r>
              <w:rPr>
                <w:b w:val="false"/>
                <w:bCs w:val="false"/>
                <w:i w:val="false"/>
                <w:iCs w:val="false"/>
                <w:color w:val="1A1A1A"/>
                <w:sz w:val="24"/>
                <w:szCs w:val="24"/>
              </w:rPr>
              <w:t xml:space="preserve"> </w:t>
            </w:r>
            <w:r>
              <w:rPr>
                <w:b/>
                <w:bCs/>
                <w:i w:val="false"/>
                <w:iCs w:val="false"/>
                <w:color w:val="1A1A1A"/>
                <w:sz w:val="24"/>
                <w:szCs w:val="24"/>
              </w:rPr>
              <w:t xml:space="preserve">This is personal criminal exposure for the employee, not an institutional finding.</w:t>
            </w:r>
            <w:r>
              <w:rPr>
                <w:b w:val="false"/>
                <w:bCs w:val="false"/>
                <w:i w:val="false"/>
                <w:iCs w:val="false"/>
                <w:color w:val="1A1A1A"/>
                <w:sz w:val="24"/>
                <w:szCs w:val="24"/>
              </w:rPr>
              <w:t xml:space="preserve"> The duty under 11166(i)(1) is individual, no supervisor may impede it, and 11166(c) carries penalties. A staff member who follows our written policy exactly can be the one prosecuted. The Code of Conduct VII.A.1 states the standard correctly, so the department contradicts itself in writing, which removes any argument that this was simply never considered.</w:t>
            </w:r>
          </w:p>
        </w:tc>
      </w:tr>
    </w:tbl>
    <w:p>
      <w:pPr>
        <w:spacing w:after="120"/>
      </w:pP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The fix.</w:t>
      </w:r>
      <w:r>
        <w:rPr>
          <w:b w:val="false"/>
          <w:bCs w:val="false"/>
          <w:i w:val="false"/>
          <w:iCs w:val="false"/>
          <w:color w:val="1A1A1A"/>
          <w:sz w:val="24"/>
          <w:szCs w:val="24"/>
        </w:rPr>
        <w:t xml:space="preserve"> Recommended change 3, drafted and staged. Stage one corrects both provisions in place now. Stage two replaces both with a cross reference once a department wide General Order on child abuse reporting issues. Reading OO 1453 in full added a scope correction: every duty in it is keyed to sexual assault, so the insert is drafted to the CANRA trigger instead, which fixes the timeline and the scope together.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What I need.</w:t>
            </w:r>
            <w:r>
              <w:rPr>
                <w:b w:val="false"/>
                <w:bCs w:val="false"/>
                <w:i w:val="false"/>
                <w:iCs w:val="false"/>
                <w:color w:val="1A1A1A"/>
                <w:sz w:val="24"/>
                <w:szCs w:val="24"/>
              </w:rPr>
              <w:t xml:space="preserve"> Confirm whether the county has designated Probation to receive mandated reports under PC 11165.9. One paragraph of the draft depends on it and it is unconfirmed.</w:t>
            </w:r>
          </w:p>
        </w:tc>
      </w:tr>
    </w:tbl>
    <w:p>
      <w:r>
        <w:br w:type="page"/>
      </w:r>
    </w:p>
    <w:p>
      <w:pPr>
        <w:pStyle w:val="Heading2"/>
        <w:spacing w:after="60" w:before="0"/>
      </w:pPr>
      <w:r>
        <w:rPr>
          <w:b/>
          <w:bCs/>
          <w:i w:val="false"/>
          <w:iCs w:val="false"/>
          <w:color w:val="1A1A1A"/>
          <w:sz w:val="30"/>
          <w:szCs w:val="30"/>
        </w:rPr>
        <w:t xml:space="preserve">3.  </w:t>
      </w:r>
      <w:r>
        <w:rPr>
          <w:b/>
          <w:bCs/>
          <w:i w:val="false"/>
          <w:iCs w:val="false"/>
          <w:color w:val="1A1A1A"/>
          <w:sz w:val="30"/>
          <w:szCs w:val="30"/>
        </w:rPr>
        <w:t xml:space="preserve">The interrogation instruction omits a statute that took effect in 2021</w:t>
      </w:r>
    </w:p>
    <w:p>
      <w:pPr>
        <w:spacing w:after="160"/>
      </w:pPr>
      <w:r>
        <w:rPr>
          <w:b w:val="false"/>
          <w:bCs w:val="false"/>
          <w:i/>
          <w:iCs/>
          <w:color w:val="595959"/>
          <w:sz w:val="24"/>
          <w:szCs w:val="24"/>
        </w:rPr>
        <w:t xml:space="preserve">Register row 91</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our policy says.</w:t>
      </w:r>
      <w:r>
        <w:rPr>
          <w:b w:val="false"/>
          <w:bCs w:val="false"/>
          <w:i w:val="false"/>
          <w:iCs w:val="false"/>
          <w:color w:val="1A1A1A"/>
          <w:sz w:val="24"/>
          <w:szCs w:val="24"/>
        </w:rPr>
        <w:t xml:space="preserve"> OO 1453 I.A.6: the duty supervisor shall take an initial statement from the victim and suspect, and all suspects involved in a sexual assault shall be read a Miranda warning prior to any questioning.</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the rule says.</w:t>
      </w:r>
      <w:r>
        <w:rPr>
          <w:b w:val="false"/>
          <w:bCs w:val="false"/>
          <w:i w:val="false"/>
          <w:iCs w:val="false"/>
          <w:color w:val="1A1A1A"/>
          <w:sz w:val="24"/>
          <w:szCs w:val="24"/>
        </w:rPr>
        <w:t xml:space="preserve"> WIC 625.6, effective 01/01/2021, requires a youth 17 or younger to consult counsel, in person, by telephone or by video, before a custodial interrogation and before any waiver of Miranda. The consultation may not be waived.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Why it costs us.</w:t>
            </w:r>
            <w:r>
              <w:rPr>
                <w:b w:val="false"/>
                <w:bCs w:val="false"/>
                <w:i w:val="false"/>
                <w:iCs w:val="false"/>
                <w:color w:val="1A1A1A"/>
                <w:sz w:val="24"/>
                <w:szCs w:val="24"/>
              </w:rPr>
              <w:t xml:space="preserve"> </w:t>
            </w:r>
            <w:r>
              <w:rPr>
                <w:b/>
                <w:bCs/>
                <w:i w:val="false"/>
                <w:iCs w:val="false"/>
                <w:color w:val="1A1A1A"/>
                <w:sz w:val="24"/>
                <w:szCs w:val="24"/>
              </w:rPr>
              <w:t xml:space="preserve">The order says nothing about it</w:t>
            </w:r>
            <w:r>
              <w:rPr>
                <w:b w:val="false"/>
                <w:bCs w:val="false"/>
                <w:i w:val="false"/>
                <w:iCs w:val="false"/>
                <w:color w:val="1A1A1A"/>
                <w:sz w:val="24"/>
                <w:szCs w:val="24"/>
              </w:rPr>
              <w:t xml:space="preserve">, because it was last revised 12/09/2019, more than a year before the statute took effect. 625.6(b) directs courts to weigh noncompliance on admissibility, and to weigh a willful violation against the officer's credibility under Evidence Code 780. So the exposure runs to the supervisor personally, and the practical cost is that a statement taken under our own order can sink the case it was meant to support. Two further provisions, I.A.8 and I.A.10, confirm the design is deliberate rather than an oversight in drafting.</w:t>
            </w:r>
          </w:p>
        </w:tc>
      </w:tr>
    </w:tbl>
    <w:p>
      <w:pPr>
        <w:spacing w:after="120"/>
      </w:pP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The fix.</w:t>
      </w:r>
      <w:r>
        <w:rPr>
          <w:b w:val="false"/>
          <w:bCs w:val="false"/>
          <w:i w:val="false"/>
          <w:iCs w:val="false"/>
          <w:color w:val="1A1A1A"/>
          <w:sz w:val="24"/>
          <w:szCs w:val="24"/>
        </w:rPr>
        <w:t xml:space="preserve"> Not yet drafted. It is a short amendment to I.A.6 plus a line in the supervisor guidance. Newest of the thirteen, found on reading the order on 10/29.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What I need.</w:t>
            </w:r>
            <w:r>
              <w:rPr>
                <w:b w:val="false"/>
                <w:bCs w:val="false"/>
                <w:i w:val="false"/>
                <w:iCs w:val="false"/>
                <w:color w:val="1A1A1A"/>
                <w:sz w:val="24"/>
                <w:szCs w:val="24"/>
              </w:rPr>
              <w:t xml:space="preserve"> This is the one I would move first, because it is cheap, it is current, and it exposes individual supervisors every time it is followed.</w:t>
            </w:r>
          </w:p>
        </w:tc>
      </w:tr>
    </w:tbl>
    <w:p>
      <w:r>
        <w:br w:type="page"/>
      </w:r>
    </w:p>
    <w:p>
      <w:pPr>
        <w:pStyle w:val="Heading2"/>
        <w:spacing w:after="60" w:before="0"/>
      </w:pPr>
      <w:r>
        <w:rPr>
          <w:b/>
          <w:bCs/>
          <w:i w:val="false"/>
          <w:iCs w:val="false"/>
          <w:color w:val="1A1A1A"/>
          <w:sz w:val="30"/>
          <w:szCs w:val="30"/>
        </w:rPr>
        <w:t xml:space="preserve">4.  </w:t>
      </w:r>
      <w:r>
        <w:rPr>
          <w:b/>
          <w:bCs/>
          <w:i w:val="false"/>
          <w:iCs w:val="false"/>
          <w:color w:val="1A1A1A"/>
          <w:sz w:val="30"/>
          <w:szCs w:val="30"/>
        </w:rPr>
        <w:t xml:space="preserve">We have no PREA Coordinator, and one of our own orders routes work to one</w:t>
      </w:r>
    </w:p>
    <w:p>
      <w:pPr>
        <w:spacing w:after="160"/>
      </w:pPr>
      <w:r>
        <w:rPr>
          <w:b w:val="false"/>
          <w:bCs w:val="false"/>
          <w:i/>
          <w:iCs/>
          <w:color w:val="595959"/>
          <w:sz w:val="24"/>
          <w:szCs w:val="24"/>
        </w:rPr>
        <w:t xml:space="preserve">Register rows 2, 3</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our policy says.</w:t>
      </w:r>
      <w:r>
        <w:rPr>
          <w:b w:val="false"/>
          <w:bCs w:val="false"/>
          <w:i w:val="false"/>
          <w:iCs w:val="false"/>
          <w:color w:val="1A1A1A"/>
          <w:sz w:val="24"/>
          <w:szCs w:val="24"/>
        </w:rPr>
        <w:t xml:space="preserve"> OO 1453 I.A.15 directs the incident review report to the PREA coordinator. The department advises the position does not exist.</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the rule says.</w:t>
      </w:r>
      <w:r>
        <w:rPr>
          <w:b w:val="false"/>
          <w:bCs w:val="false"/>
          <w:i w:val="false"/>
          <w:iCs w:val="false"/>
          <w:color w:val="1A1A1A"/>
          <w:sz w:val="24"/>
          <w:szCs w:val="24"/>
        </w:rPr>
        <w:t xml:space="preserve"> 115.311(b) requires an upper level, agency wide PREA Coordinator with sufficient time and authority. 115.311(c) requires a compliance manager at each facility where an agency operates more than one.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Why it costs us.</w:t>
            </w:r>
            <w:r>
              <w:rPr>
                <w:b w:val="false"/>
                <w:bCs w:val="false"/>
                <w:i w:val="false"/>
                <w:iCs w:val="false"/>
                <w:color w:val="1A1A1A"/>
                <w:sz w:val="24"/>
                <w:szCs w:val="24"/>
              </w:rPr>
              <w:t xml:space="preserve"> Two consequences, and the second is the serious one. The required report has nowhere to go, so the incident review process terminates in a position that is not filled. And the order is a </w:t>
            </w:r>
            <w:r>
              <w:rPr>
                <w:b/>
                <w:bCs/>
                <w:i w:val="false"/>
                <w:iCs w:val="false"/>
                <w:color w:val="1A1A1A"/>
                <w:sz w:val="24"/>
                <w:szCs w:val="24"/>
              </w:rPr>
              <w:t xml:space="preserve">written departmental acknowledgment, dated 12/09/2019, that the role is needed.</w:t>
            </w:r>
            <w:r>
              <w:rPr>
                <w:b w:val="false"/>
                <w:bCs w:val="false"/>
                <w:i w:val="false"/>
                <w:iCs w:val="false"/>
                <w:color w:val="1A1A1A"/>
                <w:sz w:val="24"/>
                <w:szCs w:val="24"/>
              </w:rPr>
              <w:t xml:space="preserve"> That is considerably harder to answer than a silent gap would have been.</w:t>
            </w:r>
          </w:p>
        </w:tc>
      </w:tr>
    </w:tbl>
    <w:p>
      <w:pPr>
        <w:spacing w:after="120"/>
      </w:pP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The fix.</w:t>
      </w:r>
      <w:r>
        <w:rPr>
          <w:b w:val="false"/>
          <w:bCs w:val="false"/>
          <w:i w:val="false"/>
          <w:iCs w:val="false"/>
          <w:color w:val="1A1A1A"/>
          <w:sz w:val="24"/>
          <w:szCs w:val="24"/>
        </w:rPr>
        <w:t xml:space="preserve"> Recommended change 8. This is a designation and an allocation of time, not a drafting exercise.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What I need.</w:t>
            </w:r>
            <w:r>
              <w:rPr>
                <w:b w:val="false"/>
                <w:bCs w:val="false"/>
                <w:i w:val="false"/>
                <w:iCs w:val="false"/>
                <w:color w:val="1A1A1A"/>
                <w:sz w:val="24"/>
                <w:szCs w:val="24"/>
              </w:rPr>
              <w:t xml:space="preserve"> Name a PREA Coordinator and a facility compliance manager. Blocked on this room, not on analysis.</w:t>
            </w:r>
          </w:p>
        </w:tc>
      </w:tr>
    </w:tbl>
    <w:p>
      <w:r>
        <w:br w:type="page"/>
      </w:r>
    </w:p>
    <w:p>
      <w:pPr>
        <w:pStyle w:val="Heading2"/>
        <w:spacing w:after="60" w:before="0"/>
      </w:pPr>
      <w:r>
        <w:rPr>
          <w:b/>
          <w:bCs/>
          <w:i w:val="false"/>
          <w:iCs w:val="false"/>
          <w:color w:val="1A1A1A"/>
          <w:sz w:val="30"/>
          <w:szCs w:val="30"/>
        </w:rPr>
        <w:t xml:space="preserve">5.  </w:t>
      </w:r>
      <w:r>
        <w:rPr>
          <w:b/>
          <w:bCs/>
          <w:i w:val="false"/>
          <w:iCs w:val="false"/>
          <w:color w:val="1A1A1A"/>
          <w:sz w:val="30"/>
          <w:szCs w:val="30"/>
        </w:rPr>
        <w:t xml:space="preserve">Nothing is written for the band of conduct that generates most incidents</w:t>
      </w:r>
    </w:p>
    <w:p>
      <w:pPr>
        <w:spacing w:after="160"/>
      </w:pPr>
      <w:r>
        <w:rPr>
          <w:b w:val="false"/>
          <w:bCs w:val="false"/>
          <w:i/>
          <w:iCs/>
          <w:color w:val="595959"/>
          <w:sz w:val="24"/>
          <w:szCs w:val="24"/>
        </w:rPr>
        <w:t xml:space="preserve">Register rows 47, 54, 69</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our policy says.</w:t>
      </w:r>
      <w:r>
        <w:rPr>
          <w:b w:val="false"/>
          <w:bCs w:val="false"/>
          <w:i w:val="false"/>
          <w:iCs w:val="false"/>
          <w:color w:val="1A1A1A"/>
          <w:sz w:val="24"/>
          <w:szCs w:val="24"/>
        </w:rPr>
        <w:t xml:space="preserve"> OO 1453 is titled Sexual Assault, its stated authority is PREA, and every operative duty in it is keyed to sexual assault: the staff reporting duty, the CPS report at I.A.9, the incident review at I.A.15.</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the rule says.</w:t>
      </w:r>
      <w:r>
        <w:rPr>
          <w:b w:val="false"/>
          <w:bCs w:val="false"/>
          <w:i w:val="false"/>
          <w:iCs w:val="false"/>
          <w:color w:val="1A1A1A"/>
          <w:sz w:val="24"/>
          <w:szCs w:val="24"/>
        </w:rPr>
        <w:t xml:space="preserve"> 115.361(a) requires staff to report knowledge, suspicion or information regarding sexual abuse </w:t>
      </w:r>
      <w:r>
        <w:rPr>
          <w:b/>
          <w:bCs/>
          <w:i w:val="false"/>
          <w:iCs w:val="false"/>
          <w:color w:val="1A1A1A"/>
          <w:sz w:val="24"/>
          <w:szCs w:val="24"/>
        </w:rPr>
        <w:t xml:space="preserve">or sexual harassment</w:t>
      </w:r>
      <w:r>
        <w:rPr>
          <w:b w:val="false"/>
          <w:bCs w:val="false"/>
          <w:i w:val="false"/>
          <w:iCs w:val="false"/>
          <w:color w:val="1A1A1A"/>
          <w:sz w:val="24"/>
          <w:szCs w:val="24"/>
        </w:rPr>
        <w:t xml:space="preserve">. 115.6 defines sexual harassment to include repeated unwelcome sexual advances and repeated verbal comments of a derogatory or offensive sexual nature. Title 15 goes further than the federal definition in two respects: it counts coercion by manipulation, and it reaches voyeurism between residents.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Why it costs us.</w:t>
            </w:r>
            <w:r>
              <w:rPr>
                <w:b w:val="false"/>
                <w:bCs w:val="false"/>
                <w:i w:val="false"/>
                <w:iCs w:val="false"/>
                <w:color w:val="1A1A1A"/>
                <w:sz w:val="24"/>
                <w:szCs w:val="24"/>
              </w:rPr>
              <w:t xml:space="preserve"> Read across three pages and fifteen items, nothing in OO 1453 reaches sexual harassment, exposure, or touching not characterised as assault. So we have a coordinated response plan in all but name for the most serious band, and nothing written for the band that produces the volume. </w:t>
            </w:r>
            <w:r>
              <w:rPr>
                <w:b/>
                <w:bCs/>
                <w:i w:val="false"/>
                <w:iCs w:val="false"/>
                <w:color w:val="1A1A1A"/>
                <w:sz w:val="24"/>
                <w:szCs w:val="24"/>
              </w:rPr>
              <w:t xml:space="preserve">That is where supervisors are improvising</w:t>
            </w:r>
            <w:r>
              <w:rPr>
                <w:b w:val="false"/>
                <w:bCs w:val="false"/>
                <w:i w:val="false"/>
                <w:iCs w:val="false"/>
                <w:color w:val="1A1A1A"/>
                <w:sz w:val="24"/>
                <w:szCs w:val="24"/>
              </w:rPr>
              <w:t xml:space="preserve">, and improvisation is what later reads as deliberate indifference. It is also the band where, with two residents both 18 or over, there is no external reporting duty of any kind, so the only control is the one we write.</w:t>
            </w:r>
          </w:p>
        </w:tc>
      </w:tr>
    </w:tbl>
    <w:p>
      <w:pPr>
        <w:spacing w:after="120"/>
      </w:pP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The fix.</w:t>
      </w:r>
      <w:r>
        <w:rPr>
          <w:b w:val="false"/>
          <w:bCs w:val="false"/>
          <w:i w:val="false"/>
          <w:iCs w:val="false"/>
          <w:color w:val="1A1A1A"/>
          <w:sz w:val="24"/>
          <w:szCs w:val="24"/>
        </w:rPr>
        <w:t xml:space="preserve"> Recommended change 12, broaden OO 1453, plus recommended change 10 on the grievance route. The supervisor tier chart and classification card already do this operationally and can carry the load while the order is amended.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What I need.</w:t>
            </w:r>
            <w:r>
              <w:rPr>
                <w:b w:val="false"/>
                <w:bCs w:val="false"/>
                <w:i w:val="false"/>
                <w:iCs w:val="false"/>
                <w:color w:val="1A1A1A"/>
                <w:sz w:val="24"/>
                <w:szCs w:val="24"/>
              </w:rPr>
              <w:t xml:space="preserve"> Decide who conducts youth on youth administrative investigations in this band. It is not written anywhere, and it is the one answer the supervisor materials cannot supply for themselves.</w:t>
            </w:r>
          </w:p>
        </w:tc>
      </w:tr>
    </w:tbl>
    <w:p>
      <w:r>
        <w:br w:type="page"/>
      </w:r>
    </w:p>
    <w:p>
      <w:pPr>
        <w:pStyle w:val="Heading2"/>
        <w:spacing w:after="60" w:before="0"/>
      </w:pPr>
      <w:r>
        <w:rPr>
          <w:b/>
          <w:bCs/>
          <w:i w:val="false"/>
          <w:iCs w:val="false"/>
          <w:color w:val="1A1A1A"/>
          <w:sz w:val="30"/>
          <w:szCs w:val="30"/>
        </w:rPr>
        <w:t xml:space="preserve">6.  </w:t>
      </w:r>
      <w:r>
        <w:rPr>
          <w:b/>
          <w:bCs/>
          <w:i w:val="false"/>
          <w:iCs w:val="false"/>
          <w:color w:val="1A1A1A"/>
          <w:sz w:val="30"/>
          <w:szCs w:val="30"/>
        </w:rPr>
        <w:t xml:space="preserve">Three retention rules govern the same records, against a claim with no deadline</w:t>
      </w:r>
    </w:p>
    <w:p>
      <w:pPr>
        <w:spacing w:after="160"/>
      </w:pPr>
      <w:r>
        <w:rPr>
          <w:b w:val="false"/>
          <w:bCs w:val="false"/>
          <w:i/>
          <w:iCs/>
          <w:color w:val="595959"/>
          <w:sz w:val="24"/>
          <w:szCs w:val="24"/>
        </w:rPr>
        <w:t xml:space="preserve">Register row 59</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our policy says.</w:t>
      </w:r>
      <w:r>
        <w:rPr>
          <w:b w:val="false"/>
          <w:bCs w:val="false"/>
          <w:i w:val="false"/>
          <w:iCs w:val="false"/>
          <w:color w:val="1A1A1A"/>
          <w:sz w:val="24"/>
          <w:szCs w:val="24"/>
        </w:rPr>
        <w:t xml:space="preserve"> Internal Affairs XI.C.1 retains complaint and investigation records at least five years. PREA Policy XVIII.B retains case records associated with claims of sexual abuse at least ten years.</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the rule says.</w:t>
      </w:r>
      <w:r>
        <w:rPr>
          <w:b w:val="false"/>
          <w:bCs w:val="false"/>
          <w:i w:val="false"/>
          <w:iCs w:val="false"/>
          <w:color w:val="1A1A1A"/>
          <w:sz w:val="24"/>
          <w:szCs w:val="24"/>
        </w:rPr>
        <w:t xml:space="preserve"> 115.371(j) requires retention for as long as the alleged abuser is employed or incarcerated, plus five years.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Why it costs us.</w:t>
            </w:r>
            <w:r>
              <w:rPr>
                <w:b w:val="false"/>
                <w:bCs w:val="false"/>
                <w:i w:val="false"/>
                <w:iCs w:val="false"/>
                <w:color w:val="1A1A1A"/>
                <w:sz w:val="24"/>
                <w:szCs w:val="24"/>
              </w:rPr>
              <w:t xml:space="preserve"> Any of the three can be read as authority to destroy a record the other two require. Against AB 452 that is the costly version of a filing question: the limitations period for childhood sexual assault occurring on or after 01/01/2024 is eliminated, so a claim arising from a resident today has no deadline. CCP 340.1 also provides treble damages for a cover up, and a destruction that followed one of our own schedules is exactly the fact pattern that argument is built from.</w:t>
            </w:r>
          </w:p>
        </w:tc>
      </w:tr>
    </w:tbl>
    <w:p>
      <w:pPr>
        <w:spacing w:after="120"/>
      </w:pP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The fix.</w:t>
      </w:r>
      <w:r>
        <w:rPr>
          <w:b w:val="false"/>
          <w:bCs w:val="false"/>
          <w:i w:val="false"/>
          <w:iCs w:val="false"/>
          <w:color w:val="1A1A1A"/>
          <w:sz w:val="24"/>
          <w:szCs w:val="24"/>
        </w:rPr>
        <w:t xml:space="preserve"> Recommended change 7, drafted. One reconciled schedule, and paragraph 3 is written as a destruction moratorium for conduct on or after 01/01/2024, because no fixed retention figure can cover a claim with no limitations period.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What I need.</w:t>
            </w:r>
            <w:r>
              <w:rPr>
                <w:b w:val="false"/>
                <w:bCs w:val="false"/>
                <w:i w:val="false"/>
                <w:iCs w:val="false"/>
                <w:color w:val="1A1A1A"/>
                <w:sz w:val="24"/>
                <w:szCs w:val="24"/>
              </w:rPr>
              <w:t xml:space="preserve"> County Counsel sets the schedule. A policy revision cannot.</w:t>
            </w:r>
          </w:p>
        </w:tc>
      </w:tr>
    </w:tbl>
    <w:p>
      <w:r>
        <w:br w:type="page"/>
      </w:r>
    </w:p>
    <w:p>
      <w:pPr>
        <w:pStyle w:val="Heading2"/>
        <w:spacing w:after="60" w:before="0"/>
      </w:pPr>
      <w:r>
        <w:rPr>
          <w:b/>
          <w:bCs/>
          <w:i w:val="false"/>
          <w:iCs w:val="false"/>
          <w:color w:val="1A1A1A"/>
          <w:sz w:val="30"/>
          <w:szCs w:val="30"/>
        </w:rPr>
        <w:t xml:space="preserve">7.  </w:t>
      </w:r>
      <w:r>
        <w:rPr>
          <w:b/>
          <w:bCs/>
          <w:i w:val="false"/>
          <w:iCs w:val="false"/>
          <w:color w:val="1A1A1A"/>
          <w:sz w:val="30"/>
          <w:szCs w:val="30"/>
        </w:rPr>
        <w:t xml:space="preserve">The governing PREA policy has not been revised since 2013</w:t>
      </w:r>
    </w:p>
    <w:p>
      <w:pPr>
        <w:spacing w:after="160"/>
      </w:pPr>
      <w:r>
        <w:rPr>
          <w:b w:val="false"/>
          <w:bCs w:val="false"/>
          <w:i/>
          <w:iCs/>
          <w:color w:val="595959"/>
          <w:sz w:val="24"/>
          <w:szCs w:val="24"/>
        </w:rPr>
        <w:t xml:space="preserve">Register row 74</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our policy says.</w:t>
      </w:r>
      <w:r>
        <w:rPr>
          <w:b w:val="false"/>
          <w:bCs w:val="false"/>
          <w:i w:val="false"/>
          <w:iCs w:val="false"/>
          <w:color w:val="1A1A1A"/>
          <w:sz w:val="24"/>
          <w:szCs w:val="24"/>
        </w:rPr>
        <w:t xml:space="preserve"> The PREA Policy and Procedure for Juvenile Institutions carries an effective and revision date of 04/25/2013. The Internal Affairs policy dates to 01/11/2011. The Detention and Intake responsibility document is undated and references CYA throughout.</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the rule says.</w:t>
      </w:r>
      <w:r>
        <w:rPr>
          <w:b w:val="false"/>
          <w:bCs w:val="false"/>
          <w:i w:val="false"/>
          <w:iCs w:val="false"/>
          <w:color w:val="1A1A1A"/>
          <w:sz w:val="24"/>
          <w:szCs w:val="24"/>
        </w:rPr>
        <w:t xml:space="preserve"> 15 CCR 1324 requires the policy and procedure manual to be administratively reviewed at least every two years and updated as necessary.</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Why it costs us.</w:t>
            </w:r>
            <w:r>
              <w:rPr>
                <w:b w:val="false"/>
                <w:bCs w:val="false"/>
                <w:i w:val="false"/>
                <w:iCs w:val="false"/>
                <w:color w:val="1A1A1A"/>
                <w:sz w:val="24"/>
                <w:szCs w:val="24"/>
              </w:rPr>
              <w:t xml:space="preserve"> This is the finding that needs no argument at all. The policy predates the 01/01/2019 Title 15 rewrite that added 1350.5, 1352.5, 1324(n) and 1361(h), and it predates WIC 208.3 and the renumbering of PC 288a to PC 287. </w:t>
            </w:r>
            <w:r>
              <w:rPr>
                <w:b/>
                <w:bCs/>
                <w:i w:val="false"/>
                <w:iCs w:val="false"/>
                <w:color w:val="1A1A1A"/>
                <w:sz w:val="24"/>
                <w:szCs w:val="24"/>
              </w:rPr>
              <w:t xml:space="preserve">On a BSCC inspection this is established by reading the cover page.</w:t>
            </w:r>
            <w:r>
              <w:rPr>
                <w:b w:val="false"/>
                <w:bCs w:val="false"/>
                <w:i w:val="false"/>
                <w:iCs w:val="false"/>
                <w:color w:val="1A1A1A"/>
                <w:sz w:val="24"/>
                <w:szCs w:val="24"/>
              </w:rPr>
              <w:t xml:space="preserve"> It also carries three of the thirteen conflicts on its own, so the review is not a formality.</w:t>
            </w:r>
          </w:p>
        </w:tc>
      </w:tr>
    </w:tbl>
    <w:p>
      <w:pPr>
        <w:spacing w:after="120"/>
      </w:pP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The fix.</w:t>
      </w:r>
      <w:r>
        <w:rPr>
          <w:b w:val="false"/>
          <w:bCs w:val="false"/>
          <w:i w:val="false"/>
          <w:iCs w:val="false"/>
          <w:color w:val="1A1A1A"/>
          <w:sz w:val="24"/>
          <w:szCs w:val="24"/>
        </w:rPr>
        <w:t xml:space="preserve"> Recommended change 3 covers the reporting standard. Beyond that the policy is worth rewriting to Subpart D order so each provision maps to what an auditor scores, rather than amended item by item.</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What I need.</w:t>
            </w:r>
            <w:r>
              <w:rPr>
                <w:b w:val="false"/>
                <w:bCs w:val="false"/>
                <w:i w:val="false"/>
                <w:iCs w:val="false"/>
                <w:color w:val="1A1A1A"/>
                <w:sz w:val="24"/>
                <w:szCs w:val="24"/>
              </w:rPr>
              <w:t xml:space="preserve"> Approve the rewrite rather than another round of amendments, and set the biennial review on a calendar so this does not recur.</w:t>
            </w:r>
          </w:p>
        </w:tc>
      </w:tr>
    </w:tbl>
    <w:p>
      <w:r>
        <w:br w:type="page"/>
      </w:r>
    </w:p>
    <w:p>
      <w:pPr>
        <w:pStyle w:val="Heading1"/>
      </w:pPr>
      <w:r>
        <w:t xml:space="preserve">One thing we cannot yet call either way</w:t>
      </w:r>
    </w:p>
    <w:p>
      <w:pPr>
        <w:spacing w:after="140" w:line="276"/>
      </w:pPr>
      <w:r>
        <w:rPr>
          <w:b w:val="false"/>
          <w:bCs w:val="false"/>
          <w:i w:val="false"/>
          <w:iCs w:val="false"/>
          <w:color w:val="1A1A1A"/>
          <w:sz w:val="24"/>
          <w:szCs w:val="24"/>
        </w:rPr>
        <w:t xml:space="preserve">Worth stating plainly, because it is the largest single unknown in the register and it is not a finding yet.</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Staffing ratios.</w:t>
      </w:r>
      <w:r>
        <w:rPr>
          <w:b w:val="false"/>
          <w:bCs w:val="false"/>
          <w:i w:val="false"/>
          <w:iCs w:val="false"/>
          <w:color w:val="1A1A1A"/>
          <w:sz w:val="24"/>
          <w:szCs w:val="24"/>
        </w:rPr>
        <w:t xml:space="preserve"> OO 1321 states 1:10 waking and 1:30 sleeping. 115.313(c) has required 1:8 and 1:16 since 10/01/2017. 15 CCR 1321(h)(1) sets the state floor at 1:10 and 1:30, and 15 CCR 1301 permits exceeding it.</w:t>
      </w:r>
    </w:p>
    <w:p>
      <w:pPr>
        <w:pStyle w:val="ListParagraph"/>
        <w:numPr>
          <w:ilvl w:val="0"/>
          <w:numId w:val="1"/>
        </w:numPr>
        <w:spacing w:after="110" w:line="272"/>
      </w:pPr>
      <w:r>
        <w:rPr>
          <w:b w:val="false"/>
          <w:bCs w:val="false"/>
          <w:i w:val="false"/>
          <w:iCs w:val="false"/>
          <w:color w:val="1A1A1A"/>
          <w:sz w:val="24"/>
          <w:szCs w:val="24"/>
        </w:rPr>
        <w:t xml:space="preserve">So the written ratio is lawful under state law and below the federal standard. </w:t>
      </w:r>
      <w:r>
        <w:rPr>
          <w:b/>
          <w:bCs/>
          <w:i w:val="false"/>
          <w:iCs w:val="false"/>
          <w:color w:val="1A1A1A"/>
          <w:sz w:val="24"/>
          <w:szCs w:val="24"/>
        </w:rPr>
        <w:t xml:space="preserve">Whether there is an actual gap depends on rosters, which have not been produced.</w:t>
      </w:r>
      <w:r>
        <w:rPr>
          <w:b w:val="false"/>
          <w:bCs w:val="false"/>
          <w:i w:val="false"/>
          <w:iCs w:val="false"/>
          <w:color w:val="1A1A1A"/>
          <w:sz w:val="24"/>
          <w:szCs w:val="24"/>
        </w:rPr>
        <w:t xml:space="preserve"> We may well be staffing above the written figure already, in which case the finding is a documentation problem rather than a staffing one. That is a materially different conversation and it is cheap to settle.</w:t>
      </w:r>
    </w:p>
    <w:p>
      <w:pPr>
        <w:pStyle w:val="ListParagraph"/>
        <w:numPr>
          <w:ilvl w:val="0"/>
          <w:numId w:val="1"/>
        </w:numPr>
        <w:spacing w:after="110" w:line="272"/>
      </w:pPr>
      <w:r>
        <w:rPr>
          <w:b w:val="false"/>
          <w:bCs w:val="false"/>
          <w:i w:val="false"/>
          <w:iCs w:val="false"/>
          <w:color w:val="1A1A1A"/>
          <w:sz w:val="24"/>
          <w:szCs w:val="24"/>
        </w:rPr>
        <w:t xml:space="preserve">Recommended change 9 is blocked until rosters and post assignments are produced. 115.313(a) also requires a documented staffing plan, which does not appear in the documents reviewed regardless of what the rosters show.</w:t>
      </w:r>
    </w:p>
    <w:p>
      <w:r>
        <w:br w:type="page"/>
      </w:r>
    </w:p>
    <w:p>
      <w:pPr>
        <w:pStyle w:val="Heading1"/>
      </w:pPr>
      <w:r>
        <w:t xml:space="preserve">How the liability actually runs</w:t>
      </w:r>
    </w:p>
    <w:p>
      <w:pPr>
        <w:spacing w:after="140" w:line="276"/>
      </w:pPr>
      <w:r>
        <w:rPr>
          <w:b w:val="false"/>
          <w:bCs w:val="false"/>
          <w:i w:val="false"/>
          <w:iCs w:val="false"/>
          <w:color w:val="1A1A1A"/>
          <w:sz w:val="24"/>
          <w:szCs w:val="24"/>
        </w:rPr>
        <w:t xml:space="preserve">Nine theories are set out in the exposure assessment. Four of them carry the weight, and none of them is a PREA claim.</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Section 1983, with Monell.</w:t>
      </w:r>
      <w:r>
        <w:rPr>
          <w:b w:val="false"/>
          <w:bCs w:val="false"/>
          <w:i w:val="false"/>
          <w:iCs w:val="false"/>
          <w:color w:val="1A1A1A"/>
          <w:sz w:val="24"/>
          <w:szCs w:val="24"/>
        </w:rPr>
        <w:t xml:space="preserve"> Counties are persons under 42 U.S.C. 1983, with no Eleventh Amendment immunity and no qualified immunity for the entity, Owen v. City of Independence, 445 U.S. 622. A written policy is the clearest form of the official policy Monell, 436 U.S. 658, requires. </w:t>
      </w:r>
      <w:r>
        <w:rPr>
          <w:b/>
          <w:bCs/>
          <w:i w:val="false"/>
          <w:iCs w:val="false"/>
          <w:color w:val="1A1A1A"/>
          <w:sz w:val="24"/>
          <w:szCs w:val="24"/>
        </w:rPr>
        <w:t xml:space="preserve">A conflict row is therefore not just a compliance defect. It is the element of the claim.</w:t>
      </w:r>
      <w:r>
        <w:rPr>
          <w:b w:val="false"/>
          <w:bCs w:val="false"/>
          <w:i w:val="false"/>
          <w:iCs w:val="false"/>
          <w:color w:val="1A1A1A"/>
          <w:sz w:val="24"/>
          <w:szCs w:val="24"/>
        </w:rPr>
        <w:t xml:space="preserve"/>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Failure to protect, on an objective standard.</w:t>
      </w:r>
      <w:r>
        <w:rPr>
          <w:b w:val="false"/>
          <w:bCs w:val="false"/>
          <w:i w:val="false"/>
          <w:iCs w:val="false"/>
          <w:color w:val="1A1A1A"/>
          <w:sz w:val="24"/>
          <w:szCs w:val="24"/>
        </w:rPr>
        <w:t xml:space="preserve"> Castro v. County of Los Angeles, 833 F.3d 1060 (9th Cir. 2016) (en banc) sets an objective standard for a pretrial detainee failure to protect claim, which is more readily met than the subjective test under Farmer v. Brennan, 511 U.S. 825. Kingsley v. Hendrickson, 576 U.S. 389 runs the same direction.</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Mandatory duty liability, Government Code 815.6.</w:t>
      </w:r>
      <w:r>
        <w:rPr>
          <w:b w:val="false"/>
          <w:bCs w:val="false"/>
          <w:i w:val="false"/>
          <w:iCs w:val="false"/>
          <w:color w:val="1A1A1A"/>
          <w:sz w:val="24"/>
          <w:szCs w:val="24"/>
        </w:rPr>
        <w:t xml:space="preserve"> Liability attaches where an enactment imposes a mandatory duty, and enactment includes a regulation under Government Code 810.6. </w:t>
      </w:r>
      <w:r>
        <w:rPr>
          <w:b/>
          <w:bCs/>
          <w:i w:val="false"/>
          <w:iCs w:val="false"/>
          <w:color w:val="1A1A1A"/>
          <w:sz w:val="24"/>
          <w:szCs w:val="24"/>
        </w:rPr>
        <w:t xml:space="preserve">Title 15 is a regulation.</w:t>
      </w:r>
      <w:r>
        <w:rPr>
          <w:b w:val="false"/>
          <w:bCs w:val="false"/>
          <w:i w:val="false"/>
          <w:iCs w:val="false"/>
          <w:color w:val="1A1A1A"/>
          <w:sz w:val="24"/>
          <w:szCs w:val="24"/>
        </w:rPr>
        <w:t xml:space="preserve"> That is the route by which a BSCC standard becomes a damages claim rather than an inspection finding. Government Code 818.2 is the County's defense and it does not cover everything.</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No deadline, and no claim filing requirement.</w:t>
      </w:r>
      <w:r>
        <w:rPr>
          <w:b w:val="false"/>
          <w:bCs w:val="false"/>
          <w:i w:val="false"/>
          <w:iCs w:val="false"/>
          <w:color w:val="1A1A1A"/>
          <w:sz w:val="24"/>
          <w:szCs w:val="24"/>
        </w:rPr>
        <w:t xml:space="preserve"> AB 452 eliminated the limitations period for childhood sexual assault occurring on or after 01/01/2024, CCP 340.1. For earlier incidents CCP 352 tolls during minority. Government Code 905(m) exempts these claims from the Government Claims Act presentation requirement, so the usual six month notice is not a filter. CCP 340.1 provides treble damages where there is a cover up.</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And the state side, which arrives sooner.</w:t>
      </w:r>
      <w:r>
        <w:rPr>
          <w:b w:val="false"/>
          <w:bCs w:val="false"/>
          <w:i w:val="false"/>
          <w:iCs w:val="false"/>
          <w:color w:val="1A1A1A"/>
          <w:sz w:val="24"/>
          <w:szCs w:val="24"/>
        </w:rPr>
        <w:t xml:space="preserve"> WIC 209 requires a BSCC inspection every two years. Title 15 embeds PREA content at 1324(n), 1350.5, 1352(e) and (f), 1352.5, 1353(c), 1360(g), 1361(h), 1452 and 1453. Several of the thirteen conflicts are findable on the face of the policy manual without any incident at all.</w:t>
      </w:r>
    </w:p>
    <w:p>
      <w:r>
        <w:br w:type="page"/>
      </w:r>
    </w:p>
    <w:p>
      <w:pPr>
        <w:pStyle w:val="Heading1"/>
      </w:pPr>
      <w:r>
        <w:t xml:space="preserve">What the department is already doing right</w:t>
      </w:r>
    </w:p>
    <w:p>
      <w:pPr>
        <w:spacing w:after="140" w:line="276"/>
      </w:pPr>
      <w:r>
        <w:rPr>
          <w:b w:val="false"/>
          <w:bCs w:val="false"/>
          <w:i w:val="false"/>
          <w:iCs w:val="false"/>
          <w:color w:val="1A1A1A"/>
          <w:sz w:val="24"/>
          <w:szCs w:val="24"/>
        </w:rPr>
        <w:t xml:space="preserve">This matters for two reasons. It is true, and a brief that only lists failures gets discounted. Several of these are stronger than the standard requires.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6EFE6" w:color="auto" w:val="clear"/>
            <w:tcMar>
              <w:top w:type="dxa" w:w="60"/>
              <w:left w:type="dxa" w:w="100"/>
              <w:bottom w:type="dxa" w:w="60"/>
              <w:right w:type="dxa" w:w="100"/>
            </w:tcMar>
          </w:tcPr>
          <w:p>
            <w:pPr>
              <w:pStyle w:val="ListParagraph"/>
              <w:numPr>
                <w:ilvl w:val="0"/>
                <w:numId w:val="1"/>
              </w:numPr>
              <w:spacing w:after="80" w:before="60" w:line="268"/>
            </w:pPr>
            <w:r>
              <w:rPr>
                <w:b w:val="false"/>
                <w:bCs w:val="false"/>
                <w:i w:val="false"/>
                <w:iCs w:val="false"/>
                <w:color w:val="1A1A1A"/>
                <w:sz w:val="24"/>
                <w:szCs w:val="24"/>
              </w:rPr>
              <w:t xml:space="preserve"/>
            </w:r>
            <w:r>
              <w:rPr>
                <w:b/>
                <w:bCs/>
                <w:i w:val="false"/>
                <w:iCs w:val="false"/>
                <w:color w:val="1A1A1A"/>
                <w:sz w:val="24"/>
                <w:szCs w:val="24"/>
              </w:rPr>
              <w:t xml:space="preserve">OO 1352.5 on transgender and intersex youth is comprehensive</w:t>
            </w:r>
            <w:r>
              <w:rPr>
                <w:b w:val="false"/>
                <w:bCs w:val="false"/>
                <w:i w:val="false"/>
                <w:iCs w:val="false"/>
                <w:color w:val="1A1A1A"/>
                <w:sz w:val="24"/>
                <w:szCs w:val="24"/>
              </w:rPr>
              <w:t xml:space="preserve">, and its monthly reassessment exceeds the twice yearly federal minimum. The categorical housing provision is the defect; the rest of the order is not.</w:t>
            </w:r>
          </w:p>
          <w:p>
            <w:pPr>
              <w:pStyle w:val="ListParagraph"/>
              <w:numPr>
                <w:ilvl w:val="0"/>
                <w:numId w:val="1"/>
              </w:numPr>
              <w:spacing w:after="80" w:before="60" w:line="268"/>
            </w:pPr>
            <w:r>
              <w:rPr>
                <w:b w:val="false"/>
                <w:bCs w:val="false"/>
                <w:i w:val="false"/>
                <w:iCs w:val="false"/>
                <w:color w:val="1A1A1A"/>
                <w:sz w:val="24"/>
                <w:szCs w:val="24"/>
              </w:rPr>
              <w:t xml:space="preserve"/>
            </w:r>
            <w:r>
              <w:rPr>
                <w:b/>
                <w:bCs/>
                <w:i w:val="false"/>
                <w:iCs w:val="false"/>
                <w:color w:val="1A1A1A"/>
                <w:sz w:val="24"/>
                <w:szCs w:val="24"/>
              </w:rPr>
              <w:t xml:space="preserve">OO 1354.5 on room confinement is the newest policy in the set by nearly three years and it shows.</w:t>
            </w:r>
            <w:r>
              <w:rPr>
                <w:b w:val="false"/>
                <w:bCs w:val="false"/>
                <w:i w:val="false"/>
                <w:iCs w:val="false"/>
                <w:color w:val="1A1A1A"/>
                <w:sz w:val="24"/>
                <w:szCs w:val="24"/>
              </w:rPr>
              <w:t xml:space="preserve"> It supplies the four hour review cycle, documented supervisor and manager authorization, and the prohibition on punitive confinement. Earlier revisions of this review scored the WIC 208.3 interaction as unaddressed and that was wrong.</w:t>
            </w:r>
          </w:p>
          <w:p>
            <w:pPr>
              <w:pStyle w:val="ListParagraph"/>
              <w:numPr>
                <w:ilvl w:val="0"/>
                <w:numId w:val="1"/>
              </w:numPr>
              <w:spacing w:after="80" w:before="60" w:line="268"/>
            </w:pPr>
            <w:r>
              <w:rPr>
                <w:b w:val="false"/>
                <w:bCs w:val="false"/>
                <w:i w:val="false"/>
                <w:iCs w:val="false"/>
                <w:color w:val="1A1A1A"/>
                <w:sz w:val="24"/>
                <w:szCs w:val="24"/>
              </w:rPr>
              <w:t xml:space="preserve"/>
            </w:r>
            <w:r>
              <w:rPr>
                <w:b/>
                <w:bCs/>
                <w:i w:val="false"/>
                <w:iCs w:val="false"/>
                <w:color w:val="1A1A1A"/>
                <w:sz w:val="24"/>
                <w:szCs w:val="24"/>
              </w:rPr>
              <w:t xml:space="preserve">Isolation is not available as a disciplinary sanction here.</w:t>
            </w:r>
            <w:r>
              <w:rPr>
                <w:b w:val="false"/>
                <w:bCs w:val="false"/>
                <w:i w:val="false"/>
                <w:iCs w:val="false"/>
                <w:color w:val="1A1A1A"/>
                <w:sz w:val="24"/>
                <w:szCs w:val="24"/>
              </w:rPr>
              <w:t xml:space="preserve"> OO 1390/1391 III omits it from the consequences list and OO 1354.5 I.C.1 prohibits confinement for punishment. The department has excluded it outright, which is a stronger position than complying with the isolation safeguards would be. This is worth saying out loud rather than leaving to inference.</w:t>
            </w:r>
          </w:p>
          <w:p>
            <w:pPr>
              <w:pStyle w:val="ListParagraph"/>
              <w:numPr>
                <w:ilvl w:val="0"/>
                <w:numId w:val="1"/>
              </w:numPr>
              <w:spacing w:after="80" w:before="60" w:line="268"/>
            </w:pPr>
            <w:r>
              <w:rPr>
                <w:b w:val="false"/>
                <w:bCs w:val="false"/>
                <w:i w:val="false"/>
                <w:iCs w:val="false"/>
                <w:color w:val="1A1A1A"/>
                <w:sz w:val="24"/>
                <w:szCs w:val="24"/>
              </w:rPr>
              <w:t xml:space="preserve"/>
            </w:r>
            <w:r>
              <w:rPr>
                <w:b/>
                <w:bCs/>
                <w:i w:val="false"/>
                <w:iCs w:val="false"/>
                <w:color w:val="1A1A1A"/>
                <w:sz w:val="24"/>
                <w:szCs w:val="24"/>
              </w:rPr>
              <w:t xml:space="preserve">OO 1453 is a coordinated response plan in all but name</w:t>
            </w:r>
            <w:r>
              <w:rPr>
                <w:b w:val="false"/>
                <w:bCs w:val="false"/>
                <w:i w:val="false"/>
                <w:iCs w:val="false"/>
                <w:color w:val="1A1A1A"/>
                <w:sz w:val="24"/>
                <w:szCs w:val="24"/>
              </w:rPr>
              <w:t xml:space="preserve"> for the serious band: first response, notification, evidence preservation, the forensic exam, the advocate right, the incident review. Earlier revisions scored 115.364 and 115.365 as gaps and that was wrong too. The problem with the order is scope, not quality.</w:t>
            </w:r>
          </w:p>
          <w:p>
            <w:pPr>
              <w:pStyle w:val="ListParagraph"/>
              <w:numPr>
                <w:ilvl w:val="0"/>
                <w:numId w:val="1"/>
              </w:numPr>
              <w:spacing w:after="80" w:before="60" w:line="268"/>
            </w:pPr>
            <w:r>
              <w:rPr>
                <w:b w:val="false"/>
                <w:bCs w:val="false"/>
                <w:i w:val="false"/>
                <w:iCs w:val="false"/>
                <w:color w:val="1A1A1A"/>
                <w:sz w:val="24"/>
                <w:szCs w:val="24"/>
              </w:rPr>
              <w:t xml:space="preserve"/>
            </w:r>
            <w:r>
              <w:rPr>
                <w:b/>
                <w:bCs/>
                <w:i w:val="false"/>
                <w:iCs w:val="false"/>
                <w:color w:val="1A1A1A"/>
                <w:sz w:val="24"/>
                <w:szCs w:val="24"/>
              </w:rPr>
              <w:t xml:space="preserve">The register's own citations to departmental orders have held up.</w:t>
            </w:r>
            <w:r>
              <w:rPr>
                <w:b w:val="false"/>
                <w:bCs w:val="false"/>
                <w:i w:val="false"/>
                <w:iCs w:val="false"/>
                <w:color w:val="1A1A1A"/>
                <w:sz w:val="24"/>
                <w:szCs w:val="24"/>
              </w:rPr>
              <w:t xml:space="preserve"> Each time an order has been produced and read in full, OO 1352 and then OO 1453, every section number the earlier review recorded was confirmed verbatim. That is worth knowing about the reliability of the rest of it.</w:t>
            </w:r>
          </w:p>
        </w:tc>
      </w:tr>
    </w:tbl>
    <w:p>
      <w:r>
        <w:br w:type="page"/>
      </w:r>
    </w:p>
    <w:p>
      <w:pPr>
        <w:pStyle w:val="Heading1"/>
      </w:pPr>
      <w:r>
        <w:t xml:space="preserve">What it takes to fix, in three waves</w:t>
      </w:r>
    </w:p>
    <w:p>
      <w:pPr>
        <w:spacing w:after="140" w:line="276"/>
      </w:pPr>
      <w:r>
        <w:rPr>
          <w:b w:val="false"/>
          <w:bCs w:val="false"/>
          <w:i w:val="false"/>
          <w:iCs w:val="false"/>
          <w:color w:val="1A1A1A"/>
          <w:sz w:val="24"/>
          <w:szCs w:val="24"/>
        </w:rPr>
        <w:t xml:space="preserve">Fifteen recommended changes. They are not equivalent, and sequencing them wrongly wastes a revision cycle.</w:t>
      </w:r>
    </w:p>
    <w:p>
      <w:pPr>
        <w:pStyle w:val="Heading2"/>
      </w:pPr>
      <w:r>
        <w:t xml:space="preserve">Wave 1. Amend now. Drafted and ready to review.</w:t>
      </w:r>
    </w:p>
    <w:p>
      <w:pPr>
        <w:spacing w:after="140" w:line="276"/>
      </w:pPr>
      <w:r>
        <w:rPr>
          <w:b w:val="false"/>
          <w:bCs w:val="false"/>
          <w:i w:val="false"/>
          <w:iCs w:val="false"/>
          <w:color w:val="1A1A1A"/>
          <w:sz w:val="24"/>
          <w:szCs w:val="24"/>
        </w:rPr>
        <w:t xml:space="preserve">Changes 1 to 7. Redlines exist for all seven, with the amended text written out and an authority line for each. Three of the orders they amend have not been produced to this review, so for those the struck text is a reconstruction of what the register describes rather than a quotation, and every item says so on its face.</w:t>
      </w:r>
    </w:p>
    <w:p>
      <w:pPr>
        <w:pStyle w:val="ListParagraph"/>
        <w:numPr>
          <w:ilvl w:val="0"/>
          <w:numId w:val="1"/>
        </w:numPr>
        <w:spacing w:after="110" w:line="272"/>
      </w:pPr>
      <w:r>
        <w:rPr>
          <w:b w:val="false"/>
          <w:bCs w:val="false"/>
          <w:i w:val="false"/>
          <w:iCs w:val="false"/>
          <w:color w:val="1A1A1A"/>
          <w:sz w:val="24"/>
          <w:szCs w:val="24"/>
        </w:rPr>
        <w:t xml:space="preserve">1. Rescind the S-8 single room mandate, OO 1352 II.M and III.I</w:t>
      </w:r>
    </w:p>
    <w:p>
      <w:pPr>
        <w:pStyle w:val="ListParagraph"/>
        <w:numPr>
          <w:ilvl w:val="0"/>
          <w:numId w:val="1"/>
        </w:numPr>
        <w:spacing w:after="110" w:line="272"/>
      </w:pPr>
      <w:r>
        <w:rPr>
          <w:b w:val="false"/>
          <w:bCs w:val="false"/>
          <w:i w:val="false"/>
          <w:iCs w:val="false"/>
          <w:color w:val="1A1A1A"/>
          <w:sz w:val="24"/>
          <w:szCs w:val="24"/>
        </w:rPr>
        <w:t xml:space="preserve">2. Convert OO 1352.5 III.I to a presumptive, documented individualized outcome</w:t>
      </w:r>
    </w:p>
    <w:p>
      <w:pPr>
        <w:pStyle w:val="ListParagraph"/>
        <w:numPr>
          <w:ilvl w:val="0"/>
          <w:numId w:val="1"/>
        </w:numPr>
        <w:spacing w:after="110" w:line="272"/>
      </w:pPr>
      <w:r>
        <w:rPr>
          <w:b w:val="false"/>
          <w:bCs w:val="false"/>
          <w:i w:val="false"/>
          <w:iCs w:val="false"/>
          <w:color w:val="1A1A1A"/>
          <w:sz w:val="24"/>
          <w:szCs w:val="24"/>
        </w:rPr>
        <w:t xml:space="preserve">3. Correct the mandated reporting standard, PREA Policy V.A.4 and OO 1453 I.A.9</w:t>
      </w:r>
    </w:p>
    <w:p>
      <w:pPr>
        <w:pStyle w:val="ListParagraph"/>
        <w:numPr>
          <w:ilvl w:val="0"/>
          <w:numId w:val="1"/>
        </w:numPr>
        <w:spacing w:after="110" w:line="272"/>
      </w:pPr>
      <w:r>
        <w:rPr>
          <w:b w:val="false"/>
          <w:bCs w:val="false"/>
          <w:i w:val="false"/>
          <w:iCs w:val="false"/>
          <w:color w:val="1A1A1A"/>
          <w:sz w:val="24"/>
          <w:szCs w:val="24"/>
        </w:rPr>
        <w:t xml:space="preserve">4. Correct cross facility notification from 14 days to 72 hours, PREA Policy V.A.7</w:t>
      </w:r>
    </w:p>
    <w:p>
      <w:pPr>
        <w:pStyle w:val="ListParagraph"/>
        <w:numPr>
          <w:ilvl w:val="0"/>
          <w:numId w:val="1"/>
        </w:numPr>
        <w:spacing w:after="110" w:line="272"/>
      </w:pPr>
      <w:r>
        <w:rPr>
          <w:b w:val="false"/>
          <w:bCs w:val="false"/>
          <w:i w:val="false"/>
          <w:iCs w:val="false"/>
          <w:color w:val="1A1A1A"/>
          <w:sz w:val="24"/>
          <w:szCs w:val="24"/>
        </w:rPr>
        <w:t xml:space="preserve">5. Rewrite the false allegations provision to a bad faith standard, PREA Policy XIV.A</w:t>
      </w:r>
    </w:p>
    <w:p>
      <w:pPr>
        <w:pStyle w:val="ListParagraph"/>
        <w:numPr>
          <w:ilvl w:val="0"/>
          <w:numId w:val="1"/>
        </w:numPr>
        <w:spacing w:after="110" w:line="272"/>
      </w:pPr>
      <w:r>
        <w:rPr>
          <w:b w:val="false"/>
          <w:bCs w:val="false"/>
          <w:i w:val="false"/>
          <w:iCs w:val="false"/>
          <w:color w:val="1A1A1A"/>
          <w:sz w:val="24"/>
          <w:szCs w:val="24"/>
        </w:rPr>
        <w:t xml:space="preserve">6. Delete the S-4 victim to perpetrator inference, split the code, add PC 287 and 289</w:t>
      </w:r>
    </w:p>
    <w:p>
      <w:pPr>
        <w:pStyle w:val="ListParagraph"/>
        <w:numPr>
          <w:ilvl w:val="0"/>
          <w:numId w:val="1"/>
        </w:numPr>
        <w:spacing w:after="110" w:line="272"/>
      </w:pPr>
      <w:r>
        <w:rPr>
          <w:b w:val="false"/>
          <w:bCs w:val="false"/>
          <w:i w:val="false"/>
          <w:iCs w:val="false"/>
          <w:color w:val="1A1A1A"/>
          <w:sz w:val="24"/>
          <w:szCs w:val="24"/>
        </w:rPr>
        <w:t xml:space="preserve">7. Adopt a single reconciled records retention schedule</w:t>
      </w:r>
    </w:p>
    <w:p>
      <w:pPr>
        <w:pStyle w:val="Heading2"/>
      </w:pPr>
      <w:r>
        <w:t xml:space="preserve">Wave 2. Needs a decision from this room, not more analysis.</w:t>
      </w:r>
    </w:p>
    <w:p>
      <w:pPr>
        <w:spacing w:after="140" w:line="276"/>
      </w:pPr>
      <w:r>
        <w:rPr>
          <w:b w:val="false"/>
          <w:bCs w:val="false"/>
          <w:i w:val="false"/>
          <w:iCs w:val="false"/>
          <w:color w:val="1A1A1A"/>
          <w:sz w:val="24"/>
          <w:szCs w:val="24"/>
        </w:rPr>
        <w:t xml:space="preserve">These are blocked on a designation, an allocation, or a document we have asked for and not received. No further review will unblock any of them.</w:t>
      </w:r>
    </w:p>
    <w:p>
      <w:pPr>
        <w:pStyle w:val="ListParagraph"/>
        <w:numPr>
          <w:ilvl w:val="0"/>
          <w:numId w:val="1"/>
        </w:numPr>
        <w:spacing w:after="110" w:line="272"/>
      </w:pPr>
      <w:r>
        <w:rPr>
          <w:b w:val="false"/>
          <w:bCs w:val="false"/>
          <w:i w:val="false"/>
          <w:iCs w:val="false"/>
          <w:color w:val="1A1A1A"/>
          <w:sz w:val="24"/>
          <w:szCs w:val="24"/>
        </w:rPr>
        <w:t xml:space="preserve">8. Designate a PREA Coordinator and a facility compliance manager</w:t>
      </w:r>
    </w:p>
    <w:p>
      <w:pPr>
        <w:pStyle w:val="ListParagraph"/>
        <w:numPr>
          <w:ilvl w:val="0"/>
          <w:numId w:val="1"/>
        </w:numPr>
        <w:spacing w:after="110" w:line="272"/>
      </w:pPr>
      <w:r>
        <w:rPr>
          <w:b w:val="false"/>
          <w:bCs w:val="false"/>
          <w:i w:val="false"/>
          <w:iCs w:val="false"/>
          <w:color w:val="1A1A1A"/>
          <w:sz w:val="24"/>
          <w:szCs w:val="24"/>
        </w:rPr>
        <w:t xml:space="preserve">9. Verify staffing against 1:8 and 1:16 and build the 115.313(a) staffing plan, blocked on rosters</w:t>
      </w:r>
    </w:p>
    <w:p>
      <w:pPr>
        <w:pStyle w:val="ListParagraph"/>
        <w:numPr>
          <w:ilvl w:val="0"/>
          <w:numId w:val="1"/>
        </w:numPr>
        <w:spacing w:after="110" w:line="272"/>
      </w:pPr>
      <w:r>
        <w:rPr>
          <w:b w:val="false"/>
          <w:bCs w:val="false"/>
          <w:i w:val="false"/>
          <w:iCs w:val="false"/>
          <w:color w:val="1A1A1A"/>
          <w:sz w:val="24"/>
          <w:szCs w:val="24"/>
        </w:rPr>
        <w:t xml:space="preserve">15. Reduce hiring, contractor screening and staff reporting to writing, blocked on whether a child abuse registry check occurs</w:t>
      </w:r>
    </w:p>
    <w:p>
      <w:pPr>
        <w:pStyle w:val="ListParagraph"/>
        <w:numPr>
          <w:ilvl w:val="0"/>
          <w:numId w:val="1"/>
        </w:numPr>
        <w:spacing w:after="110" w:line="272"/>
      </w:pPr>
      <w:r>
        <w:rPr>
          <w:b w:val="false"/>
          <w:bCs w:val="false"/>
          <w:i w:val="false"/>
          <w:iCs w:val="false"/>
          <w:color w:val="1A1A1A"/>
          <w:sz w:val="24"/>
          <w:szCs w:val="24"/>
        </w:rPr>
        <w:t xml:space="preserve">Produce OO 1354 on separation. It is the highest value outstanding document: OO 1354.5 defines separation to include protective custody and then regulates only room confinement, so the placement 115.342(b) and 115.368 actually govern is the one with the fewest written safeguards.</w:t>
      </w:r>
    </w:p>
    <w:p>
      <w:r>
        <w:br w:type="page"/>
      </w:r>
    </w:p>
    <w:p>
      <w:pPr>
        <w:pStyle w:val="Heading2"/>
      </w:pPr>
      <w:r>
        <w:t xml:space="preserve">Wave 3. Build. Real work, and it follows waves 1 and 2.</w:t>
      </w:r>
    </w:p>
    <w:p>
      <w:pPr>
        <w:spacing w:after="140" w:line="276"/>
      </w:pPr>
      <w:r>
        <w:rPr>
          <w:b w:val="false"/>
          <w:bCs w:val="false"/>
          <w:i w:val="false"/>
          <w:iCs w:val="false"/>
          <w:color w:val="1A1A1A"/>
          <w:sz w:val="24"/>
          <w:szCs w:val="24"/>
        </w:rPr>
        <w:t xml:space="preserve">Drafting projects rather than amendments. Each needs an owner and a date.</w:t>
      </w:r>
    </w:p>
    <w:p>
      <w:pPr>
        <w:pStyle w:val="ListParagraph"/>
        <w:numPr>
          <w:ilvl w:val="0"/>
          <w:numId w:val="1"/>
        </w:numPr>
        <w:spacing w:after="110" w:line="272"/>
      </w:pPr>
      <w:r>
        <w:rPr>
          <w:b w:val="false"/>
          <w:bCs w:val="false"/>
          <w:i w:val="false"/>
          <w:iCs w:val="false"/>
          <w:color w:val="1A1A1A"/>
          <w:sz w:val="24"/>
          <w:szCs w:val="24"/>
        </w:rPr>
        <w:t xml:space="preserve">10. Rebuild the PREA elements of OO 1361 on grievances: emergency track, external reporting, third party filing, private staff reporting, extension outer bound</w:t>
      </w:r>
    </w:p>
    <w:p>
      <w:pPr>
        <w:pStyle w:val="ListParagraph"/>
        <w:numPr>
          <w:ilvl w:val="0"/>
          <w:numId w:val="1"/>
        </w:numPr>
        <w:spacing w:after="110" w:line="272"/>
      </w:pPr>
      <w:r>
        <w:rPr>
          <w:b w:val="false"/>
          <w:bCs w:val="false"/>
          <w:i w:val="false"/>
          <w:iCs w:val="false"/>
          <w:color w:val="1A1A1A"/>
          <w:sz w:val="24"/>
          <w:szCs w:val="24"/>
        </w:rPr>
        <w:t xml:space="preserve">11. Add the data analysis and corrective action loop, 115.387 and 115.388</w:t>
      </w:r>
    </w:p>
    <w:p>
      <w:pPr>
        <w:pStyle w:val="ListParagraph"/>
        <w:numPr>
          <w:ilvl w:val="0"/>
          <w:numId w:val="1"/>
        </w:numPr>
        <w:spacing w:after="110" w:line="272"/>
      </w:pPr>
      <w:r>
        <w:rPr>
          <w:b w:val="false"/>
          <w:bCs w:val="false"/>
          <w:i w:val="false"/>
          <w:iCs w:val="false"/>
          <w:color w:val="1A1A1A"/>
          <w:sz w:val="24"/>
          <w:szCs w:val="24"/>
        </w:rPr>
        <w:t xml:space="preserve">12. Complete the incident review and broaden OO 1453, 115.364(b), 115.365, 115.386</w:t>
      </w:r>
    </w:p>
    <w:p>
      <w:pPr>
        <w:pStyle w:val="ListParagraph"/>
        <w:numPr>
          <w:ilvl w:val="0"/>
          <w:numId w:val="1"/>
        </w:numPr>
        <w:spacing w:after="110" w:line="272"/>
      </w:pPr>
      <w:r>
        <w:rPr>
          <w:b w:val="false"/>
          <w:bCs w:val="false"/>
          <w:i w:val="false"/>
          <w:iCs w:val="false"/>
          <w:color w:val="1A1A1A"/>
          <w:sz w:val="24"/>
          <w:szCs w:val="24"/>
        </w:rPr>
        <w:t xml:space="preserve">13. Add retaliation monitoring, 115.367</w:t>
      </w:r>
    </w:p>
    <w:p>
      <w:pPr>
        <w:pStyle w:val="ListParagraph"/>
        <w:numPr>
          <w:ilvl w:val="0"/>
          <w:numId w:val="1"/>
        </w:numPr>
        <w:spacing w:after="110" w:line="272"/>
      </w:pPr>
      <w:r>
        <w:rPr>
          <w:b w:val="false"/>
          <w:bCs w:val="false"/>
          <w:i w:val="false"/>
          <w:iCs w:val="false"/>
          <w:color w:val="1A1A1A"/>
          <w:sz w:val="24"/>
          <w:szCs w:val="24"/>
        </w:rPr>
        <w:t xml:space="preserve">14. Add notification duties: family, counsel, and outcome to the resident, 115.361(e) and 115.373</w:t>
      </w:r>
    </w:p>
    <w:p>
      <w:pPr>
        <w:pStyle w:val="ListParagraph"/>
        <w:numPr>
          <w:ilvl w:val="0"/>
          <w:numId w:val="1"/>
        </w:numPr>
        <w:spacing w:after="110" w:line="272"/>
      </w:pPr>
      <w:r>
        <w:rPr>
          <w:b w:val="false"/>
          <w:bCs w:val="false"/>
          <w:i w:val="false"/>
          <w:iCs w:val="false"/>
          <w:color w:val="1A1A1A"/>
          <w:sz w:val="24"/>
          <w:szCs w:val="24"/>
        </w:rPr>
        <w:t xml:space="preserve">A new department wide General Order on child abuse and neglect reporting, which is stage two of change 3</w:t>
      </w:r>
    </w:p>
    <w:p>
      <w:pPr>
        <w:pStyle w:val="ListParagraph"/>
        <w:numPr>
          <w:ilvl w:val="0"/>
          <w:numId w:val="1"/>
        </w:numPr>
        <w:spacing w:after="110" w:line="272"/>
      </w:pPr>
      <w:r>
        <w:rPr>
          <w:b w:val="false"/>
          <w:bCs w:val="false"/>
          <w:i w:val="false"/>
          <w:iCs w:val="false"/>
          <w:color w:val="1A1A1A"/>
          <w:sz w:val="24"/>
          <w:szCs w:val="24"/>
        </w:rPr>
        <w:t xml:space="preserve">Rewrite the PREA Policy to Subpart D order, so each provision maps to what an auditor scores</w:t>
      </w:r>
    </w:p>
    <w:p>
      <w:pPr>
        <w:pStyle w:val="ListParagraph"/>
        <w:numPr>
          <w:ilvl w:val="0"/>
          <w:numId w:val="1"/>
        </w:numPr>
        <w:spacing w:after="110" w:line="272"/>
      </w:pPr>
      <w:r>
        <w:rPr>
          <w:b w:val="false"/>
          <w:bCs w:val="false"/>
          <w:i w:val="false"/>
          <w:iCs w:val="false"/>
          <w:color w:val="1A1A1A"/>
          <w:sz w:val="24"/>
          <w:szCs w:val="24"/>
        </w:rPr>
        <w:t xml:space="preserve">Tier 1 all staff and supervisor lesson plans</w:t>
      </w:r>
    </w:p>
    <w:p>
      <w:r>
        <w:br w:type="page"/>
      </w:r>
    </w:p>
    <w:p>
      <w:pPr>
        <w:pStyle w:val="Heading1"/>
      </w:pPr>
      <w:r>
        <w:t xml:space="preserve">What I need from you</w:t>
      </w:r>
    </w:p>
    <w:p>
      <w:pPr>
        <w:spacing w:after="140" w:line="276"/>
      </w:pPr>
      <w:r>
        <w:rPr>
          <w:b w:val="false"/>
          <w:bCs w:val="false"/>
          <w:i w:val="false"/>
          <w:iCs w:val="false"/>
          <w:color w:val="1A1A1A"/>
          <w:sz w:val="24"/>
          <w:szCs w:val="24"/>
        </w:rPr>
        <w:t xml:space="preserve">Everything above is either drafted or blocked. These are the blockages, shortest first.</w:t>
      </w:r>
    </w:p>
    <w:p>
      <w:pPr>
        <w:spacing w:after="130" w:line="276"/>
      </w:pPr>
      <w:r>
        <w:rPr>
          <w:b/>
          <w:bCs/>
          <w:i w:val="false"/>
          <w:iCs w:val="false"/>
          <w:color w:val="1A1A1A"/>
          <w:sz w:val="24"/>
          <w:szCs w:val="24"/>
        </w:rPr>
        <w:t xml:space="preserve">1.  </w:t>
      </w:r>
      <w:r>
        <w:rPr>
          <w:b w:val="false"/>
          <w:bCs w:val="false"/>
          <w:i w:val="false"/>
          <w:iCs w:val="false"/>
          <w:color w:val="1A1A1A"/>
          <w:sz w:val="24"/>
          <w:szCs w:val="24"/>
        </w:rPr>
        <w:t xml:space="preserve"/>
      </w:r>
      <w:r>
        <w:rPr>
          <w:b/>
          <w:bCs/>
          <w:i w:val="false"/>
          <w:iCs w:val="false"/>
          <w:color w:val="1A1A1A"/>
          <w:sz w:val="24"/>
          <w:szCs w:val="24"/>
        </w:rPr>
        <w:t xml:space="preserve">Name a PREA Coordinator and a facility compliance manager.</w:t>
      </w:r>
      <w:r>
        <w:rPr>
          <w:b w:val="false"/>
          <w:bCs w:val="false"/>
          <w:i w:val="false"/>
          <w:iCs w:val="false"/>
          <w:color w:val="1A1A1A"/>
          <w:sz w:val="24"/>
          <w:szCs w:val="24"/>
        </w:rPr>
        <w:t xml:space="preserve"> Blocks recommended change 8, and our own order already routes work to the position.</w:t>
      </w:r>
    </w:p>
    <w:p>
      <w:pPr>
        <w:spacing w:after="130" w:line="276"/>
      </w:pPr>
      <w:r>
        <w:rPr>
          <w:b/>
          <w:bCs/>
          <w:i w:val="false"/>
          <w:iCs w:val="false"/>
          <w:color w:val="1A1A1A"/>
          <w:sz w:val="24"/>
          <w:szCs w:val="24"/>
        </w:rPr>
        <w:t xml:space="preserve">2.  </w:t>
      </w:r>
      <w:r>
        <w:rPr>
          <w:b w:val="false"/>
          <w:bCs w:val="false"/>
          <w:i w:val="false"/>
          <w:iCs w:val="false"/>
          <w:color w:val="1A1A1A"/>
          <w:sz w:val="24"/>
          <w:szCs w:val="24"/>
        </w:rPr>
        <w:t xml:space="preserve"/>
      </w:r>
      <w:r>
        <w:rPr>
          <w:b/>
          <w:bCs/>
          <w:i w:val="false"/>
          <w:iCs w:val="false"/>
          <w:color w:val="1A1A1A"/>
          <w:sz w:val="24"/>
          <w:szCs w:val="24"/>
        </w:rPr>
        <w:t xml:space="preserve">Decide who conducts youth on youth administrative investigations</w:t>
      </w:r>
      <w:r>
        <w:rPr>
          <w:b w:val="false"/>
          <w:bCs w:val="false"/>
          <w:i w:val="false"/>
          <w:iCs w:val="false"/>
          <w:color w:val="1A1A1A"/>
          <w:sz w:val="24"/>
          <w:szCs w:val="24"/>
        </w:rPr>
        <w:t xml:space="preserve"> in the band below sexual assault. Not written anywhere. It is the one answer the supervisor materials cannot supply for themselves.</w:t>
      </w:r>
    </w:p>
    <w:p>
      <w:pPr>
        <w:spacing w:after="130" w:line="276"/>
      </w:pPr>
      <w:r>
        <w:rPr>
          <w:b/>
          <w:bCs/>
          <w:i w:val="false"/>
          <w:iCs w:val="false"/>
          <w:color w:val="1A1A1A"/>
          <w:sz w:val="24"/>
          <w:szCs w:val="24"/>
        </w:rPr>
        <w:t xml:space="preserve">3.  </w:t>
      </w:r>
      <w:r>
        <w:rPr>
          <w:b w:val="false"/>
          <w:bCs w:val="false"/>
          <w:i w:val="false"/>
          <w:iCs w:val="false"/>
          <w:color w:val="1A1A1A"/>
          <w:sz w:val="24"/>
          <w:szCs w:val="24"/>
        </w:rPr>
        <w:t xml:space="preserve"/>
      </w:r>
      <w:r>
        <w:rPr>
          <w:b/>
          <w:bCs/>
          <w:i w:val="false"/>
          <w:iCs w:val="false"/>
          <w:color w:val="1A1A1A"/>
          <w:sz w:val="24"/>
          <w:szCs w:val="24"/>
        </w:rPr>
        <w:t xml:space="preserve">Produce the rosters and post assignments.</w:t>
      </w:r>
      <w:r>
        <w:rPr>
          <w:b w:val="false"/>
          <w:bCs w:val="false"/>
          <w:i w:val="false"/>
          <w:iCs w:val="false"/>
          <w:color w:val="1A1A1A"/>
          <w:sz w:val="24"/>
          <w:szCs w:val="24"/>
        </w:rPr>
        <w:t xml:space="preserve"> Settles whether the staffing finding is a real gap or a documentation gap, and unblocks change 9.</w:t>
      </w:r>
    </w:p>
    <w:p>
      <w:pPr>
        <w:spacing w:after="130" w:line="276"/>
      </w:pPr>
      <w:r>
        <w:rPr>
          <w:b/>
          <w:bCs/>
          <w:i w:val="false"/>
          <w:iCs w:val="false"/>
          <w:color w:val="1A1A1A"/>
          <w:sz w:val="24"/>
          <w:szCs w:val="24"/>
        </w:rPr>
        <w:t xml:space="preserve">4.  </w:t>
      </w:r>
      <w:r>
        <w:rPr>
          <w:b w:val="false"/>
          <w:bCs w:val="false"/>
          <w:i w:val="false"/>
          <w:iCs w:val="false"/>
          <w:color w:val="1A1A1A"/>
          <w:sz w:val="24"/>
          <w:szCs w:val="24"/>
        </w:rPr>
        <w:t xml:space="preserve"/>
      </w:r>
      <w:r>
        <w:rPr>
          <w:b/>
          <w:bCs/>
          <w:i w:val="false"/>
          <w:iCs w:val="false"/>
          <w:color w:val="1A1A1A"/>
          <w:sz w:val="24"/>
          <w:szCs w:val="24"/>
        </w:rPr>
        <w:t xml:space="preserve">Produce OO 1354 on separation</w:t>
      </w:r>
      <w:r>
        <w:rPr>
          <w:b w:val="false"/>
          <w:bCs w:val="false"/>
          <w:i w:val="false"/>
          <w:iCs w:val="false"/>
          <w:color w:val="1A1A1A"/>
          <w:sz w:val="24"/>
          <w:szCs w:val="24"/>
        </w:rPr>
        <w:t xml:space="preserve">, the orientation handbook, and the hiring and contractor screening procedures. Several findings may close on production rather than on remediation.</w:t>
      </w:r>
    </w:p>
    <w:p>
      <w:pPr>
        <w:spacing w:after="130" w:line="276"/>
      </w:pPr>
      <w:r>
        <w:rPr>
          <w:b/>
          <w:bCs/>
          <w:i w:val="false"/>
          <w:iCs w:val="false"/>
          <w:color w:val="1A1A1A"/>
          <w:sz w:val="24"/>
          <w:szCs w:val="24"/>
        </w:rPr>
        <w:t xml:space="preserve">5.  </w:t>
      </w:r>
      <w:r>
        <w:rPr>
          <w:b w:val="false"/>
          <w:bCs w:val="false"/>
          <w:i w:val="false"/>
          <w:iCs w:val="false"/>
          <w:color w:val="1A1A1A"/>
          <w:sz w:val="24"/>
          <w:szCs w:val="24"/>
        </w:rPr>
        <w:t xml:space="preserve"/>
      </w:r>
      <w:r>
        <w:rPr>
          <w:b/>
          <w:bCs/>
          <w:i w:val="false"/>
          <w:iCs w:val="false"/>
          <w:color w:val="1A1A1A"/>
          <w:sz w:val="24"/>
          <w:szCs w:val="24"/>
        </w:rPr>
        <w:t xml:space="preserve">Confirm whether the county has designated Probation to receive mandated reports</w:t>
      </w:r>
      <w:r>
        <w:rPr>
          <w:b w:val="false"/>
          <w:bCs w:val="false"/>
          <w:i w:val="false"/>
          <w:iCs w:val="false"/>
          <w:color w:val="1A1A1A"/>
          <w:sz w:val="24"/>
          <w:szCs w:val="24"/>
        </w:rPr>
        <w:t xml:space="preserve"> under PC 11165.9. One paragraph of a drafted redline depends on it.</w:t>
      </w:r>
    </w:p>
    <w:p>
      <w:pPr>
        <w:spacing w:after="130" w:line="276"/>
      </w:pPr>
      <w:r>
        <w:rPr>
          <w:b/>
          <w:bCs/>
          <w:i w:val="false"/>
          <w:iCs w:val="false"/>
          <w:color w:val="1A1A1A"/>
          <w:sz w:val="24"/>
          <w:szCs w:val="24"/>
        </w:rPr>
        <w:t xml:space="preserve">6.  </w:t>
      </w:r>
      <w:r>
        <w:rPr>
          <w:b w:val="false"/>
          <w:bCs w:val="false"/>
          <w:i w:val="false"/>
          <w:iCs w:val="false"/>
          <w:color w:val="1A1A1A"/>
          <w:sz w:val="24"/>
          <w:szCs w:val="24"/>
        </w:rPr>
        <w:t xml:space="preserve"/>
      </w:r>
      <w:r>
        <w:rPr>
          <w:b/>
          <w:bCs/>
          <w:i w:val="false"/>
          <w:iCs w:val="false"/>
          <w:color w:val="1A1A1A"/>
          <w:sz w:val="24"/>
          <w:szCs w:val="24"/>
        </w:rPr>
        <w:t xml:space="preserve">Owners and target dates for the 22 critical rows.</w:t>
      </w:r>
      <w:r>
        <w:rPr>
          <w:b w:val="false"/>
          <w:bCs w:val="false"/>
          <w:i w:val="false"/>
          <w:iCs w:val="false"/>
          <w:color w:val="1A1A1A"/>
          <w:sz w:val="24"/>
          <w:szCs w:val="24"/>
        </w:rPr>
        <w:t xml:space="preserve"> The register has the columns and they are empty by design, because they are the department's to fill.</w:t>
      </w:r>
    </w:p>
    <w:p>
      <w:pPr>
        <w:spacing w:after="130" w:line="276"/>
      </w:pPr>
      <w:r>
        <w:rPr>
          <w:b/>
          <w:bCs/>
          <w:i w:val="false"/>
          <w:iCs w:val="false"/>
          <w:color w:val="1A1A1A"/>
          <w:sz w:val="24"/>
          <w:szCs w:val="24"/>
        </w:rPr>
        <w:t xml:space="preserve">7.  </w:t>
      </w:r>
      <w:r>
        <w:rPr>
          <w:b w:val="false"/>
          <w:bCs w:val="false"/>
          <w:i w:val="false"/>
          <w:iCs w:val="false"/>
          <w:color w:val="1A1A1A"/>
          <w:sz w:val="24"/>
          <w:szCs w:val="24"/>
        </w:rPr>
        <w:t xml:space="preserve"/>
      </w:r>
      <w:r>
        <w:rPr>
          <w:b/>
          <w:bCs/>
          <w:i w:val="false"/>
          <w:iCs w:val="false"/>
          <w:color w:val="1A1A1A"/>
          <w:sz w:val="24"/>
          <w:szCs w:val="24"/>
        </w:rPr>
        <w:t xml:space="preserve">Approve the PREA Policy rewrite</w:t>
      </w:r>
      <w:r>
        <w:rPr>
          <w:b w:val="false"/>
          <w:bCs w:val="false"/>
          <w:i w:val="false"/>
          <w:iCs w:val="false"/>
          <w:color w:val="1A1A1A"/>
          <w:sz w:val="24"/>
          <w:szCs w:val="24"/>
        </w:rPr>
        <w:t xml:space="preserve"> rather than a further round of item by item amendments, and put the 15 CCR 1324 biennial review on a calendar.</w:t>
      </w:r>
    </w:p>
    <w:p>
      <w:pPr>
        <w:spacing w:after="20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8"/>
            </w:pPr>
            <w:r>
              <w:rPr>
                <w:b w:val="false"/>
                <w:bCs w:val="false"/>
                <w:i/>
                <w:iCs/>
                <w:color w:val="1A1A1A"/>
                <w:sz w:val="24"/>
                <w:szCs w:val="24"/>
              </w:rPr>
              <w:t xml:space="preserve">This brief is a policy and standards analysis prepared for internal use. It is not legal advice. Every statutory question in it, and the retention schedule in particular, routes to County Counsel before anything issues. Findings are stated against the documents produced to this review: where a practice is not in the documents, the finding says it does not appear in the documents reviewed, which is not the same as saying it is not done.</w:t>
            </w:r>
          </w:p>
        </w:tc>
      </w:tr>
    </w:tbl>
    <w:p>
      <w:pPr>
        <w:spacing w:before="200" w:line="264"/>
      </w:pPr>
      <w:r>
        <w:rPr>
          <w:b w:val="false"/>
          <w:bCs w:val="false"/>
          <w:i/>
          <w:iCs/>
          <w:color w:val="595959"/>
          <w:sz w:val="24"/>
          <w:szCs w:val="24"/>
        </w:rPr>
        <w:t xml:space="preserve">Generated from drafts/management-brief.json by npm run brief, from gap register Revision 10. Do not hand-edit.</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PREA Compliance: Where We Stand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320"/>
    </w:pPr>
    <w:rPr>
      <w:rFonts w:ascii="Calibri" w:cs="Calibri" w:eastAsia="Calibri" w:hAnsi="Calibri"/>
      <w:b/>
      <w:bCs/>
      <w:color w:val="1A1A1A"/>
      <w:sz w:val="34"/>
      <w:szCs w:val="34"/>
    </w:rPr>
  </w:style>
  <w:style w:type="paragraph" w:styleId="Heading2">
    <w:name w:val="Heading 2"/>
    <w:basedOn w:val="Normal"/>
    <w:next w:val="Normal"/>
    <w:qFormat/>
    <w:pPr>
      <w:spacing w:after="120" w:before="260"/>
    </w:pPr>
    <w:rPr>
      <w:rFonts w:ascii="Calibri" w:cs="Calibri" w:eastAsia="Calibri" w:hAnsi="Calibri"/>
      <w:b/>
      <w:bCs/>
      <w:color w:val="1A1A1A"/>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2026-10-30T00:04:25.595Z</dcterms:created>
  <dcterms:modified xsi:type="dcterms:W3CDTF">2026-10-30T00:04:25.596Z</dcterms:modified>
</cp:coreProperties>
</file>

<file path=docProps/custom.xml><?xml version="1.0" encoding="utf-8"?>
<Properties xmlns="http://schemas.openxmlformats.org/officeDocument/2006/custom-properties" xmlns:vt="http://schemas.openxmlformats.org/officeDocument/2006/docPropsVTypes"/>
</file>