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r>
        <w:br w:type="page"/>
      </w:r>
    </w:p>
    <w:p>
      <w:pPr>
        <w:pStyle w:val="Heading1"/>
      </w:pPr>
      <w:r>
        <w:t xml:space="preserve">What to do, in full</w:t>
      </w:r>
    </w:p>
    <w:p>
      <w:pPr>
        <w:spacing w:after="120" w:line="276"/>
      </w:pPr>
      <w:r>
        <w:rPr>
          <w:color w:val="1A1A1A"/>
        </w:rPr>
        <w:t xml:space="preserve">The classification card carries one line per block. These are the blocks in full. They are cumulative: each one adds to the one above it.</w:t>
      </w:r>
    </w:p>
    <w:p>
      <w:pPr>
        <w:pStyle w:val="Heading2"/>
      </w:pPr>
      <w:r>
        <w:t xml:space="preserve">Every tier, including tier 1</w:t>
      </w:r>
    </w:p>
    <w:p>
      <w:pPr>
        <w:pStyle w:val="ListParagraph"/>
        <w:numPr>
          <w:ilvl w:val="0"/>
          <w:numId w:val="1"/>
        </w:numPr>
        <w:spacing w:after="80" w:line="264"/>
      </w:pPr>
      <w:r>
        <w:rPr>
          <w:b w:val="false"/>
          <w:bCs w:val="false"/>
          <w:color w:val="1A1A1A"/>
        </w:rPr>
        <w:t xml:space="preserve">Separate the youth. Check the target is safe.</w:t>
      </w:r>
    </w:p>
    <w:p>
      <w:pPr>
        <w:pStyle w:val="ListParagraph"/>
        <w:numPr>
          <w:ilvl w:val="0"/>
          <w:numId w:val="1"/>
        </w:numPr>
        <w:spacing w:after="80" w:line="264"/>
      </w:pPr>
      <w:r>
        <w:rPr>
          <w:b w:val="false"/>
          <w:bCs w:val="false"/>
          <w:color w:val="1A1A1A"/>
        </w:rPr>
        <w:t xml:space="preserve">Staff tells the Duty Supervisor immediately.</w:t>
      </w:r>
    </w:p>
    <w:p>
      <w:pPr>
        <w:pStyle w:val="ListParagraph"/>
        <w:numPr>
          <w:ilvl w:val="0"/>
          <w:numId w:val="1"/>
        </w:numPr>
        <w:spacing w:after="80" w:line="264"/>
      </w:pPr>
      <w:r>
        <w:rPr>
          <w:b w:val="false"/>
          <w:bCs w:val="false"/>
          <w:color w:val="1A1A1A"/>
        </w:rPr>
        <w:t xml:space="preserve">Incident report naming both youth, </w:t>
      </w:r>
      <w:r>
        <w:rPr>
          <w:b/>
          <w:bCs/>
          <w:color w:val="1A1A1A"/>
        </w:rPr>
        <w:t xml:space="preserve">the words used verbatim</w:t>
      </w:r>
      <w:r>
        <w:rPr>
          <w:b w:val="false"/>
          <w:bCs w:val="false"/>
          <w:color w:val="1A1A1A"/>
        </w:rPr>
        <w:t xml:space="preserve"> and the target's response verbatim.</w:t>
      </w:r>
    </w:p>
    <w:p>
      <w:pPr>
        <w:pStyle w:val="ListParagraph"/>
        <w:numPr>
          <w:ilvl w:val="0"/>
          <w:numId w:val="1"/>
        </w:numPr>
        <w:spacing w:after="80" w:line="264"/>
      </w:pPr>
      <w:r>
        <w:rPr>
          <w:b w:val="false"/>
          <w:bCs w:val="false"/>
          <w:color w:val="1A1A1A"/>
        </w:rPr>
        <w:t xml:space="preserve">Record your classification and the reason, including a decision not to make a CPS report.</w:t>
      </w:r>
    </w:p>
    <w:p>
      <w:pPr>
        <w:pStyle w:val="ListParagraph"/>
        <w:numPr>
          <w:ilvl w:val="0"/>
          <w:numId w:val="1"/>
        </w:numPr>
        <w:spacing w:after="80" w:line="264"/>
      </w:pPr>
      <w:r>
        <w:rPr>
          <w:b w:val="false"/>
          <w:bCs w:val="false"/>
          <w:color w:val="1A1A1A"/>
        </w:rPr>
        <w:t xml:space="preserve">Treat it as classification information on both youth, and check the target's history for a repeat.</w:t>
      </w:r>
    </w:p>
    <w:p>
      <w:pPr>
        <w:pStyle w:val="Heading2"/>
      </w:pPr>
      <w:r>
        <w:t xml:space="preserve">Add at tier 2 and above</w:t>
      </w:r>
    </w:p>
    <w:p>
      <w:pPr>
        <w:pStyle w:val="ListParagraph"/>
        <w:numPr>
          <w:ilvl w:val="0"/>
          <w:numId w:val="1"/>
        </w:numPr>
        <w:spacing w:after="80" w:line="264"/>
      </w:pPr>
      <w:r>
        <w:rPr>
          <w:b w:val="false"/>
          <w:bCs w:val="false"/>
          <w:color w:val="1A1A1A"/>
        </w:rPr>
        <w:t xml:space="preserve">Log it as a PREA incident.</w:t>
      </w:r>
    </w:p>
    <w:p>
      <w:pPr>
        <w:pStyle w:val="ListParagraph"/>
        <w:numPr>
          <w:ilvl w:val="0"/>
          <w:numId w:val="1"/>
        </w:numPr>
        <w:spacing w:after="80" w:line="264"/>
      </w:pPr>
      <w:r>
        <w:rPr>
          <w:b w:val="false"/>
          <w:bCs w:val="false"/>
          <w:color w:val="1A1A1A"/>
        </w:rPr>
        <w:t xml:space="preserve">Decide whether the target is at substantial risk of imminent sexual abuse. If yes, act to protect now, separately from any investigation.</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If anyone reported it, start retaliation monitoring: at least 90 days, with checks.</w:t>
      </w:r>
    </w:p>
    <w:p>
      <w:pPr>
        <w:pStyle w:val="Heading2"/>
      </w:pPr>
      <w:r>
        <w:t xml:space="preserve">Add at tier 4, where a CPS report is due</w:t>
      </w:r>
    </w:p>
    <w:p>
      <w:pPr>
        <w:pStyle w:val="ListParagraph"/>
        <w:numPr>
          <w:ilvl w:val="0"/>
          <w:numId w:val="1"/>
        </w:numPr>
        <w:spacing w:after="80" w:line="264"/>
      </w:pPr>
      <w:r>
        <w:rPr>
          <w:b w:val="false"/>
          <w:bCs w:val="false"/>
          <w:color w:val="1A1A1A"/>
        </w:rPr>
        <w:t xml:space="preserve"/>
      </w:r>
      <w:r>
        <w:rPr>
          <w:b/>
          <w:bCs/>
          <w:color w:val="1A1A1A"/>
        </w:rPr>
        <w:t xml:space="preserve">Telephone the mandated report immediately</w:t>
      </w:r>
      <w:r>
        <w:rPr>
          <w:b w:val="false"/>
          <w:bCs w:val="false"/>
          <w:color w:val="1A1A1A"/>
        </w:rPr>
        <w:t xml:space="preserve">, or as soon as practicably possible. Written report on form SS 8572 within 36 hours.</w:t>
      </w:r>
    </w:p>
    <w:p>
      <w:pPr>
        <w:pStyle w:val="ListParagraph"/>
        <w:numPr>
          <w:ilvl w:val="0"/>
          <w:numId w:val="1"/>
        </w:numPr>
        <w:spacing w:after="80" w:line="264"/>
      </w:pPr>
      <w:r>
        <w:rPr>
          <w:b w:val="false"/>
          <w:bCs w:val="false"/>
          <w:color w:val="1A1A1A"/>
        </w:rPr>
        <w:t xml:space="preserve">Do not wait for the investigation, the end of shift, or anyone's approval.</w:t>
      </w:r>
    </w:p>
    <w:p>
      <w:pPr>
        <w:pStyle w:val="ListParagraph"/>
        <w:numPr>
          <w:ilvl w:val="0"/>
          <w:numId w:val="1"/>
        </w:numPr>
        <w:spacing w:after="80" w:line="264"/>
      </w:pPr>
      <w:r>
        <w:rPr>
          <w:b w:val="false"/>
          <w:bCs w:val="false"/>
          <w:color w:val="1A1A1A"/>
        </w:rPr>
        <w:t xml:space="preserve">The duty belongs to the employee who formed the suspicion. Telling you does not discharge it, and no supervisor may impede it.</w:t>
      </w:r>
    </w:p>
    <w:p>
      <w:pPr>
        <w:pStyle w:val="Heading2"/>
      </w:pPr>
      <w:r>
        <w:t xml:space="preserve">Add at tiers 5 and 6</w:t>
      </w:r>
    </w:p>
    <w:p>
      <w:pPr>
        <w:pStyle w:val="ListParagraph"/>
        <w:numPr>
          <w:ilvl w:val="0"/>
          <w:numId w:val="1"/>
        </w:numPr>
        <w:spacing w:after="80" w:line="264"/>
      </w:pPr>
      <w:r>
        <w:rPr>
          <w:b w:val="false"/>
          <w:bCs w:val="false"/>
          <w:color w:val="1A1A1A"/>
        </w:rPr>
        <w:t xml:space="preserve">Treat it as a sexual abuse allegation from the first moment.</w:t>
      </w:r>
    </w:p>
    <w:p>
      <w:pPr>
        <w:pStyle w:val="ListParagraph"/>
        <w:numPr>
          <w:ilvl w:val="0"/>
          <w:numId w:val="1"/>
        </w:numPr>
        <w:spacing w:after="80" w:line="264"/>
      </w:pPr>
      <w:r>
        <w:rPr>
          <w:b w:val="false"/>
          <w:bCs w:val="false"/>
          <w:color w:val="1A1A1A"/>
        </w:rPr>
        <w:t xml:space="preserve"/>
      </w:r>
      <w:r>
        <w:rPr>
          <w:b/>
          <w:bCs/>
          <w:color w:val="1A1A1A"/>
        </w:rPr>
        <w:t xml:space="preserve">Preserve evidence.</w:t>
      </w:r>
      <w:r>
        <w:rPr>
          <w:b w:val="false"/>
          <w:bCs w:val="false"/>
          <w:color w:val="1A1A1A"/>
        </w:rPr>
        <w:t xml:space="preserve"> No showering, changing or cleaning up. Secure the area.</w:t>
      </w:r>
    </w:p>
    <w:p>
      <w:pPr>
        <w:pStyle w:val="ListParagraph"/>
        <w:numPr>
          <w:ilvl w:val="0"/>
          <w:numId w:val="1"/>
        </w:numPr>
        <w:spacing w:after="80" w:line="264"/>
      </w:pPr>
      <w:r>
        <w:rPr>
          <w:b w:val="false"/>
          <w:bCs w:val="false"/>
          <w:color w:val="1A1A1A"/>
        </w:rPr>
        <w:t xml:space="preserve">Refer for investigation. Every allegation gets one. There is no discretion to decide one is unnecessary.</w:t>
      </w:r>
    </w:p>
    <w:p>
      <w:pPr>
        <w:pStyle w:val="ListParagraph"/>
        <w:numPr>
          <w:ilvl w:val="0"/>
          <w:numId w:val="1"/>
        </w:numPr>
        <w:spacing w:after="80" w:line="264"/>
      </w:pPr>
      <w:r>
        <w:rPr>
          <w:b w:val="false"/>
          <w:bCs w:val="false"/>
          <w:color w:val="1A1A1A"/>
        </w:rPr>
        <w:t xml:space="preserve">Tier 6 adds: law enforcement notification, forensic exam off site, and notice to the parent or guardian and counsel.</w:t>
      </w:r>
    </w:p>
    <w:p>
      <w:r>
        <w:br w:type="page"/>
      </w:r>
    </w:p>
    <w:p>
      <w:pPr>
        <w:pStyle w:val="Heading1"/>
      </w:pPr>
      <w:r>
        <w:t xml:space="preserve">The response sequence</w:t>
      </w:r>
    </w:p>
    <w:p>
      <w:pPr>
        <w:spacing w:after="120" w:line="276"/>
      </w:pPr>
      <w:r>
        <w:rPr>
          <w:color w:val="1A1A1A"/>
        </w:rPr>
        <w:t xml:space="preserve">Classifying it is the start, not the end. This is the sequence OO 1453 and the PREA Policy set out, in order. Provenance: OO 1453 was produced and read in full on 10/29, and every section number below is quoted from the order itself. Note the scope limiter the order carries throughout: every operative duty in it is keyed to "sexual assault", so on its face it does not reach harassment, exposure, or touching not characterised as assault.</w:t>
      </w:r>
    </w:p>
    <w:p>
      <w:pPr>
        <w:spacing w:after="180" w:line="264"/>
      </w:pPr>
      <w:r>
        <w:rPr>
          <w:i/>
          <w:iCs/>
          <w:color w:val="5A5A5A"/>
          <w:sz w:val="24"/>
          <w:szCs w:val="24"/>
        </w:rPr>
        <w:t xml:space="preserve">Supervisors who need only the classification decision work from the PREA Incident Classification Card. This section is the detail behind step 5 of that card, and it is where the detail belongs: it is read once, in advance, not at the door of a unit.</w:t>
      </w:r>
    </w:p>
    <w:p>
      <w:pPr>
        <w:pStyle w:val="Heading2"/>
      </w:pPr>
      <w:r>
        <w:t xml:space="preserve">1. First response, immediately</w:t>
      </w:r>
    </w:p>
    <w:p>
      <w:pPr>
        <w:spacing w:after="90"/>
      </w:pPr>
      <w:r>
        <w:rPr>
          <w:i/>
          <w:iCs/>
          <w:color w:val="5A5A5A"/>
          <w:sz w:val="24"/>
          <w:szCs w:val="24"/>
        </w:rPr>
        <w:t xml:space="preserve">OO 1453 I.A.1, I.A.3 to I.A.5</w:t>
      </w:r>
    </w:p>
    <w:p>
      <w:pPr>
        <w:pStyle w:val="ListParagraph"/>
        <w:numPr>
          <w:ilvl w:val="0"/>
          <w:numId w:val="1"/>
        </w:numPr>
        <w:spacing w:after="80" w:line="264"/>
      </w:pPr>
      <w:r>
        <w:rPr>
          <w:b w:val="false"/>
          <w:bCs w:val="false"/>
          <w:color w:val="1A1A1A"/>
        </w:rPr>
        <w:t xml:space="preserve">Separate victim and suspect. </w:t>
      </w:r>
      <w:r>
        <w:rPr>
          <w:b/>
          <w:bCs/>
          <w:color w:val="1A1A1A"/>
        </w:rPr>
        <w:t xml:space="preserve">No contact between them.</w:t>
      </w:r>
      <w:r>
        <w:rPr>
          <w:b w:val="false"/>
          <w:bCs w:val="false"/>
          <w:color w:val="1A1A1A"/>
        </w:rPr>
        <w:t xml:space="preserve"/>
      </w:r>
    </w:p>
    <w:p>
      <w:pPr>
        <w:pStyle w:val="ListParagraph"/>
        <w:numPr>
          <w:ilvl w:val="0"/>
          <w:numId w:val="1"/>
        </w:numPr>
        <w:spacing w:after="80" w:line="264"/>
      </w:pPr>
      <w:r>
        <w:rPr>
          <w:b w:val="false"/>
          <w:bCs w:val="false"/>
          <w:color w:val="1A1A1A"/>
        </w:rPr>
        <w:t xml:space="preserve">Protect the crime scene: the youth's room, the shower area, the laundry room. Seal it off and deny access to other staff and youth.</w:t>
      </w:r>
    </w:p>
    <w:p>
      <w:pPr>
        <w:pStyle w:val="ListParagraph"/>
        <w:numPr>
          <w:ilvl w:val="0"/>
          <w:numId w:val="1"/>
        </w:numPr>
        <w:spacing w:after="80" w:line="264"/>
      </w:pPr>
      <w:r>
        <w:rPr>
          <w:b w:val="false"/>
          <w:bCs w:val="false"/>
          <w:color w:val="1A1A1A"/>
        </w:rPr>
        <w:t xml:space="preserve"/>
      </w:r>
      <w:r>
        <w:rPr>
          <w:b/>
          <w:bCs/>
          <w:color w:val="1A1A1A"/>
        </w:rPr>
        <w:t xml:space="preserve">Neither youth showers, changes or cleans up.</w:t>
      </w:r>
      <w:r>
        <w:rPr>
          <w:b w:val="false"/>
          <w:bCs w:val="false"/>
          <w:color w:val="1A1A1A"/>
        </w:rPr>
        <w:t xml:space="preserve"/>
      </w:r>
    </w:p>
    <w:p>
      <w:pPr>
        <w:pStyle w:val="ListParagraph"/>
        <w:numPr>
          <w:ilvl w:val="0"/>
          <w:numId w:val="1"/>
        </w:numPr>
        <w:spacing w:after="80" w:line="264"/>
      </w:pPr>
      <w:r>
        <w:rPr>
          <w:b w:val="false"/>
          <w:bCs w:val="false"/>
          <w:color w:val="1A1A1A"/>
        </w:rPr>
        <w:t xml:space="preserve">Keep both out of the bathroom where you can. If one is used, collect the toilet tissue as evidence.</w:t>
      </w:r>
    </w:p>
    <w:p>
      <w:pPr>
        <w:pStyle w:val="Heading2"/>
      </w:pPr>
      <w:r>
        <w:t xml:space="preserve">2. Initial statement, and the trap in it</w:t>
      </w:r>
    </w:p>
    <w:p>
      <w:pPr>
        <w:spacing w:after="90"/>
      </w:pPr>
      <w:r>
        <w:rPr>
          <w:i/>
          <w:iCs/>
          <w:color w:val="5A5A5A"/>
          <w:sz w:val="24"/>
          <w:szCs w:val="24"/>
        </w:rPr>
        <w:t xml:space="preserve">OO 1453 I.A.6; WIC 625.6</w:t>
      </w:r>
    </w:p>
    <w:p>
      <w:pPr>
        <w:pStyle w:val="ListParagraph"/>
        <w:numPr>
          <w:ilvl w:val="0"/>
          <w:numId w:val="1"/>
        </w:numPr>
        <w:spacing w:after="80" w:line="264"/>
      </w:pPr>
      <w:r>
        <w:rPr>
          <w:b w:val="false"/>
          <w:bCs w:val="false"/>
          <w:color w:val="1A1A1A"/>
        </w:rPr>
        <w:t xml:space="preserve"/>
      </w:r>
      <w:r>
        <w:rPr>
          <w:b/>
          <w:bCs/>
          <w:color w:val="1A1A1A"/>
        </w:rPr>
        <w:t xml:space="preserve">I.A.6: "The duty supervisor shall take an initial statement from the victim and suspect."</w:t>
      </w:r>
      <w:r>
        <w:rPr>
          <w:b w:val="false"/>
          <w:bCs w:val="false"/>
          <w:color w:val="1A1A1A"/>
        </w:rPr>
        <w:t xml:space="preserve"> This is directed, not optional, and it is yours.</w:t>
      </w:r>
    </w:p>
    <w:p>
      <w:pPr>
        <w:pStyle w:val="ListParagraph"/>
        <w:numPr>
          <w:ilvl w:val="0"/>
          <w:numId w:val="1"/>
        </w:numPr>
        <w:spacing w:after="80" w:line="264"/>
      </w:pPr>
      <w:r>
        <w:rPr>
          <w:b w:val="false"/>
          <w:bCs w:val="false"/>
          <w:color w:val="1A1A1A"/>
        </w:rPr>
        <w:t xml:space="preserve"/>
      </w:r>
      <w:r>
        <w:rPr>
          <w:b/>
          <w:bCs/>
          <w:color w:val="1A1A1A"/>
        </w:rPr>
        <w:t xml:space="preserve">I.A.6 also says all suspects "shall be read a Miranda Warning, prior to any questioning."</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STOP THERE IF THE SUSPECT IS 17 OR UNDER.</w:t>
      </w:r>
      <w:r>
        <w:rPr>
          <w:b w:val="false"/>
          <w:bCs w:val="false"/>
          <w:color w:val="1A1A1A"/>
        </w:rPr>
        <w:t xml:space="preserve"> WIC 625.6 requires that youth to consult legal counsel, in person, by telephone or by video, BEFORE any custodial interrogation and BEFORE waiving Miranda. </w:t>
      </w:r>
      <w:r>
        <w:rPr>
          <w:b/>
          <w:bCs/>
          <w:color w:val="1A1A1A"/>
        </w:rPr>
        <w:t xml:space="preserve">The consultation cannot be waived.</w:t>
      </w:r>
      <w:r>
        <w:rPr>
          <w:b w:val="false"/>
          <w:bCs w:val="false"/>
          <w:color w:val="1A1A1A"/>
        </w:rPr>
        <w:t xml:space="preserve"> The order predates that statute by more than a year and does not mention it. Get the consultation, then question, and write down that you did.</w:t>
      </w:r>
    </w:p>
    <w:p>
      <w:pPr>
        <w:pStyle w:val="ListParagraph"/>
        <w:numPr>
          <w:ilvl w:val="0"/>
          <w:numId w:val="1"/>
        </w:numPr>
        <w:spacing w:after="80" w:line="264"/>
      </w:pPr>
      <w:r>
        <w:rPr>
          <w:b w:val="false"/>
          <w:bCs w:val="false"/>
          <w:color w:val="1A1A1A"/>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i/>
          <w:iCs/>
          <w:color w:val="5A5A5A"/>
          <w:sz w:val="24"/>
          <w:szCs w:val="24"/>
        </w:rPr>
        <w:t xml:space="preserve">OO 1453 I.A.8 to I.A.10; PC 11166(a)</w:t>
      </w:r>
    </w:p>
    <w:p>
      <w:pPr>
        <w:pStyle w:val="ListParagraph"/>
        <w:numPr>
          <w:ilvl w:val="0"/>
          <w:numId w:val="1"/>
        </w:numPr>
        <w:spacing w:after="80" w:line="264"/>
      </w:pPr>
      <w:r>
        <w:rPr>
          <w:b w:val="false"/>
          <w:bCs w:val="false"/>
          <w:color w:val="1A1A1A"/>
        </w:rPr>
        <w:t xml:space="preserve"/>
      </w:r>
      <w:r>
        <w:rPr>
          <w:b/>
          <w:bCs/>
          <w:color w:val="1A1A1A"/>
        </w:rPr>
        <w:t xml:space="preserve">Duty Supervisor notifies the Sheriff's Department immediately</w:t>
      </w:r>
      <w:r>
        <w:rPr>
          <w:b w:val="false"/>
          <w:bCs w:val="false"/>
          <w:color w:val="1A1A1A"/>
        </w:rPr>
        <w:t xml:space="preserve"> once it is believed a sexual assault occurred.</w:t>
      </w:r>
    </w:p>
    <w:p>
      <w:pPr>
        <w:pStyle w:val="ListParagraph"/>
        <w:numPr>
          <w:ilvl w:val="0"/>
          <w:numId w:val="1"/>
        </w:numPr>
        <w:spacing w:after="80" w:line="264"/>
      </w:pPr>
      <w:r>
        <w:rPr>
          <w:b w:val="false"/>
          <w:bCs w:val="false"/>
          <w:color w:val="1A1A1A"/>
        </w:rPr>
        <w:t xml:space="preserve"/>
      </w:r>
      <w:r>
        <w:rPr>
          <w:b/>
          <w:bCs/>
          <w:color w:val="1A1A1A"/>
        </w:rPr>
        <w:t xml:space="preserve">CPS by telephone immediately</w:t>
      </w:r>
      <w:r>
        <w:rPr>
          <w:b w:val="false"/>
          <w:bCs w:val="false"/>
          <w:color w:val="1A1A1A"/>
        </w:rPr>
        <w:t xml:space="preserve">, where the age chart says a report is due. Written report on SS 8572 within 36 hours. Note: PREA Policy V.A.4 and OO 1453 I.A.9 both say 24 hours. </w:t>
      </w:r>
      <w:r>
        <w:rPr>
          <w:b/>
          <w:bCs/>
          <w:color w:val="1A1A1A"/>
        </w:rPr>
        <w:t xml:space="preserve">That is wrong and the law controls.</w:t>
      </w:r>
      <w:r>
        <w:rPr>
          <w:b w:val="false"/>
          <w:bCs w:val="false"/>
          <w:color w:val="1A1A1A"/>
        </w:rPr>
        <w:t xml:space="preserve"/>
      </w:r>
    </w:p>
    <w:p>
      <w:pPr>
        <w:pStyle w:val="ListParagraph"/>
        <w:numPr>
          <w:ilvl w:val="0"/>
          <w:numId w:val="1"/>
        </w:numPr>
        <w:spacing w:after="80" w:line="264"/>
      </w:pPr>
      <w:r>
        <w:rPr>
          <w:b w:val="false"/>
          <w:bCs w:val="false"/>
          <w:color w:val="1A1A1A"/>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i/>
          <w:iCs/>
          <w:color w:val="5A5A5A"/>
          <w:sz w:val="24"/>
          <w:szCs w:val="24"/>
        </w:rPr>
        <w:t xml:space="preserve">OO 1453 I.A.11</w:t>
      </w:r>
    </w:p>
    <w:p>
      <w:pPr>
        <w:pStyle w:val="ListParagraph"/>
        <w:numPr>
          <w:ilvl w:val="0"/>
          <w:numId w:val="1"/>
        </w:numPr>
        <w:spacing w:after="80" w:line="264"/>
      </w:pPr>
      <w:r>
        <w:rPr>
          <w:b w:val="false"/>
          <w:bCs w:val="false"/>
          <w:color w:val="1A1A1A"/>
        </w:rPr>
        <w:t xml:space="preserve">Duty Supervisor photographs the scene, gloves up, collects and marks each item with date, time, location, ownership and description.</w:t>
      </w:r>
    </w:p>
    <w:p>
      <w:pPr>
        <w:pStyle w:val="ListParagraph"/>
        <w:numPr>
          <w:ilvl w:val="0"/>
          <w:numId w:val="1"/>
        </w:numPr>
        <w:spacing w:after="80" w:line="264"/>
      </w:pPr>
      <w:r>
        <w:rPr>
          <w:b w:val="false"/>
          <w:bCs w:val="false"/>
          <w:color w:val="1A1A1A"/>
        </w:rPr>
        <w:t xml:space="preserve">Seal it, log it, place it in the evidence locker at Intake and Booking.</w:t>
      </w:r>
    </w:p>
    <w:p>
      <w:pPr>
        <w:pStyle w:val="Heading2"/>
      </w:pPr>
      <w:r>
        <w:t xml:space="preserve">5. Medical and advocate</w:t>
      </w:r>
    </w:p>
    <w:p>
      <w:pPr>
        <w:spacing w:after="90"/>
      </w:pPr>
      <w:r>
        <w:rPr>
          <w:i/>
          <w:iCs/>
          <w:color w:val="5A5A5A"/>
          <w:sz w:val="24"/>
          <w:szCs w:val="24"/>
        </w:rPr>
        <w:t xml:space="preserve">OO 1453 I.A.13; PREA Policy VIII.A and XV.A; PC 264.2, PC 679.04</w:t>
      </w:r>
    </w:p>
    <w:p>
      <w:pPr>
        <w:pStyle w:val="ListParagraph"/>
        <w:numPr>
          <w:ilvl w:val="0"/>
          <w:numId w:val="1"/>
        </w:numPr>
        <w:spacing w:after="80" w:line="264"/>
      </w:pPr>
      <w:r>
        <w:rPr>
          <w:b w:val="false"/>
          <w:bCs w:val="false"/>
          <w:color w:val="1A1A1A"/>
        </w:rPr>
        <w:t xml:space="preserve"/>
      </w:r>
      <w:r>
        <w:rPr>
          <w:b/>
          <w:bCs/>
          <w:color w:val="1A1A1A"/>
        </w:rPr>
        <w:t xml:space="preserve">Evidentiary examination happens off site</w:t>
      </w:r>
      <w:r>
        <w:rPr>
          <w:b w:val="false"/>
          <w:bCs w:val="false"/>
          <w:color w:val="1A1A1A"/>
        </w:rPr>
        <w:t xml:space="preserve">, at a health facility separate from the custodial facility.</w:t>
      </w:r>
    </w:p>
    <w:p>
      <w:pPr>
        <w:pStyle w:val="ListParagraph"/>
        <w:numPr>
          <w:ilvl w:val="0"/>
          <w:numId w:val="1"/>
        </w:numPr>
        <w:spacing w:after="80" w:line="264"/>
      </w:pPr>
      <w:r>
        <w:rPr>
          <w:b w:val="false"/>
          <w:bCs w:val="false"/>
          <w:color w:val="1A1A1A"/>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80" w:line="264"/>
      </w:pPr>
      <w:r>
        <w:rPr>
          <w:b w:val="false"/>
          <w:bCs w:val="false"/>
          <w:color w:val="1A1A1A"/>
        </w:rPr>
        <w:t xml:space="preserve">Crisis counseling.</w:t>
      </w:r>
    </w:p>
    <w:p>
      <w:pPr>
        <w:pStyle w:val="Heading2"/>
      </w:pPr>
      <w:r>
        <w:t xml:space="preserve">6. Investigation</w:t>
      </w:r>
    </w:p>
    <w:p>
      <w:pPr>
        <w:spacing w:after="90"/>
      </w:pPr>
      <w:r>
        <w:rPr>
          <w:i/>
          <w:iCs/>
          <w:color w:val="5A5A5A"/>
          <w:sz w:val="24"/>
          <w:szCs w:val="24"/>
        </w:rPr>
        <w:t xml:space="preserve">28 CFR 115.371(a); OO 1453 I.A.14</w:t>
      </w:r>
    </w:p>
    <w:p>
      <w:pPr>
        <w:pStyle w:val="ListParagraph"/>
        <w:numPr>
          <w:ilvl w:val="0"/>
          <w:numId w:val="1"/>
        </w:numPr>
        <w:spacing w:after="80" w:line="264"/>
      </w:pPr>
      <w:r>
        <w:rPr>
          <w:b w:val="false"/>
          <w:bCs w:val="false"/>
          <w:color w:val="1A1A1A"/>
        </w:rPr>
        <w:t xml:space="preserve"/>
      </w:r>
      <w:r>
        <w:rPr>
          <w:b/>
          <w:bCs/>
          <w:color w:val="1A1A1A"/>
        </w:rPr>
        <w:t xml:space="preserve">Every allegation gets an administrative or criminal investigation.</w:t>
      </w:r>
      <w:r>
        <w:rPr>
          <w:b w:val="false"/>
          <w:bCs w:val="false"/>
          <w:color w:val="1A1A1A"/>
        </w:rPr>
        <w:t xml:space="preserve"> There is no threshold of plausibility and no discretion to decide one is unnecessary.</w:t>
      </w:r>
    </w:p>
    <w:p>
      <w:pPr>
        <w:pStyle w:val="ListParagraph"/>
        <w:numPr>
          <w:ilvl w:val="0"/>
          <w:numId w:val="1"/>
        </w:numPr>
        <w:spacing w:after="80" w:line="264"/>
      </w:pPr>
      <w:r>
        <w:rPr>
          <w:b w:val="false"/>
          <w:bCs w:val="false"/>
          <w:color w:val="1A1A1A"/>
        </w:rPr>
        <w:t xml:space="preserve">Investigative reports route to the Supervising District Attorney and the Sheriff's Sexual Assaults Unit.</w:t>
      </w:r>
    </w:p>
    <w:p>
      <w:pPr>
        <w:pStyle w:val="Heading2"/>
      </w:pPr>
      <w:r>
        <w:t xml:space="preserve">7. Incident review, at the conclusion</w:t>
      </w:r>
    </w:p>
    <w:p>
      <w:pPr>
        <w:spacing w:after="90"/>
      </w:pPr>
      <w:r>
        <w:rPr>
          <w:i/>
          <w:iCs/>
          <w:color w:val="5A5A5A"/>
          <w:sz w:val="24"/>
          <w:szCs w:val="24"/>
        </w:rPr>
        <w:t xml:space="preserve">OO 1453 I.A.15; PREA Policy V.A.8; 28 CFR 115.386</w:t>
      </w:r>
    </w:p>
    <w:p>
      <w:pPr>
        <w:pStyle w:val="ListParagraph"/>
        <w:numPr>
          <w:ilvl w:val="0"/>
          <w:numId w:val="1"/>
        </w:numPr>
        <w:spacing w:after="80" w:line="264"/>
      </w:pPr>
      <w:r>
        <w:rPr>
          <w:b w:val="false"/>
          <w:bCs w:val="false"/>
          <w:color w:val="1A1A1A"/>
        </w:rPr>
        <w:t xml:space="preserve">Upper management conducts a review, with input from supervisors, investigators and medical or mental health staff.</w:t>
      </w:r>
    </w:p>
    <w:p>
      <w:pPr>
        <w:pStyle w:val="ListParagraph"/>
        <w:numPr>
          <w:ilvl w:val="0"/>
          <w:numId w:val="1"/>
        </w:numPr>
        <w:spacing w:after="80" w:line="264"/>
      </w:pPr>
      <w:r>
        <w:rPr>
          <w:b w:val="false"/>
          <w:bCs w:val="false"/>
          <w:color w:val="1A1A1A"/>
        </w:rPr>
        <w:t xml:space="preserve">A written report is generated and forwarded to the Department Chief.</w:t>
      </w:r>
    </w:p>
    <w:p>
      <w:pPr>
        <w:pStyle w:val="ListParagraph"/>
        <w:numPr>
          <w:ilvl w:val="0"/>
          <w:numId w:val="1"/>
        </w:numPr>
        <w:spacing w:after="80" w:line="264"/>
      </w:pPr>
      <w:r>
        <w:rPr>
          <w:b w:val="false"/>
          <w:bCs w:val="false"/>
          <w:color w:val="1A1A1A"/>
        </w:rPr>
        <w:t xml:space="preserve">The review is required for </w:t>
      </w:r>
      <w:r>
        <w:rPr>
          <w:b/>
          <w:bCs/>
          <w:color w:val="1A1A1A"/>
        </w:rPr>
        <w:t xml:space="preserve">unsubstantiated</w:t>
      </w:r>
      <w:r>
        <w:rPr>
          <w:b w:val="false"/>
          <w:bCs w:val="false"/>
          <w:color w:val="1A1A1A"/>
        </w:rPr>
        <w:t xml:space="preserve"> allegations too. Only an </w:t>
      </w:r>
      <w:r>
        <w:rPr>
          <w:b/>
          <w:bCs/>
          <w:color w:val="1A1A1A"/>
        </w:rPr>
        <w:t xml:space="preserve">unfounded</w:t>
      </w:r>
      <w:r>
        <w:rPr>
          <w:b w:val="false"/>
          <w:bCs w:val="false"/>
          <w:color w:val="1A1A1A"/>
        </w:rPr>
        <w:t xml:space="preserve"> finding switches it off.</w:t>
      </w:r>
    </w:p>
    <w:p>
      <w:pPr>
        <w:pStyle w:val="Heading2"/>
      </w:pPr>
      <w:r>
        <w:t xml:space="preserve">8. Ongoing, and the part most often missed</w:t>
      </w:r>
    </w:p>
    <w:p>
      <w:pPr>
        <w:spacing w:after="90"/>
      </w:pPr>
      <w:r>
        <w:rPr>
          <w:i/>
          <w:iCs/>
          <w:color w:val="5A5A5A"/>
          <w:sz w:val="24"/>
          <w:szCs w:val="24"/>
        </w:rPr>
        <w:t xml:space="preserve">28 CFR 115.362, 115.367; PREA Policy XVIII.B</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
      </w:r>
      <w:r>
        <w:rPr>
          <w:b/>
          <w:bCs/>
          <w:color w:val="1A1A1A"/>
        </w:rPr>
        <w:t xml:space="preserve">Retaliation monitoring for at least 90 days</w:t>
      </w:r>
      <w:r>
        <w:rPr>
          <w:b w:val="false"/>
          <w:bCs w:val="false"/>
          <w:color w:val="1A1A1A"/>
        </w:rPr>
        <w:t xml:space="preserve"> for anyone who reported or was the target, with periodic checks.</w:t>
      </w:r>
    </w:p>
    <w:p>
      <w:pPr>
        <w:pStyle w:val="ListParagraph"/>
        <w:numPr>
          <w:ilvl w:val="0"/>
          <w:numId w:val="1"/>
        </w:numPr>
        <w:spacing w:after="80" w:line="264"/>
      </w:pPr>
      <w:r>
        <w:rPr>
          <w:b w:val="false"/>
          <w:bCs w:val="false"/>
          <w:color w:val="1A1A1A"/>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color w:val="1A1A1A"/>
              </w:rPr>
              <w:t xml:space="preserve"/>
            </w:r>
            <w:r>
              <w:rPr>
                <w:b/>
                <w:bCs/>
                <w:color w:val="1A1A1A"/>
              </w:rPr>
              <w:t xml:space="preserve">I.A.6 is a year and a half out of date and it can cost you the case.</w:t>
            </w:r>
            <w:r>
              <w:rPr>
                <w:b w:val="false"/>
                <w:bCs w:val="false"/>
                <w:color w:val="1A1A1A"/>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color w:val="1A1A1A"/>
              </w:rPr>
              <w:t xml:space="preserve"/>
            </w:r>
            <w:r>
              <w:rPr>
                <w:b/>
                <w:bCs/>
                <w:color w:val="1A1A1A"/>
              </w:rPr>
              <w:t xml:space="preserve">The CPS timeline in policy is wrong.</w:t>
            </w:r>
            <w:r>
              <w:rPr>
                <w:b w:val="false"/>
                <w:bCs w:val="false"/>
                <w:color w:val="1A1A1A"/>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color w:val="1A1A1A"/>
              </w:rPr>
              <w:t xml:space="preserve"/>
            </w:r>
            <w:r>
              <w:rPr>
                <w:b/>
                <w:bCs/>
                <w:color w:val="1A1A1A"/>
              </w:rPr>
              <w:t xml:space="preserve">The incident review report has nowhere to go.</w:t>
            </w:r>
            <w:r>
              <w:rPr>
                <w:b w:val="false"/>
                <w:bCs w:val="false"/>
                <w:color w:val="1A1A1A"/>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color w:val="1A1A1A"/>
              </w:rPr>
              <w:t xml:space="preserve"/>
            </w:r>
            <w:r>
              <w:rPr>
                <w:b/>
                <w:bCs/>
                <w:color w:val="1A1A1A"/>
              </w:rPr>
              <w:t xml:space="preserve">There is no retaliation monitoring program.</w:t>
            </w:r>
            <w:r>
              <w:rPr>
                <w:b w:val="false"/>
                <w:bCs w:val="false"/>
                <w:color w:val="1A1A1A"/>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color w:val="1A1A1A"/>
              </w:rPr>
              <w:t xml:space="preserve"/>
            </w:r>
            <w:r>
              <w:rPr>
                <w:b/>
                <w:bCs/>
                <w:color w:val="1A1A1A"/>
              </w:rPr>
              <w:t xml:space="preserve">Cross-facility notification is wrong.</w:t>
            </w:r>
            <w:r>
              <w:rPr>
                <w:b w:val="false"/>
                <w:bCs w:val="false"/>
                <w:color w:val="1A1A1A"/>
              </w:rPr>
              <w:t xml:space="preserve"> If the youth says the abuse happened at another facility, PREA Policy V.A.7 gives 14 days. The standard is </w:t>
            </w:r>
            <w:r>
              <w:rPr>
                <w:b/>
                <w:bCs/>
                <w:color w:val="1A1A1A"/>
              </w:rPr>
              <w:t xml:space="preserve">72 hours</w:t>
            </w:r>
            <w:r>
              <w:rPr>
                <w:b w:val="false"/>
                <w:bCs w:val="false"/>
                <w:color w:val="1A1A1A"/>
              </w:rPr>
              <w:t xml:space="preserve">.</w:t>
            </w:r>
          </w:p>
        </w:tc>
      </w:tr>
    </w:tbl>
    <w:p>
      <w:r>
        <w:br w:type="page"/>
      </w:r>
    </w:p>
    <w:p>
      <w:pPr>
        <w:pStyle w:val="Heading1"/>
      </w:pPr>
      <w:r>
        <w:t xml:space="preserve">Who does what, and where you stop</w:t>
      </w:r>
    </w:p>
    <w:p>
      <w:pPr>
        <w:spacing w:after="120" w:line="276"/>
      </w:pPr>
      <w:r>
        <w:rPr>
          <w:color w:val="1A1A1A"/>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Role</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Line staff</w:t>
            </w:r>
            <w:r>
              <w:rPr>
                <w:b w:val="false"/>
                <w:b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Reports to the Duty Supervisor </w:t>
            </w:r>
            <w:r>
              <w:rPr>
                <w:b/>
                <w:bCs/>
                <w:color w:val="1A1A1A"/>
                <w:sz w:val="24"/>
                <w:szCs w:val="24"/>
              </w:rPr>
              <w:t xml:space="preserve">immediately</w:t>
            </w:r>
            <w:r>
              <w:rPr>
                <w:b w:val="false"/>
                <w:bCs w:val="false"/>
                <w:color w:val="1A1A1A"/>
                <w:sz w:val="24"/>
                <w:szCs w:val="24"/>
              </w:rPr>
              <w:t xml:space="preserve">. Separates the youth. Preserves the scene and the clothing. Writes the incident report with </w:t>
            </w:r>
            <w:r>
              <w:rPr>
                <w:b/>
                <w:bCs/>
                <w:color w:val="1A1A1A"/>
                <w:sz w:val="24"/>
                <w:szCs w:val="24"/>
              </w:rPr>
              <w:t xml:space="preserve">the words used verbatim</w:t>
            </w:r>
            <w:r>
              <w:rPr>
                <w:b w:val="false"/>
                <w:b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Duty Supervisor</w:t>
            </w:r>
            <w:r>
              <w:rPr>
                <w:b w:val="false"/>
                <w:b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Classifies the incident against the tier chart. Protects: separation, housing, the 115.362 call. Preserves evidence and video. </w:t>
            </w:r>
            <w:r>
              <w:rPr>
                <w:b/>
                <w:bCs/>
                <w:color w:val="1A1A1A"/>
                <w:sz w:val="24"/>
                <w:szCs w:val="24"/>
              </w:rPr>
              <w:t xml:space="preserve">Takes the initial statement from the victim and the suspect, which OO 1453 I.A.6 directs.</w:t>
            </w:r>
            <w:r>
              <w:rPr>
                <w:b w:val="false"/>
                <w:b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color w:val="1A1A1A"/>
                <w:sz w:val="24"/>
                <w:szCs w:val="24"/>
              </w:rPr>
              <w:t xml:space="preserve">And does not Mirandize and question a suspect aged 17 or under without the WIC 625.6 counsel consultation, which I.A.6 does not mention. See the warning below.</w:t>
            </w:r>
            <w:r>
              <w:rPr>
                <w:b w:val="false"/>
                <w:bCs w:val="false"/>
                <w:color w:val="1A1A1A"/>
                <w:sz w:val="24"/>
                <w:szCs w:val="24"/>
              </w:rPr>
              <w:t xml:space="preserve"/>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Administrative investigator</w:t>
            </w:r>
            <w:r>
              <w:rPr>
                <w:b w:val="false"/>
                <w:bCs w:val="false"/>
                <w:color w:val="1A1A1A"/>
                <w:sz w:val="24"/>
                <w:szCs w:val="24"/>
              </w:rPr>
              <w:t xml:space="preserve"> for youth-on-youth</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CURRENTLY DESIGNATED. This is the hole.</w:t>
            </w:r>
            <w:r>
              <w:rPr>
                <w:b w:val="false"/>
                <w:b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Internal Affairs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Sheriff's Department</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Criminal investigation. Notified </w:t>
            </w:r>
            <w:r>
              <w:rPr>
                <w:b/>
                <w:bCs/>
                <w:color w:val="1A1A1A"/>
                <w:sz w:val="24"/>
                <w:szCs w:val="24"/>
              </w:rPr>
              <w:t xml:space="preserve">immediately</w:t>
            </w:r>
            <w:r>
              <w:rPr>
                <w:b w:val="false"/>
                <w:b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Chief Deputy and Assistant Chief Deputies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Receive the memo. Make the agency-level calls. Own the cross-facility notification where a youth reports abuse at another facility, which is </w:t>
            </w:r>
            <w:r>
              <w:rPr>
                <w:b/>
                <w:bCs/>
                <w:color w:val="1A1A1A"/>
                <w:sz w:val="24"/>
                <w:szCs w:val="24"/>
              </w:rPr>
              <w:t xml:space="preserve">72 hours</w:t>
            </w:r>
            <w:r>
              <w:rPr>
                <w:b w:val="false"/>
                <w:b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Should not be the first point at which anyone decides whether the incident was PREA. That call is made and written down on the unit.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PREA Coordinator and facility Compliance Manager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DOES NOT EXIST.</w:t>
            </w:r>
            <w:r>
              <w:rPr>
                <w:b w:val="false"/>
                <w:b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Medical and Mental Health</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Victim advocate</w:t>
            </w:r>
            <w:r>
              <w:rPr>
                <w:b w:val="false"/>
                <w:b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Accompanies the youth through the medical examination (PC 264.2) and through investigatory interviews </w:t>
            </w:r>
            <w:r>
              <w:rPr>
                <w:b/>
                <w:bCs/>
                <w:color w:val="1A1A1A"/>
                <w:sz w:val="24"/>
                <w:szCs w:val="24"/>
              </w:rPr>
              <w:t xml:space="preserve">conducted by law enforcement, the district attorney or defense counsel</w:t>
            </w:r>
            <w:r>
              <w:rPr>
                <w:b w:val="false"/>
                <w:b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Retaliation monitor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Watches the reporter, the target and any corroborating witness for at least </w:t>
            </w:r>
            <w:r>
              <w:rPr>
                <w:b/>
                <w:bCs/>
                <w:color w:val="1A1A1A"/>
                <w:sz w:val="24"/>
                <w:szCs w:val="24"/>
              </w:rPr>
              <w:t xml:space="preserve">90 days</w:t>
            </w:r>
            <w:r>
              <w:rPr>
                <w:b w:val="false"/>
                <w:bCs w:val="false"/>
                <w:color w:val="1A1A1A"/>
                <w:sz w:val="24"/>
                <w:szCs w:val="24"/>
              </w:rPr>
              <w:t xml:space="preserve">, with periodic status checks.</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DESIGNATED, and no monitoring period exists in policy.</w:t>
            </w:r>
            <w:r>
              <w:rPr>
                <w:b w:val="false"/>
                <w:b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80" w:line="264"/>
      </w:pPr>
      <w:r>
        <w:rPr>
          <w:b w:val="false"/>
          <w:bCs w:val="false"/>
          <w:color w:val="1A1A1A"/>
        </w:rPr>
        <w:t xml:space="preserve"/>
      </w:r>
      <w:r>
        <w:rPr>
          <w:b/>
          <w:bCs/>
          <w:color w:val="1A1A1A"/>
        </w:rPr>
        <w:t xml:space="preserve">Corrected on 10/29.</w:t>
      </w:r>
      <w:r>
        <w:rPr>
          <w:b w:val="false"/>
          <w:bCs w:val="false"/>
          <w:color w:val="1A1A1A"/>
        </w:rPr>
        <w:t xml:space="preserve"> An earlier version of this matrix told supervisors they do not conduct fact finding and do not interview. </w:t>
      </w:r>
      <w:r>
        <w:rPr>
          <w:b/>
          <w:bCs/>
          <w:color w:val="1A1A1A"/>
        </w:rPr>
        <w:t xml:space="preserve">OO 1453 I.A.6 says otherwise:</w:t>
      </w:r>
      <w:r>
        <w:rPr>
          <w:b w:val="false"/>
          <w:bCs w:val="false"/>
          <w:color w:val="1A1A1A"/>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80" w:line="264"/>
      </w:pPr>
      <w:r>
        <w:rPr>
          <w:b w:val="false"/>
          <w:bCs w:val="false"/>
          <w:color w:val="1A1A1A"/>
        </w:rPr>
        <w:t xml:space="preserve">You classify. You protect. You preserve. </w:t>
      </w:r>
      <w:r>
        <w:rPr>
          <w:b/>
          <w:bCs/>
          <w:color w:val="1A1A1A"/>
        </w:rPr>
        <w:t xml:space="preserve">You take the initial statement from the victim and the suspect, because I.A.6 directs it.</w:t>
      </w:r>
      <w:r>
        <w:rPr>
          <w:b w:val="false"/>
          <w:bCs w:val="false"/>
          <w:color w:val="1A1A1A"/>
        </w:rPr>
        <w:t xml:space="preserve"> You notify. You document. </w:t>
      </w:r>
      <w:r>
        <w:rPr>
          <w:b/>
          <w:bCs/>
          <w:color w:val="1A1A1A"/>
        </w:rPr>
        <w:t xml:space="preserve">Then you stop and hand off.</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What is still on the far side of the line:</w:t>
      </w:r>
      <w:r>
        <w:rPr>
          <w:b w:val="false"/>
          <w:bCs w:val="false"/>
          <w:color w:val="1A1A1A"/>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80" w:line="264"/>
      </w:pPr>
      <w:r>
        <w:rPr>
          <w:b w:val="false"/>
          <w:bCs w:val="false"/>
          <w:color w:val="1A1A1A"/>
        </w:rPr>
        <w:t xml:space="preserve"/>
      </w:r>
      <w:r>
        <w:rPr>
          <w:b/>
          <w:bCs/>
          <w:color w:val="1A1A1A"/>
        </w:rPr>
        <w:t xml:space="preserve">Anonymity is the practical test.</w:t>
      </w:r>
      <w:r>
        <w:rPr>
          <w:b w:val="false"/>
          <w:bCs w:val="false"/>
          <w:color w:val="1A1A1A"/>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URGENT, AND IT IS A LEGAL EXPOSURE ON THE SUPERVISOR PERSONALLY.</w:t>
            </w:r>
            <w:r>
              <w:rPr>
                <w:b w:val="false"/>
                <w:bCs w:val="false"/>
                <w:color w:val="1A1A1A"/>
              </w:rPr>
              <w:t xml:space="preserve"> I.A.6 directs a Miranda warning before questioning a suspect. It says nothing about </w:t>
            </w:r>
            <w:r>
              <w:rPr>
                <w:b/>
                <w:bCs/>
                <w:color w:val="1A1A1A"/>
              </w:rPr>
              <w:t xml:space="preserve">WIC 625.6</w:t>
            </w:r>
            <w:r>
              <w:rPr>
                <w:b w:val="false"/>
                <w:bCs w:val="false"/>
                <w:color w:val="1A1A1A"/>
              </w:rPr>
              <w:t xml:space="preserve">, which since 01/01/2021 requires a youth </w:t>
            </w:r>
            <w:r>
              <w:rPr>
                <w:b/>
                <w:bCs/>
                <w:color w:val="1A1A1A"/>
              </w:rPr>
              <w:t xml:space="preserve">17 or younger</w:t>
            </w:r>
            <w:r>
              <w:rPr>
                <w:b w:val="false"/>
                <w:bCs w:val="false"/>
                <w:color w:val="1A1A1A"/>
              </w:rPr>
              <w:t xml:space="preserve"> to consult legal counsel, in person, by telephone or by video, </w:t>
            </w:r>
            <w:r>
              <w:rPr>
                <w:b/>
                <w:bCs/>
                <w:color w:val="1A1A1A"/>
              </w:rPr>
              <w:t xml:space="preserve">before</w:t>
            </w:r>
            <w:r>
              <w:rPr>
                <w:b w:val="false"/>
                <w:bCs w:val="false"/>
                <w:color w:val="1A1A1A"/>
              </w:rPr>
              <w:t xml:space="preserve"> a custodial interrogation and </w:t>
            </w:r>
            <w:r>
              <w:rPr>
                <w:b/>
                <w:bCs/>
                <w:color w:val="1A1A1A"/>
              </w:rPr>
              <w:t xml:space="preserve">before</w:t>
            </w:r>
            <w:r>
              <w:rPr>
                <w:b w:val="false"/>
                <w:bCs w:val="false"/>
                <w:color w:val="1A1A1A"/>
              </w:rPr>
              <w:t xml:space="preserve"> waiving Miranda, and which provides that the consultation </w:t>
            </w:r>
            <w:r>
              <w:rPr>
                <w:b/>
                <w:bCs/>
                <w:color w:val="1A1A1A"/>
              </w:rPr>
              <w:t xml:space="preserve">may not be waived</w:t>
            </w:r>
            <w:r>
              <w:rPr>
                <w:b w:val="false"/>
                <w:bCs w:val="false"/>
                <w:color w:val="1A1A1A"/>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color w:val="1A1A1A"/>
              </w:rPr>
              <w:t xml:space="preserve">Second, and structural:</w:t>
            </w:r>
            <w:r>
              <w:rPr>
                <w:b w:val="false"/>
                <w:bCs w:val="false"/>
                <w:color w:val="1A1A1A"/>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b w:val="false"/>
          <w:bCs w:val="false"/>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b w:val="false"/>
          <w:bCs w:val="false"/>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b w:val="false"/>
          <w:bCs w:val="false"/>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b w:val="false"/>
          <w:bCs w:val="false"/>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b w:val="false"/>
          <w:bCs w:val="false"/>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b w:val="false"/>
          <w:bCs w:val="false"/>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b w:val="false"/>
          <w:bCs w:val="false"/>
          <w:color w:val="1A1A1A"/>
        </w:rPr>
        <w:t xml:space="preserve">Whether a resident over 18 who carries the OO 1352 </w:t>
      </w:r>
      <w:r>
        <w:rPr>
          <w:b/>
          <w:bCs/>
          <w:color w:val="1A1A1A"/>
        </w:rPr>
        <w:t xml:space="preserve">S-5 Mental Health classification</w:t>
      </w:r>
      <w:r>
        <w:rPr>
          <w:b w:val="false"/>
          <w:bCs w:val="false"/>
          <w:color w:val="1A1A1A"/>
        </w:rPr>
        <w:t xml:space="preserve">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2026-10-30T00:04:26.377Z</dcterms:created>
  <dcterms:modified xsi:type="dcterms:W3CDTF">2026-10-30T00:04:26.378Z</dcterms:modified>
</cp:coreProperties>
</file>

<file path=docProps/custom.xml><?xml version="1.0" encoding="utf-8"?>
<Properties xmlns="http://schemas.openxmlformats.org/officeDocument/2006/custom-properties" xmlns:vt="http://schemas.openxmlformats.org/officeDocument/2006/docPropsVTypes"/>
</file>