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Do not read the bottom row as "no report."</w:t>
            </w:r>
            <w:r>
              <w:rPr>
                <w:b w:val="false"/>
                <w:bCs w:val="false"/>
                <w:color w:val="1A1A1A"/>
              </w:rPr>
              <w:t xml:space="preserve"> Every PREA duty is age-neutral: 115.361(a) staff reporting, 115.371(a) investigation, 115.362 protection and 115.367 retaliation monitoring all apply identically to a 24 year old. And there is an external route, because 15 CCR 1453 requires sexual assaults occurring in the facility to be reported to local law enforcement without regard to age, and OO 1453 I.A.8 implements it. </w:t>
            </w:r>
            <w:r>
              <w:rPr>
                <w:b/>
                <w:bCs/>
                <w:color w:val="1A1A1A"/>
              </w:rPr>
              <w:t xml:space="preserve">But it is not an equivalent substitute, and every difference runs the same way.</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who saw it, and carries departmental consequences only. Threshold up, duty moved off the person who witnessed it, personal exposure gone, all at once. </w:t>
            </w:r>
            <w:r>
              <w:rPr>
                <w:b/>
                <w:bCs/>
                <w:color w:val="1A1A1A"/>
              </w:rPr>
              <w:t xml:space="preserve">And its trigger is sexual assault only</w:t>
            </w:r>
            <w:r>
              <w:rPr>
                <w:b w:val="false"/>
                <w:bCs w:val="false"/>
                <w:color w:val="1A1A1A"/>
              </w:rPr>
              <w:t xml:space="preserve">, so for two adult residents tiers 2, 3 and 4 have no external reporting route at all. They are internal PREA matters. Log them as such, and log them every time, because repetition is what makes tier 2 and the harassment prong work.</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2026-10-06T20:17:20.872Z</dcterms:created>
  <dcterms:modified xsi:type="dcterms:W3CDTF">2026-10-06T20:17:20.872Z</dcterms:modified>
</cp:coreProperties>
</file>

<file path=docProps/custom.xml><?xml version="1.0" encoding="utf-8"?>
<Properties xmlns="http://schemas.openxmlformats.org/officeDocument/2006/custom-properties" xmlns:vt="http://schemas.openxmlformats.org/officeDocument/2006/docPropsVTypes"/>
</file>