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Redlines</w:t>
      </w:r>
    </w:p>
    <w:p>
      <w:pPr>
        <w:spacing w:after="500"/>
        <w:jc w:val="center"/>
      </w:pPr>
      <w:r>
        <w:rPr>
          <w:color w:val="5A5A5A"/>
          <w:sz w:val="28"/>
          <w:szCs w:val="28"/>
        </w:rPr>
        <w:t xml:space="preserve">Recommended changes 1 to 7</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Amendment language for the seven changes correctable without new policy. Drawn from gap register Revision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19"/>
                <w:szCs w:val="19"/>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19"/>
                <w:szCs w:val="19"/>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now verified against both editions and is word for word identical in each, so it did not move. Its neighbours did: the non-discrimination provision went from 1324(h) to 1324(k), which is corrected above. 1352(f) is new in the 2019 edition and is added to the authority line.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115.342(c)-(g)</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V.A.4</w:t>
            </w:r>
          </w:p>
          <w:p>
            <w:pPr>
              <w:spacing w:after="40" w:before="20" w:line="240"/>
            </w:pPr>
            <w:r>
              <w:rPr>
                <w:color w:val="1A1A1A"/>
                <w:sz w:val="19"/>
                <w:szCs w:val="19"/>
              </w:rPr>
              <w:t xml:space="preserve">OO 1453 Sexual Assault (rev. 12/09/2019), I.A.9</w:t>
            </w:r>
          </w:p>
          <w:p>
            <w:pPr>
              <w:spacing w:after="40" w:before="20" w:line="240"/>
            </w:pPr>
            <w:r>
              <w:rPr>
                <w:color w:val="1A1A1A"/>
                <w:sz w:val="19"/>
                <w:szCs w:val="19"/>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115.361(b)</w:t>
            </w:r>
          </w:p>
          <w:p>
            <w:pPr>
              <w:spacing w:after="40" w:before="20" w:line="240"/>
            </w:pPr>
            <w:r>
              <w:rPr>
                <w:color w:val="1A1A1A"/>
                <w:sz w:val="19"/>
                <w:szCs w:val="19"/>
              </w:rPr>
              <w:t xml:space="preserve">Penal Code 11166(a), 11165.9, 11166(i)(1), 11166(j), 11172(a)</w:t>
            </w:r>
          </w:p>
          <w:p>
            <w:pPr>
              <w:spacing w:after="40" w:before="20" w:line="240"/>
            </w:pPr>
            <w:r>
              <w:rPr>
                <w:color w:val="1A1A1A"/>
                <w:sz w:val="19"/>
                <w:szCs w:val="19"/>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115.378(f), good-faith reporting protection, verified</w:t>
            </w:r>
          </w:p>
          <w:p>
            <w:pPr>
              <w:spacing w:after="40" w:before="20" w:line="240"/>
            </w:pPr>
            <w:r>
              <w:rPr>
                <w:color w:val="1A1A1A"/>
                <w:sz w:val="19"/>
                <w:szCs w:val="19"/>
              </w:rPr>
              <w:t xml:space="preserve">28 CFR 115.352(g), discipline only on a demonstrated bad-faith showing</w:t>
            </w:r>
          </w:p>
          <w:p>
            <w:pPr>
              <w:spacing w:after="40" w:before="20" w:line="240"/>
            </w:pPr>
            <w:r>
              <w:rPr>
                <w:color w:val="1A1A1A"/>
                <w:sz w:val="19"/>
                <w:szCs w:val="19"/>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115.341(c)</w:t>
            </w:r>
          </w:p>
          <w:p>
            <w:pPr>
              <w:spacing w:after="40" w:before="20" w:line="240"/>
            </w:pPr>
            <w:r>
              <w:rPr>
                <w:color w:val="1A1A1A"/>
                <w:sz w:val="19"/>
                <w:szCs w:val="19"/>
              </w:rPr>
              <w:t xml:space="preserve">28 CFR 115.342</w:t>
            </w:r>
          </w:p>
          <w:p>
            <w:pPr>
              <w:spacing w:after="40" w:before="20" w:line="240"/>
            </w:pPr>
            <w:r>
              <w:rPr>
                <w:color w:val="1A1A1A"/>
                <w:sz w:val="19"/>
                <w:szCs w:val="19"/>
              </w:rPr>
              <w:t xml:space="preserve">15 CCR 1350.5(a), cited but not confirmed: absent from the produced edition</w:t>
            </w:r>
          </w:p>
          <w:p>
            <w:pPr>
              <w:spacing w:after="40" w:before="20" w:line="240"/>
            </w:pPr>
            <w:r>
              <w:rPr>
                <w:color w:val="1A1A1A"/>
                <w:sz w:val="19"/>
                <w:szCs w:val="19"/>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18"/>
          <w:szCs w:val="18"/>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Internal Affairs Administrative Investigations, XI.C.1</w:t>
            </w:r>
          </w:p>
          <w:p>
            <w:pPr>
              <w:spacing w:after="40" w:before="20" w:line="240"/>
            </w:pPr>
            <w:r>
              <w:rPr>
                <w:color w:val="1A1A1A"/>
                <w:sz w:val="19"/>
                <w:szCs w:val="19"/>
              </w:rPr>
              <w:t xml:space="preserve">PREA Policy and Procedure, Juvenile Institutions, XVIII.B</w:t>
            </w:r>
          </w:p>
          <w:p>
            <w:pPr>
              <w:spacing w:after="40" w:before="20" w:line="240"/>
            </w:pPr>
            <w:r>
              <w:rPr>
                <w:color w:val="1A1A1A"/>
                <w:sz w:val="19"/>
                <w:szCs w:val="19"/>
              </w:rPr>
              <w:t xml:space="preserve">Internal Complaints (Administrative P&amp;P Manual, rev. 10/30/2013), retention provision</w:t>
            </w:r>
          </w:p>
          <w:p>
            <w:pPr>
              <w:spacing w:after="40" w:before="20" w:line="240"/>
            </w:pPr>
            <w:r>
              <w:rPr>
                <w:color w:val="1A1A1A"/>
                <w:sz w:val="19"/>
                <w:szCs w:val="19"/>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115.371(j)</w:t>
            </w:r>
          </w:p>
          <w:p>
            <w:pPr>
              <w:spacing w:after="40" w:before="20" w:line="240"/>
            </w:pPr>
            <w:r>
              <w:rPr>
                <w:color w:val="1A1A1A"/>
                <w:sz w:val="19"/>
                <w:szCs w:val="19"/>
              </w:rPr>
              <w:t xml:space="preserve">28 CFR 115.389(c), ten-year data retention</w:t>
            </w:r>
          </w:p>
          <w:p>
            <w:pPr>
              <w:spacing w:after="40" w:before="20" w:line="240"/>
            </w:pPr>
            <w:r>
              <w:rPr>
                <w:color w:val="1A1A1A"/>
                <w:sz w:val="19"/>
                <w:szCs w:val="19"/>
              </w:rPr>
              <w:t xml:space="preserve">Code of Civil Procedure 340.1 as amended by AB 452</w:t>
            </w:r>
          </w:p>
          <w:p>
            <w:pPr>
              <w:spacing w:after="40" w:before="20" w:line="240"/>
            </w:pPr>
            <w:r>
              <w:rPr>
                <w:color w:val="1A1A1A"/>
                <w:sz w:val="19"/>
                <w:szCs w:val="19"/>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Redlines, Recommended changes 1 to 7. YDF, register Revision 6.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2026-09-29T19:43:40.479Z</dcterms:created>
  <dcterms:modified xsi:type="dcterms:W3CDTF">2026-09-29T19:43:40.480Z</dcterms:modified>
</cp:coreProperties>
</file>

<file path=docProps/custom.xml><?xml version="1.0" encoding="utf-8"?>
<Properties xmlns="http://schemas.openxmlformats.org/officeDocument/2006/custom-properties" xmlns:vt="http://schemas.openxmlformats.org/officeDocument/2006/docPropsVTypes"/>
</file>