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PREA versus Policy</w:t>
      </w:r>
    </w:p>
    <w:p>
      <w:pPr>
        <w:spacing w:after="500"/>
        <w:jc w:val="center"/>
      </w:pPr>
      <w:r>
        <w:rPr>
          <w:color w:val="5A5A5A"/>
          <w:sz w:val="28"/>
          <w:szCs w:val="28"/>
        </w:rPr>
        <w:t xml:space="preserve">A standard-by-standard crosswalk</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Gap register Revision 6. 83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Sixteen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40</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48%</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bCs/>
                <w:color w:val="1A1A1A"/>
                <w:sz w:val="19"/>
                <w:szCs w:val="19"/>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19"/>
                <w:szCs w:val="19"/>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19"/>
          <w:szCs w:val="19"/>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19"/>
          <w:szCs w:val="19"/>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19"/>
          <w:szCs w:val="19"/>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19"/>
          <w:szCs w:val="19"/>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19"/>
          <w:szCs w:val="19"/>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19"/>
          <w:szCs w:val="19"/>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19"/>
          <w:szCs w:val="19"/>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19"/>
          <w:szCs w:val="19"/>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19"/>
          <w:szCs w:val="19"/>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19"/>
          <w:szCs w:val="19"/>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19"/>
          <w:szCs w:val="19"/>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19"/>
          <w:szCs w:val="19"/>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19"/>
          <w:szCs w:val="19"/>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w:t>
      </w:r>
    </w:p>
    <w:p>
      <w:pPr>
        <w:spacing w:after="240" w:line="260"/>
      </w:pPr>
      <w:r>
        <w:rPr>
          <w:i/>
          <w:iCs/>
          <w:color w:val="5A5A5A"/>
          <w:sz w:val="19"/>
          <w:szCs w:val="19"/>
        </w:rPr>
        <w:t xml:space="preserve">Change log: VERIFIED in 5: 15 CCR 1321(h)(1)(A)-(B) and 1301 confirmed against source; 1321(h)(1)(E) staff-exclusion rule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w:t>
      </w:r>
    </w:p>
    <w:p>
      <w:pPr>
        <w:spacing w:after="240" w:line="260"/>
      </w:pPr>
      <w:r>
        <w:rPr>
          <w:i/>
          <w:iCs/>
          <w:color w:val="5A5A5A"/>
          <w:sz w:val="19"/>
          <w:szCs w:val="19"/>
        </w:rPr>
        <w:t xml:space="preserve">Change log: VERIFIED in 5: 15 CCR 1321(a) and (h) confirmed against source. REVISED in 6: the eleven 115.313(a) factors enumerated, with the factor 10, 4, and 5 problems named.</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19"/>
          <w:szCs w:val="19"/>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19"/>
          <w:szCs w:val="19"/>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19"/>
          <w:szCs w:val="19"/>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19"/>
          <w:szCs w:val="19"/>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19"/>
          <w:szCs w:val="19"/>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w:t>
      </w:r>
    </w:p>
    <w:p>
      <w:pPr>
        <w:spacing w:after="240" w:line="260"/>
      </w:pPr>
      <w:r>
        <w:rPr>
          <w:i/>
          <w:iCs/>
          <w:color w:val="5A5A5A"/>
          <w:sz w:val="19"/>
          <w:szCs w:val="19"/>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w:t>
      </w:r>
    </w:p>
    <w:p>
      <w:pPr>
        <w:spacing w:after="240" w:line="260"/>
      </w:pPr>
      <w:r>
        <w:rPr>
          <w:i/>
          <w:iCs/>
          <w:color w:val="5A5A5A"/>
          <w:sz w:val="19"/>
          <w:szCs w:val="19"/>
        </w:rPr>
        <w:t xml:space="preserve">Change log: VERIFIED in 5: 15 CCR 1452 and 1453 confirmed against source.</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19"/>
          <w:szCs w:val="19"/>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19"/>
          <w:szCs w:val="19"/>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19"/>
          <w:szCs w:val="19"/>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19"/>
          <w:szCs w:val="19"/>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19"/>
          <w:szCs w:val="19"/>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19"/>
          <w:szCs w:val="19"/>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19"/>
          <w:szCs w:val="19"/>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w:t>
      </w:r>
    </w:p>
    <w:p>
      <w:pPr>
        <w:spacing w:after="240" w:line="260"/>
      </w:pPr>
      <w:r>
        <w:rPr>
          <w:i/>
          <w:iCs/>
          <w:color w:val="5A5A5A"/>
          <w:sz w:val="19"/>
          <w:szCs w:val="19"/>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w:t>
      </w:r>
    </w:p>
    <w:p>
      <w:pPr>
        <w:spacing w:after="240" w:line="260"/>
      </w:pPr>
      <w:r>
        <w:rPr>
          <w:i/>
          <w:iCs/>
          <w:color w:val="5A5A5A"/>
          <w:sz w:val="19"/>
          <w:szCs w:val="19"/>
        </w:rPr>
        <w:t xml:space="preserve">Change log: NEW in revision 2, from OO 1352. FLAGGED in 5: 15 CCR 1350.5 not confirmed; absent from the produced edition. REVISED in 6: 1350.5 confirmed and quoted. 1352(f) added as adjacent state authority against status-based abusiveness inference.</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19"/>
          <w:szCs w:val="19"/>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19"/>
          <w:szCs w:val="19"/>
        </w:rPr>
        <w:t xml:space="preserve">Change log: REVISED: OO 1352 V classification review cycle credited; gap narrowed and sharpened. FLAGGED in 5: 15 CCR 1350.5 not confirmed; absent from the produced edition. REVISED in 6: 1350.5 confirmed against the 2019 edition and quoted.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w:t>
      </w:r>
    </w:p>
    <w:p>
      <w:pPr>
        <w:spacing w:after="240" w:line="260"/>
      </w:pPr>
      <w:r>
        <w:rPr>
          <w:i/>
          <w:iCs/>
          <w:color w:val="5A5A5A"/>
          <w:sz w:val="19"/>
          <w:szCs w:val="19"/>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19"/>
          <w:szCs w:val="19"/>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19"/>
          <w:szCs w:val="19"/>
        </w:rPr>
        <w:t xml:space="preserve">Change log: MATERIALLY REVISED: was Partial / High. OO 1352 states the standard nearly verbatim.</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19"/>
          <w:szCs w:val="19"/>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19"/>
          <w:szCs w:val="19"/>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19"/>
          <w:szCs w:val="19"/>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19"/>
          <w:szCs w:val="19"/>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19"/>
          <w:szCs w:val="19"/>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19"/>
          <w:szCs w:val="19"/>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19"/>
          <w:szCs w:val="19"/>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19"/>
          <w:szCs w:val="19"/>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19"/>
          <w:szCs w:val="19"/>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19"/>
          <w:szCs w:val="19"/>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19"/>
          <w:szCs w:val="19"/>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19"/>
          <w:szCs w:val="19"/>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19"/>
          <w:szCs w:val="19"/>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19"/>
          <w:szCs w:val="19"/>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w:t>
      </w:r>
    </w:p>
    <w:p>
      <w:pPr>
        <w:spacing w:after="240" w:line="260"/>
      </w:pPr>
      <w:r>
        <w:rPr>
          <w:i/>
          <w:iCs/>
          <w:color w:val="5A5A5A"/>
          <w:sz w:val="19"/>
          <w:szCs w:val="19"/>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19"/>
          <w:szCs w:val="19"/>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19"/>
          <w:szCs w:val="19"/>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19"/>
          <w:szCs w:val="19"/>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19"/>
          <w:szCs w:val="19"/>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19"/>
          <w:szCs w:val="19"/>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1390 is confirmed as cited: least restrictive level, no corporal or group punishment or degradation, and a ten-item deprivation floor at (a) to (j). OO 1390/1391 I.A exceeds that floor by adding rehabilitative programming as an eleventh item, which is worth preserving in any amendment.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THIS ENUMERATION IS INCOMPLETE and must not be quoted as the full list. The text extraction that produced it was truncated inside item (5), so any further items are unseen. Revision 5's reading of the 2014 predecessor recorded an administrative review element, which does not appear among the five above, and OO 1390/1391 IV supplies both an interpreter where needed and administrative review by the Assistant Division Chief, so at least one and probably two further elements exist. Obtain the full subsection before quoting the list.</w:t>
      </w:r>
    </w:p>
    <w:p>
      <w:pPr>
        <w:spacing w:after="240" w:line="260"/>
      </w:pPr>
      <w:r>
        <w:rPr>
          <w:i/>
          <w:iCs/>
          <w:color w:val="5A5A5A"/>
          <w:sz w:val="19"/>
          <w:szCs w:val="19"/>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19"/>
          <w:szCs w:val="19"/>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w:t>
      </w:r>
    </w:p>
    <w:p>
      <w:pPr>
        <w:spacing w:after="240" w:line="260"/>
      </w:pPr>
      <w:r>
        <w:rPr>
          <w:i/>
          <w:iCs/>
          <w:color w:val="5A5A5A"/>
          <w:sz w:val="19"/>
          <w:szCs w:val="19"/>
        </w:rPr>
        <w:t xml:space="preserve">Change log: VERIFIED in 5: 15 CCR 1453 confirmed against source.</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19"/>
          <w:szCs w:val="19"/>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19"/>
          <w:szCs w:val="19"/>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19"/>
          <w:szCs w:val="19"/>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19"/>
          <w:szCs w:val="19"/>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19"/>
          <w:szCs w:val="19"/>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19"/>
          <w:szCs w:val="19"/>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19"/>
          <w:szCs w:val="19"/>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19"/>
          <w:szCs w:val="19"/>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19"/>
          <w:szCs w:val="19"/>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19"/>
          <w:szCs w:val="19"/>
        </w:rPr>
        <w:t xml:space="preserve">All rows: 5, 6.</w:t>
      </w:r>
    </w:p>
    <w:p>
      <w:pPr>
        <w:pStyle w:val="Heading2"/>
        <w:keepNext/>
      </w:pPr>
      <w:r>
        <w:t xml:space="preserve">OO 1322 Training and Staff Development</w:t>
      </w:r>
    </w:p>
    <w:p>
      <w:pPr>
        <w:keepNext/>
        <w:spacing w:after="120"/>
      </w:pPr>
      <w:r>
        <w:rPr>
          <w:i/>
          <w:iCs/>
          <w:color w:val="5A5A5A"/>
          <w:sz w:val="19"/>
          <w:szCs w:val="19"/>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20, 22.</w:t>
      </w:r>
    </w:p>
    <w:p>
      <w:pPr>
        <w:pStyle w:val="Heading2"/>
        <w:keepNext/>
      </w:pPr>
      <w:r>
        <w:t xml:space="preserve">OO 1350.5 Screening for the Risk of Sexual Abuse</w:t>
      </w:r>
    </w:p>
    <w:p>
      <w:pPr>
        <w:keepNext/>
        <w:spacing w:after="120"/>
      </w:pPr>
      <w:r>
        <w:rPr>
          <w:i/>
          <w:iCs/>
          <w:color w:val="5A5A5A"/>
          <w:sz w:val="19"/>
          <w:szCs w:val="19"/>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31, 33, 66.</w:t>
      </w:r>
    </w:p>
    <w:p>
      <w:pPr>
        <w:pStyle w:val="Heading2"/>
        <w:keepNext/>
      </w:pPr>
      <w:r>
        <w:t xml:space="preserve">OO 1352 Classification</w:t>
      </w:r>
    </w:p>
    <w:p>
      <w:pPr>
        <w:keepNext/>
        <w:spacing w:after="120"/>
      </w:pPr>
      <w:r>
        <w:rPr>
          <w:i/>
          <w:iCs/>
          <w:color w:val="5A5A5A"/>
          <w:sz w:val="19"/>
          <w:szCs w:val="19"/>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19"/>
          <w:szCs w:val="19"/>
        </w:rPr>
        <w:t xml:space="preserve">All rows: 31, 32, 34, 35, 36, 78, 80, 82, 83.</w:t>
      </w:r>
    </w:p>
    <w:p>
      <w:pPr>
        <w:pStyle w:val="Heading2"/>
        <w:keepNext/>
      </w:pPr>
      <w:r>
        <w:t xml:space="preserve">OO 1352.5 Transgender and Intersex Youth</w:t>
      </w:r>
    </w:p>
    <w:p>
      <w:pPr>
        <w:keepNext/>
        <w:spacing w:after="120"/>
      </w:pPr>
      <w:r>
        <w:rPr>
          <w:i/>
          <w:iCs/>
          <w:color w:val="5A5A5A"/>
          <w:sz w:val="19"/>
          <w:szCs w:val="19"/>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19"/>
          <w:szCs w:val="19"/>
        </w:rPr>
        <w:t xml:space="preserve">All rows: 11, 36, 37, 75.</w:t>
      </w:r>
    </w:p>
    <w:p>
      <w:pPr>
        <w:pStyle w:val="Heading2"/>
        <w:keepNext/>
      </w:pPr>
      <w:r>
        <w:t xml:space="preserve">OO 1360 Searches</w:t>
      </w:r>
    </w:p>
    <w:p>
      <w:pPr>
        <w:keepNext/>
        <w:spacing w:after="120"/>
      </w:pPr>
      <w:r>
        <w:rPr>
          <w:i/>
          <w:iCs/>
          <w:color w:val="5A5A5A"/>
          <w:sz w:val="19"/>
          <w:szCs w:val="19"/>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19"/>
          <w:szCs w:val="19"/>
        </w:rPr>
        <w:t xml:space="preserve">All rows: 9, 10.</w:t>
      </w:r>
    </w:p>
    <w:p>
      <w:pPr>
        <w:pStyle w:val="Heading2"/>
        <w:keepNext/>
      </w:pPr>
      <w:r>
        <w:t xml:space="preserve">OO 1361 Grievances</w:t>
      </w:r>
    </w:p>
    <w:p>
      <w:pPr>
        <w:keepNext/>
        <w:spacing w:after="120"/>
      </w:pPr>
      <w:r>
        <w:rPr>
          <w:i/>
          <w:iCs/>
          <w:color w:val="5A5A5A"/>
          <w:sz w:val="19"/>
          <w:szCs w:val="19"/>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19"/>
          <w:szCs w:val="19"/>
        </w:rPr>
        <w:t xml:space="preserve">All rows: 38, 39, 40, 42, 43, 44, 70, 74.</w:t>
      </w:r>
    </w:p>
    <w:p>
      <w:pPr>
        <w:pStyle w:val="Heading2"/>
        <w:keepNext/>
      </w:pPr>
      <w:r>
        <w:t xml:space="preserve">OO 1362 Reporting of Incidents</w:t>
      </w:r>
    </w:p>
    <w:p>
      <w:pPr>
        <w:keepNext/>
        <w:spacing w:after="120"/>
      </w:pPr>
      <w:r>
        <w:rPr>
          <w:i/>
          <w:iCs/>
          <w:color w:val="5A5A5A"/>
          <w:sz w:val="19"/>
          <w:szCs w:val="19"/>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 70, 76.</w:t>
      </w:r>
    </w:p>
    <w:p>
      <w:pPr>
        <w:pStyle w:val="Heading2"/>
        <w:keepNext/>
      </w:pPr>
      <w:r>
        <w:t xml:space="preserve">OO 1453 Sexual Assault</w:t>
      </w:r>
    </w:p>
    <w:p>
      <w:pPr>
        <w:keepNext/>
        <w:spacing w:after="120"/>
      </w:pPr>
      <w:r>
        <w:rPr>
          <w:i/>
          <w:iCs/>
          <w:color w:val="5A5A5A"/>
          <w:sz w:val="19"/>
          <w:szCs w:val="19"/>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19"/>
          <w:szCs w:val="19"/>
        </w:rPr>
        <w:t xml:space="preserve">All rows: 2, 16, 18, 19, 48, 53, 54, 69.</w:t>
      </w:r>
    </w:p>
    <w:p>
      <w:pPr>
        <w:pStyle w:val="Heading2"/>
        <w:keepNext/>
      </w:pPr>
      <w:r>
        <w:t xml:space="preserve">Internal Affairs Administrative Investigations</w:t>
      </w:r>
    </w:p>
    <w:p>
      <w:pPr>
        <w:keepNext/>
        <w:spacing w:after="120"/>
      </w:pPr>
      <w:r>
        <w:rPr>
          <w:i/>
          <w:iCs/>
          <w:color w:val="5A5A5A"/>
          <w:sz w:val="19"/>
          <w:szCs w:val="19"/>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19"/>
          <w:szCs w:val="19"/>
        </w:rPr>
        <w:t xml:space="preserve">All rows: 29, 58, 59, 60, 61, 62, 74, 81.</w:t>
      </w:r>
    </w:p>
    <w:p>
      <w:pPr>
        <w:pStyle w:val="Heading2"/>
        <w:keepNext/>
      </w:pPr>
      <w:r>
        <w:t xml:space="preserve">Code of Conduct, Non-Sworn and Non-County Personnel</w:t>
      </w:r>
    </w:p>
    <w:p>
      <w:pPr>
        <w:keepNext/>
        <w:spacing w:after="120"/>
      </w:pPr>
      <w:r>
        <w:rPr>
          <w:i/>
          <w:iCs/>
          <w:color w:val="5A5A5A"/>
          <w:sz w:val="19"/>
          <w:szCs w:val="19"/>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19"/>
          <w:szCs w:val="19"/>
        </w:rPr>
        <w:t xml:space="preserve">All rows: 24, 48, 63.</w:t>
      </w:r>
    </w:p>
    <w:p>
      <w:pPr>
        <w:pStyle w:val="Heading2"/>
        <w:keepNext/>
      </w:pPr>
      <w:r>
        <w:t xml:space="preserve">Detention and Intake Responsibility (J-3.4)</w:t>
      </w:r>
    </w:p>
    <w:p>
      <w:pPr>
        <w:keepNext/>
        <w:spacing w:after="120"/>
      </w:pPr>
      <w:r>
        <w:rPr>
          <w:i/>
          <w:iCs/>
          <w:color w:val="5A5A5A"/>
          <w:sz w:val="19"/>
          <w:szCs w:val="19"/>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19"/>
          <w:szCs w:val="19"/>
        </w:rPr>
        <w:t xml:space="preserve">All rows: 79.</w:t>
      </w:r>
    </w:p>
    <w:p>
      <w:pPr>
        <w:pStyle w:val="Heading2"/>
        <w:keepNext/>
      </w:pPr>
      <w:r>
        <w:t xml:space="preserve">General Order, Mandatory Reporting: Dependent Adult and Elder Abuse</w:t>
      </w:r>
    </w:p>
    <w:p>
      <w:pPr>
        <w:keepNext/>
        <w:spacing w:after="120"/>
      </w:pPr>
      <w:r>
        <w:rPr>
          <w:i/>
          <w:iCs/>
          <w:color w:val="5A5A5A"/>
          <w:sz w:val="19"/>
          <w:szCs w:val="19"/>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77.</w:t>
      </w:r>
    </w:p>
    <w:p>
      <w:pPr>
        <w:pStyle w:val="Heading2"/>
        <w:keepNext/>
      </w:pPr>
      <w:r>
        <w:t xml:space="preserve">OO 1354.5 Room Confinement</w:t>
      </w:r>
    </w:p>
    <w:p>
      <w:pPr>
        <w:keepNext/>
        <w:spacing w:after="120"/>
      </w:pPr>
      <w:r>
        <w:rPr>
          <w:i/>
          <w:iCs/>
          <w:color w:val="5A5A5A"/>
          <w:sz w:val="19"/>
          <w:szCs w:val="19"/>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35, 57.</w:t>
      </w:r>
    </w:p>
    <w:p>
      <w:pPr>
        <w:pStyle w:val="Heading2"/>
        <w:keepNext/>
      </w:pPr>
      <w:r>
        <w:t xml:space="preserve">OO 1390/1391 Discipline and Discipline Process</w:t>
      </w:r>
    </w:p>
    <w:p>
      <w:pPr>
        <w:keepNext/>
        <w:spacing w:after="120"/>
      </w:pPr>
      <w:r>
        <w:rPr>
          <w:i/>
          <w:iCs/>
          <w:color w:val="5A5A5A"/>
          <w:sz w:val="19"/>
          <w:szCs w:val="19"/>
        </w:rPr>
        <w:t xml:space="preserve">eff 10/01/2013, rev 05/01/2020.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w:t>
      </w:r>
    </w:p>
    <w:p>
      <w:pPr>
        <w:pStyle w:val="Heading2"/>
        <w:keepNext/>
      </w:pPr>
      <w:r>
        <w:t xml:space="preserve">Internal Complaints (Administrative P&amp;P Manual)</w:t>
      </w:r>
    </w:p>
    <w:p>
      <w:pPr>
        <w:keepNext/>
        <w:spacing w:after="120"/>
      </w:pPr>
      <w:r>
        <w:rPr>
          <w:i/>
          <w:iCs/>
          <w:color w:val="5A5A5A"/>
          <w:sz w:val="19"/>
          <w:szCs w:val="19"/>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19"/>
          <w:szCs w:val="19"/>
        </w:rPr>
        <w:t xml:space="preserve">All rows: 38, 41, 42, 47, 56, 58, 59, 61, 62.</w:t>
      </w:r>
    </w:p>
    <w:p>
      <w:pPr>
        <w:pStyle w:val="Heading2"/>
      </w:pPr>
      <w:r>
        <w:t xml:space="preserve">No departmental document identified</w:t>
      </w:r>
    </w:p>
    <w:p>
      <w:pPr>
        <w:spacing w:after="120" w:line="276"/>
      </w:pPr>
      <w:r>
        <w:rPr>
          <w:color w:val="1A1A1A"/>
        </w:rPr>
        <w:t xml:space="preserve">12 requirements cite none of the 17 documents reviewed. Ten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19"/>
                <w:szCs w:val="19"/>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19"/>
                <w:szCs w:val="19"/>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PREA versus Policy crosswalk. YDF, register Revision 6.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6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6</dc:description>
  <cp:lastModifiedBy>Un-named</cp:lastModifiedBy>
  <cp:revision>1</cp:revision>
  <dcterms:created xsi:type="dcterms:W3CDTF">2026-09-29T19:43:39.821Z</dcterms:created>
  <dcterms:modified xsi:type="dcterms:W3CDTF">2026-09-29T19:43:39.821Z</dcterms:modified>
</cp:coreProperties>
</file>

<file path=docProps/custom.xml><?xml version="1.0" encoding="utf-8"?>
<Properties xmlns="http://schemas.openxmlformats.org/officeDocument/2006/custom-properties" xmlns:vt="http://schemas.openxmlformats.org/officeDocument/2006/docPropsVTypes"/>
</file>