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A1A1A"/>
          <w:sz w:val="40"/>
          <w:szCs w:val="40"/>
        </w:rPr>
        <w:t xml:space="preserve">Youth sexual conduct: what supervisors must do</w:t>
      </w:r>
    </w:p>
    <w:p>
      <w:pPr>
        <w:spacing w:after="420"/>
        <w:jc w:val="center"/>
      </w:pPr>
      <w:r>
        <w:rPr>
          <w:color w:val="5A5A5A"/>
          <w:sz w:val="26"/>
          <w:szCs w:val="26"/>
        </w:rPr>
        <w:t xml:space="preserve">A decision guide for comments, exposure, and touching between youth</w:t>
      </w:r>
    </w:p>
    <w:p>
      <w:pPr>
        <w:spacing w:after="60"/>
        <w:jc w:val="center"/>
      </w:pPr>
      <w:r>
        <w:rPr>
          <w:color w:val="1A1A1A"/>
          <w:sz w:val="24"/>
          <w:szCs w:val="24"/>
        </w:rPr>
        <w:t xml:space="preserve">Sacramento County Probation Department</w:t>
      </w:r>
    </w:p>
    <w:p>
      <w:pPr>
        <w:spacing w:after="400"/>
        <w:jc w:val="center"/>
      </w:pPr>
      <w:r>
        <w:rPr>
          <w:color w:val="1A1A1A"/>
          <w:sz w:val="24"/>
          <w:szCs w:val="24"/>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80" w:before="80" w:line="260"/>
              <w:jc w:val="center"/>
            </w:pPr>
            <w:r>
              <w:rPr>
                <w:b/>
                <w:bCs/>
                <w:color w:val="1A1A1A"/>
                <w:sz w:val="22"/>
                <w:szCs w:val="22"/>
              </w:rPr>
              <w:t xml:space="preserve">DRAFT FOR COUNTY COUNSEL REVIEW. Not for issuance to supervisors until the CANRA column is confirmed.</w:t>
            </w:r>
          </w:p>
        </w:tc>
      </w:tr>
    </w:tbl>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0"/>
                <w:szCs w:val="20"/>
              </w:rPr>
              <w:t xml:space="preserve">This is not legal advice. </w:t>
            </w:r>
            <w:r>
              <w:rPr>
                <w:color w:val="1A1A1A"/>
                <w:sz w:val="20"/>
                <w:szCs w:val="20"/>
              </w:rPr>
              <w:t xml:space="preserve">It is a policy and standards analysis prepared for internal use. The CANRA determinations in particular route to County Counsel before this issues to anyone.</w:t>
            </w:r>
          </w:p>
        </w:tc>
      </w:tr>
    </w:tbl>
    <w:p>
      <w:r>
        <w:br w:type="page"/>
      </w:r>
    </w:p>
    <w:p>
      <w:pPr>
        <w:pStyle w:val="Heading1"/>
      </w:pPr>
      <w:r>
        <w:t xml:space="preserve">Citation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due process provision for major rule violations is cited here as 15 CCR 1391(f), its numbering in the edition effective 01/01/2019. Revision 6 has now brought the gap register and CLAUDE.md into line with that numbering, so this guide and the register agree. Two further citations were corrected in the same pass: 15 CCR 1324(h) is 1324(k), and 34 U.S.C. 30307(e)(2) is 30307(c)(2). Neither is used in this guide.</w:t>
            </w:r>
          </w:p>
        </w:tc>
      </w:tr>
    </w:tbl>
    <w:p>
      <w:r>
        <w:br w:type="page"/>
      </w:r>
    </w:p>
    <w:p>
      <w:pPr>
        <w:pStyle w:val="Heading1"/>
        <w:spacing w:after="2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Why this exists</w:t>
      </w:r>
    </w:p>
    <w:p>
      <w:pPr>
        <w:spacing w:after="120" w:line="276"/>
      </w:pPr>
      <w:r>
        <w:rPr>
          <w:color w:val="1A1A1A"/>
        </w:rPr>
        <w:t xml:space="preserve">Staff are getting one-off sexualized comments between youth and do not know whether they have a PREA incident, a CPS report, a rule violation, or none of those. The uncertainty is not a training failure. It is the predictable result of two different legal tests with different thresholds, applied to the same incident, where the department's own documents misstate one of them. This guide separates the tests.</w:t>
      </w:r>
    </w:p>
    <w:p>
      <w:pPr>
        <w:pStyle w:val="Heading1"/>
      </w:pPr>
      <w:r>
        <w:t xml:space="preserve">Four rules that apply to every incident</w:t>
      </w:r>
    </w:p>
    <w:p>
      <w:pPr>
        <w:pStyle w:val="Heading2"/>
      </w:pPr>
      <w:r>
        <w:t xml:space="preserve">1. Run two separate tests. Never let one answer the other.</w:t>
      </w:r>
    </w:p>
    <w:p>
      <w:pPr>
        <w:spacing w:after="120" w:line="276"/>
      </w:pPr>
      <w:r>
        <w:rPr>
          <w:color w:val="1A1A1A"/>
        </w:rPr>
        <w:t xml:space="preserve">The PREA test asks what category the conduct falls in under 28 CFR 115.6. The CANRA test asks whether a mandated reporter has reasonable suspicion that a child has been the victim of child abuse under Penal Code 11165.1. They have different thresholds and they cross. Conduct can be PREA sexual abuse and not CPS reportable. Conduct can be CPS reportable and not fit PREA sexual harassment. Answering one does not answer the other.</w:t>
      </w:r>
    </w:p>
    <w:p>
      <w:pPr>
        <w:pStyle w:val="Heading2"/>
      </w:pPr>
      <w:r>
        <w:t xml:space="preserve">2. Line staff report. They do not classify.</w:t>
      </w:r>
    </w:p>
    <w:p>
      <w:pPr>
        <w:spacing w:after="120" w:line="276"/>
      </w:pPr>
      <w:r>
        <w:rPr>
          <w:color w:val="1A1A1A"/>
        </w:rPr>
        <w:t xml:space="preserve">28 CFR 115.361(a) requires staff to report any knowledge, suspicion, or information regarding an incident of sexual abuse or sexual harassment. Nothing in it asks the reporting employee to decide which one it is. An officer who has to run a legal test before speaking up is an officer who will stay quiet. Classification is the supervisor's job, after the report.</w:t>
      </w:r>
    </w:p>
    <w:p>
      <w:pPr>
        <w:pStyle w:val="Heading2"/>
      </w:pPr>
      <w:r>
        <w:t xml:space="preserve">3. The CANRA duty is individual and cannot be delegated.</w:t>
      </w:r>
    </w:p>
    <w:p>
      <w:pPr>
        <w:spacing w:after="120" w:line="276"/>
      </w:pPr>
      <w:r>
        <w:rPr>
          <w:color w:val="1A1A1A"/>
        </w:rPr>
        <w:t xml:space="preserve">Penal Code 11166(i)(1) makes the mandated reporter duty personal, bars any supervisor from impeding or inhibiting a report, and prohibits sanctions for reporting. Telling the Duty Supervisor does not discharge an employee's own duty. If the employee who heard it forms a reasonable suspicion, that employee reports, and this guide does not override that.</w:t>
      </w:r>
    </w:p>
    <w:p>
      <w:pPr>
        <w:pStyle w:val="Heading2"/>
      </w:pPr>
      <w:r>
        <w:t xml:space="preserve">4. Document every time, including the times you decide it is nothing.</w:t>
      </w:r>
    </w:p>
    <w:p>
      <w:pPr>
        <w:spacing w:after="120" w:line="276"/>
      </w:pPr>
      <w:r>
        <w:rPr>
          <w:color w:val="1A1A1A"/>
        </w:rPr>
        <w:t xml:space="preserve">PREA sexual harassment requires conduct that is repeated. Repetition only exists if the first incident was written down. A facility that logs only what it is already sure is PREA can never build the record that establishes a pattern, and will under-report itself into an audit finding. Write down the words used verbatim and the target youth's response verbatim.</w:t>
      </w:r>
    </w:p>
    <w:p>
      <w:pPr>
        <w:pStyle w:val="Heading1"/>
      </w:pPr>
      <w:r>
        <w:t xml:space="preserve">The tiers at a glance</w:t>
      </w:r>
    </w:p>
    <w:p>
      <w:pPr>
        <w:spacing w:after="120" w:line="276"/>
      </w:pPr>
      <w:r>
        <w:rPr>
          <w:color w:val="1A1A1A"/>
        </w:rPr>
        <w:t xml:space="preserve">Find the conduct, then read the full tier. The two right columns are different tests and they do not track each other.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60"/>
        <w:gridCol w:w="4200"/>
        <w:gridCol w:w="2560"/>
        <w:gridCol w:w="2560"/>
      </w:tblGrid>
      <w:tr>
        <w:trPr>
          <w:tblHeader/>
        </w:trPr>
        <w:tc>
          <w:tcPr>
            <w:tcW w:type="dxa" w:w="760"/>
            <w:shd w:fill="E8E8E8" w:color="auto" w:val="clear"/>
            <w:tcMar>
              <w:top w:type="dxa" w:w="60"/>
              <w:left w:type="dxa" w:w="100"/>
              <w:bottom w:type="dxa" w:w="60"/>
              <w:right w:type="dxa" w:w="100"/>
            </w:tcMar>
          </w:tcPr>
          <w:p>
            <w:pPr>
              <w:spacing w:after="40" w:before="40" w:line="240"/>
            </w:pPr>
            <w:r>
              <w:rPr>
                <w:b/>
                <w:bCs/>
                <w:color w:val="1A1A1A"/>
                <w:sz w:val="19"/>
                <w:szCs w:val="19"/>
              </w:rPr>
              <w:t xml:space="preserve">Tier</w:t>
            </w:r>
          </w:p>
        </w:tc>
        <w:tc>
          <w:tcPr>
            <w:tcW w:type="dxa" w:w="4200"/>
            <w:shd w:fill="E8E8E8" w:color="auto" w:val="clear"/>
            <w:tcMar>
              <w:top w:type="dxa" w:w="60"/>
              <w:left w:type="dxa" w:w="100"/>
              <w:bottom w:type="dxa" w:w="60"/>
              <w:right w:type="dxa" w:w="100"/>
            </w:tcMar>
          </w:tcPr>
          <w:p>
            <w:pPr>
              <w:spacing w:after="40" w:before="40" w:line="240"/>
            </w:pPr>
            <w:r>
              <w:rPr>
                <w:b/>
                <w:bCs/>
                <w:color w:val="1A1A1A"/>
                <w:sz w:val="19"/>
                <w:szCs w:val="19"/>
              </w:rPr>
              <w:t xml:space="preserve">Conduct</w:t>
            </w:r>
          </w:p>
        </w:tc>
        <w:tc>
          <w:tcPr>
            <w:tcW w:type="dxa" w:w="2560"/>
            <w:shd w:fill="E8E8E8" w:color="auto" w:val="clear"/>
            <w:tcMar>
              <w:top w:type="dxa" w:w="60"/>
              <w:left w:type="dxa" w:w="100"/>
              <w:bottom w:type="dxa" w:w="60"/>
              <w:right w:type="dxa" w:w="100"/>
            </w:tcMar>
          </w:tcPr>
          <w:p>
            <w:pPr>
              <w:spacing w:after="40" w:before="40" w:line="240"/>
            </w:pPr>
            <w:r>
              <w:rPr>
                <w:b/>
                <w:bCs/>
                <w:color w:val="1A1A1A"/>
                <w:sz w:val="19"/>
                <w:szCs w:val="19"/>
              </w:rPr>
              <w:t xml:space="preserve">PREA</w:t>
            </w:r>
          </w:p>
        </w:tc>
        <w:tc>
          <w:tcPr>
            <w:tcW w:type="dxa" w:w="2560"/>
            <w:shd w:fill="E8E8E8" w:color="auto" w:val="clear"/>
            <w:tcMar>
              <w:top w:type="dxa" w:w="60"/>
              <w:left w:type="dxa" w:w="100"/>
              <w:bottom w:type="dxa" w:w="60"/>
              <w:right w:type="dxa" w:w="100"/>
            </w:tcMar>
          </w:tcPr>
          <w:p>
            <w:pPr>
              <w:spacing w:after="40" w:before="40" w:line="240"/>
            </w:pPr>
            <w:r>
              <w:rPr>
                <w:b/>
                <w:bCs/>
                <w:color w:val="1A1A1A"/>
                <w:sz w:val="19"/>
                <w:szCs w:val="19"/>
              </w:rPr>
              <w:t xml:space="preserve">CPS report</w:t>
            </w:r>
          </w:p>
        </w:tc>
      </w:tr>
      <w:tr>
        <w:tc>
          <w:tcPr>
            <w:tcW w:type="dxa" w:w="760"/>
            <w:tcMar>
              <w:top w:type="dxa" w:w="60"/>
              <w:left w:type="dxa" w:w="100"/>
              <w:bottom w:type="dxa" w:w="60"/>
              <w:right w:type="dxa" w:w="100"/>
            </w:tcMar>
          </w:tcPr>
          <w:p>
            <w:pPr>
              <w:spacing w:after="40" w:before="40" w:line="240"/>
            </w:pPr>
            <w:r>
              <w:rPr>
                <w:b w:val="false"/>
                <w:bCs w:val="false"/>
                <w:color w:val="1A1A1A"/>
                <w:sz w:val="19"/>
                <w:szCs w:val="19"/>
              </w:rPr>
              <w:t xml:space="preserve">1</w:t>
            </w:r>
          </w:p>
        </w:tc>
        <w:tc>
          <w:tcPr>
            <w:tcW w:type="dxa" w:w="4200"/>
            <w:tcMar>
              <w:top w:type="dxa" w:w="60"/>
              <w:left w:type="dxa" w:w="100"/>
              <w:bottom w:type="dxa" w:w="60"/>
              <w:right w:type="dxa" w:w="100"/>
            </w:tcMar>
          </w:tcPr>
          <w:p>
            <w:pPr>
              <w:spacing w:after="40" w:before="40" w:line="240"/>
            </w:pPr>
            <w:r>
              <w:rPr>
                <w:b w:val="false"/>
                <w:bCs w:val="false"/>
                <w:color w:val="1A1A1A"/>
                <w:sz w:val="19"/>
                <w:szCs w:val="19"/>
              </w:rPr>
              <w:t xml:space="preserve">A single unwelcome sexualized comment directed at another youth, with no contact, no threat and no leverage</w:t>
            </w:r>
          </w:p>
        </w:tc>
        <w:tc>
          <w:tcPr>
            <w:tcW w:type="dxa" w:w="2560"/>
            <w:tcMar>
              <w:top w:type="dxa" w:w="60"/>
              <w:left w:type="dxa" w:w="100"/>
              <w:bottom w:type="dxa" w:w="60"/>
              <w:right w:type="dxa" w:w="100"/>
            </w:tcMar>
          </w:tcPr>
          <w:p>
            <w:pPr>
              <w:spacing w:after="40" w:before="40" w:line="240"/>
            </w:pPr>
            <w:r>
              <w:rPr>
                <w:b w:val="false"/>
                <w:bCs w:val="false"/>
                <w:color w:val="1A1A1A"/>
                <w:sz w:val="19"/>
                <w:szCs w:val="19"/>
              </w:rPr>
              <w:t xml:space="preserve">Not PREA on these facts</w:t>
            </w:r>
          </w:p>
        </w:tc>
        <w:tc>
          <w:tcPr>
            <w:tcW w:type="dxa" w:w="2560"/>
            <w:tcMar>
              <w:top w:type="dxa" w:w="60"/>
              <w:left w:type="dxa" w:w="100"/>
              <w:bottom w:type="dxa" w:w="60"/>
              <w:right w:type="dxa" w:w="100"/>
            </w:tcMar>
          </w:tcPr>
          <w:p>
            <w:pPr>
              <w:spacing w:after="40" w:before="40" w:line="240"/>
            </w:pPr>
            <w:r>
              <w:rPr>
                <w:b w:val="false"/>
                <w:bCs w:val="false"/>
                <w:color w:val="1A1A1A"/>
                <w:sz w:val="19"/>
                <w:szCs w:val="19"/>
              </w:rPr>
              <w:t xml:space="preserve">No, absent a flip factor</w:t>
            </w:r>
          </w:p>
        </w:tc>
      </w:tr>
      <w:tr>
        <w:tc>
          <w:tcPr>
            <w:tcW w:type="dxa" w:w="760"/>
            <w:tcMar>
              <w:top w:type="dxa" w:w="60"/>
              <w:left w:type="dxa" w:w="100"/>
              <w:bottom w:type="dxa" w:w="60"/>
              <w:right w:type="dxa" w:w="100"/>
            </w:tcMar>
          </w:tcPr>
          <w:p>
            <w:pPr>
              <w:spacing w:after="40" w:before="40" w:line="240"/>
            </w:pPr>
            <w:r>
              <w:rPr>
                <w:b w:val="false"/>
                <w:bCs w:val="false"/>
                <w:color w:val="1A1A1A"/>
                <w:sz w:val="19"/>
                <w:szCs w:val="19"/>
              </w:rPr>
              <w:t xml:space="preserve">2</w:t>
            </w:r>
          </w:p>
        </w:tc>
        <w:tc>
          <w:tcPr>
            <w:tcW w:type="dxa" w:w="4200"/>
            <w:tcMar>
              <w:top w:type="dxa" w:w="60"/>
              <w:left w:type="dxa" w:w="100"/>
              <w:bottom w:type="dxa" w:w="60"/>
              <w:right w:type="dxa" w:w="100"/>
            </w:tcMar>
          </w:tcPr>
          <w:p>
            <w:pPr>
              <w:spacing w:after="40" w:before="40" w:line="240"/>
            </w:pPr>
            <w:r>
              <w:rPr>
                <w:b w:val="false"/>
                <w:bCs w:val="false"/>
                <w:color w:val="1A1A1A"/>
                <w:sz w:val="19"/>
                <w:szCs w:val="19"/>
              </w:rPr>
              <w:t xml:space="preserve">Sexualized comments, gestures, or actions of a derogatory or offensive nature, repeated and unwelcome, directed at the same youth</w:t>
            </w:r>
          </w:p>
        </w:tc>
        <w:tc>
          <w:tcPr>
            <w:tcW w:type="dxa" w:w="2560"/>
            <w:tcMar>
              <w:top w:type="dxa" w:w="60"/>
              <w:left w:type="dxa" w:w="100"/>
              <w:bottom w:type="dxa" w:w="60"/>
              <w:right w:type="dxa" w:w="100"/>
            </w:tcMar>
          </w:tcPr>
          <w:p>
            <w:pPr>
              <w:spacing w:after="40" w:before="40" w:line="240"/>
            </w:pPr>
            <w:r>
              <w:rPr>
                <w:b w:val="false"/>
                <w:bCs w:val="false"/>
                <w:color w:val="1A1A1A"/>
                <w:sz w:val="19"/>
                <w:szCs w:val="19"/>
              </w:rPr>
              <w:t xml:space="preserve">PREA sexual harassment</w:t>
            </w:r>
          </w:p>
        </w:tc>
        <w:tc>
          <w:tcPr>
            <w:tcW w:type="dxa" w:w="2560"/>
            <w:tcMar>
              <w:top w:type="dxa" w:w="60"/>
              <w:left w:type="dxa" w:w="100"/>
              <w:bottom w:type="dxa" w:w="60"/>
              <w:right w:type="dxa" w:w="100"/>
            </w:tcMar>
          </w:tcPr>
          <w:p>
            <w:pPr>
              <w:spacing w:after="40" w:before="40" w:line="240"/>
            </w:pPr>
            <w:r>
              <w:rPr>
                <w:b w:val="false"/>
                <w:bCs w:val="false"/>
                <w:color w:val="1A1A1A"/>
                <w:sz w:val="19"/>
                <w:szCs w:val="19"/>
              </w:rPr>
              <w:t xml:space="preserve">No, absent a flip factor</w:t>
            </w:r>
          </w:p>
        </w:tc>
      </w:tr>
      <w:tr>
        <w:tc>
          <w:tcPr>
            <w:tcW w:type="dxa" w:w="760"/>
            <w:tcMar>
              <w:top w:type="dxa" w:w="60"/>
              <w:left w:type="dxa" w:w="100"/>
              <w:bottom w:type="dxa" w:w="60"/>
              <w:right w:type="dxa" w:w="100"/>
            </w:tcMar>
          </w:tcPr>
          <w:p>
            <w:pPr>
              <w:spacing w:after="40" w:before="40" w:line="240"/>
            </w:pPr>
            <w:r>
              <w:rPr>
                <w:b w:val="false"/>
                <w:bCs w:val="false"/>
                <w:color w:val="1A1A1A"/>
                <w:sz w:val="19"/>
                <w:szCs w:val="19"/>
              </w:rPr>
              <w:t xml:space="preserve">3</w:t>
            </w:r>
          </w:p>
        </w:tc>
        <w:tc>
          <w:tcPr>
            <w:tcW w:type="dxa" w:w="4200"/>
            <w:tcMar>
              <w:top w:type="dxa" w:w="60"/>
              <w:left w:type="dxa" w:w="100"/>
              <w:bottom w:type="dxa" w:w="60"/>
              <w:right w:type="dxa" w:w="100"/>
            </w:tcMar>
          </w:tcPr>
          <w:p>
            <w:pPr>
              <w:spacing w:after="40" w:before="40" w:line="240"/>
            </w:pPr>
            <w:r>
              <w:rPr>
                <w:b w:val="false"/>
                <w:bCs w:val="false"/>
                <w:color w:val="1A1A1A"/>
                <w:sz w:val="19"/>
                <w:szCs w:val="19"/>
              </w:rPr>
              <w:t xml:space="preserve">One youth exposes genitals to another youth, or masturbates in view of another youth</w:t>
            </w:r>
          </w:p>
        </w:tc>
        <w:tc>
          <w:tcPr>
            <w:tcW w:type="dxa" w:w="2560"/>
            <w:tcMar>
              <w:top w:type="dxa" w:w="60"/>
              <w:left w:type="dxa" w:w="100"/>
              <w:bottom w:type="dxa" w:w="60"/>
              <w:right w:type="dxa" w:w="100"/>
            </w:tcMar>
          </w:tcPr>
          <w:p>
            <w:pPr>
              <w:spacing w:after="40" w:before="40" w:line="240"/>
            </w:pPr>
            <w:r>
              <w:rPr>
                <w:b w:val="false"/>
                <w:bCs w:val="false"/>
                <w:color w:val="1A1A1A"/>
                <w:sz w:val="19"/>
                <w:szCs w:val="19"/>
              </w:rPr>
              <w:t xml:space="preserve">PREA sexual harassment only if repeated</w:t>
            </w:r>
          </w:p>
        </w:tc>
        <w:tc>
          <w:tcPr>
            <w:tcW w:type="dxa" w:w="2560"/>
            <w:tcMar>
              <w:top w:type="dxa" w:w="60"/>
              <w:left w:type="dxa" w:w="100"/>
              <w:bottom w:type="dxa" w:w="60"/>
              <w:right w:type="dxa" w:w="100"/>
            </w:tcMar>
          </w:tcPr>
          <w:p>
            <w:pPr>
              <w:spacing w:after="40" w:before="40" w:line="240"/>
            </w:pPr>
            <w:r>
              <w:rPr>
                <w:b w:val="false"/>
                <w:bCs w:val="false"/>
                <w:color w:val="1A1A1A"/>
                <w:sz w:val="19"/>
                <w:szCs w:val="19"/>
              </w:rPr>
              <w:t xml:space="preserve">No, absent a flip factor</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4</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Intentional touching of another youth's genitalia, anus, groin, breast, inner thigh, or buttocks, including through the clothing</w:t>
            </w:r>
          </w:p>
        </w:tc>
        <w:tc>
          <w:tcPr>
            <w:tcW w:type="dxa" w:w="2560"/>
            <w:shd w:fill="F2DEDE" w:color="auto" w:val="clear"/>
            <w:tcMar>
              <w:top w:type="dxa" w:w="60"/>
              <w:left w:type="dxa" w:w="100"/>
              <w:bottom w:type="dxa" w:w="60"/>
              <w:right w:type="dxa" w:w="100"/>
            </w:tcMar>
          </w:tcPr>
          <w:p>
            <w:pPr>
              <w:spacing w:after="40" w:before="40" w:line="240"/>
            </w:pPr>
            <w:r>
              <w:rPr>
                <w:b/>
                <w:bCs/>
                <w:color w:val="1A1A1A"/>
                <w:sz w:val="19"/>
                <w:szCs w:val="19"/>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19"/>
                <w:szCs w:val="19"/>
              </w:rPr>
              <w:t xml:space="preserve">ESCALATE. Fact dependent</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5</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Oral, anal, or penetrative sexual contact, attempted or completed</w:t>
            </w:r>
          </w:p>
        </w:tc>
        <w:tc>
          <w:tcPr>
            <w:tcW w:type="dxa" w:w="2560"/>
            <w:shd w:fill="F2DEDE" w:color="auto" w:val="clear"/>
            <w:tcMar>
              <w:top w:type="dxa" w:w="60"/>
              <w:left w:type="dxa" w:w="100"/>
              <w:bottom w:type="dxa" w:w="60"/>
              <w:right w:type="dxa" w:w="100"/>
            </w:tcMar>
          </w:tcPr>
          <w:p>
            <w:pPr>
              <w:spacing w:after="40" w:before="40" w:line="240"/>
            </w:pPr>
            <w:r>
              <w:rPr>
                <w:b/>
                <w:bCs/>
                <w:color w:val="1A1A1A"/>
                <w:sz w:val="19"/>
                <w:szCs w:val="19"/>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19"/>
                <w:szCs w:val="19"/>
              </w:rPr>
              <w:t xml:space="preserve">YES. Report</w:t>
            </w:r>
          </w:p>
        </w:tc>
      </w:tr>
    </w:tbl>
    <w:p>
      <w:r>
        <w:br w:type="page"/>
      </w:r>
    </w:p>
    <w:p>
      <w:pPr>
        <w:pStyle w:val="Heading1"/>
      </w:pPr>
      <w:r>
        <w:t xml:space="preserve">Tier 1</w:t>
      </w:r>
    </w:p>
    <w:p>
      <w:pPr>
        <w:spacing w:after="120" w:line="276"/>
      </w:pPr>
      <w:r>
        <w:rPr>
          <w:b/>
          <w:bCs/>
          <w:color w:val="1A1A1A"/>
        </w:rPr>
        <w:t xml:space="preserve">The conduct. </w:t>
      </w:r>
      <w:r>
        <w:rPr>
          <w:color w:val="1A1A1A"/>
        </w:rPr>
        <w:t xml:space="preserve">A single unwelcome sexualized comment directed at another youth, with no contact, no threat and no leverage. The "I'll eat your ass"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19"/>
                <w:szCs w:val="19"/>
              </w:rPr>
              <w:t xml:space="preserve">PREA</w:t>
            </w:r>
          </w:p>
        </w:tc>
        <w:tc>
          <w:tcPr>
            <w:tcW w:type="dxa" w:w="7880"/>
            <w:tcMar>
              <w:top w:type="dxa" w:w="60"/>
              <w:left w:type="dxa" w:w="100"/>
              <w:bottom w:type="dxa" w:w="60"/>
              <w:right w:type="dxa" w:w="100"/>
            </w:tcMar>
          </w:tcPr>
          <w:p>
            <w:pPr>
              <w:spacing w:after="40" w:before="40" w:line="250"/>
            </w:pPr>
            <w:r>
              <w:rPr>
                <w:b/>
                <w:bCs/>
                <w:color w:val="1A1A1A"/>
                <w:sz w:val="19"/>
                <w:szCs w:val="19"/>
              </w:rPr>
              <w:t xml:space="preserve">Not PREA on these facts. </w:t>
            </w:r>
            <w:r>
              <w:rPr>
                <w:color w:val="1A1A1A"/>
                <w:sz w:val="19"/>
                <w:szCs w:val="19"/>
              </w:rPr>
              <w:t xml:space="preserve">Not sexual abuse: that definition is contact based. Not sexual harassment either, because 115.6 requires conduct that is "repeated and unwelcome." A single comment does not meet the definition on its face.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19"/>
                <w:szCs w:val="19"/>
              </w:rPr>
              <w:t xml:space="preserve">CPS report</w:t>
            </w:r>
          </w:p>
        </w:tc>
        <w:tc>
          <w:tcPr>
            <w:tcW w:type="dxa" w:w="7880"/>
            <w:tcMar>
              <w:top w:type="dxa" w:w="60"/>
              <w:left w:type="dxa" w:w="100"/>
              <w:bottom w:type="dxa" w:w="60"/>
              <w:right w:type="dxa" w:w="100"/>
            </w:tcMar>
          </w:tcPr>
          <w:p>
            <w:pPr>
              <w:spacing w:after="40" w:before="40" w:line="250"/>
            </w:pPr>
            <w:r>
              <w:rPr>
                <w:b/>
                <w:bCs/>
                <w:color w:val="1A1A1A"/>
                <w:sz w:val="19"/>
                <w:szCs w:val="19"/>
              </w:rPr>
              <w:t xml:space="preserve">No, absent a flip factor. </w:t>
            </w:r>
            <w:r>
              <w:rPr>
                <w:color w:val="1A1A1A"/>
                <w:sz w:val="19"/>
                <w:szCs w:val="19"/>
              </w:rPr>
              <w:t xml:space="preserve">Not on these facts. Words alone are not conduct in violation of any offense enumerated at Penal Code 11165.1.</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the youth and check the target's immediate safety.</w:t>
            </w:r>
          </w:p>
          <w:p>
            <w:pPr>
              <w:pStyle w:val="ListParagraph"/>
              <w:numPr>
                <w:ilvl w:val="0"/>
                <w:numId w:val="1"/>
              </w:numPr>
              <w:spacing w:after="60" w:before="40" w:line="264"/>
            </w:pPr>
            <w:r>
              <w:rPr>
                <w:color w:val="1A1A1A"/>
              </w:rPr>
              <w:t xml:space="preserve">Staff reports to the Duty Supervisor immediately.</w:t>
            </w:r>
          </w:p>
          <w:p>
            <w:pPr>
              <w:pStyle w:val="ListParagraph"/>
              <w:numPr>
                <w:ilvl w:val="0"/>
                <w:numId w:val="1"/>
              </w:numPr>
              <w:spacing w:after="60" w:before="40" w:line="264"/>
            </w:pPr>
            <w:r>
              <w:rPr>
                <w:color w:val="1A1A1A"/>
              </w:rPr>
              <w:t xml:space="preserve">Incident report naming both youth, the words used verbatim, and the target's response verbatim.</w:t>
            </w:r>
          </w:p>
          <w:p>
            <w:pPr>
              <w:pStyle w:val="ListParagraph"/>
              <w:numPr>
                <w:ilvl w:val="0"/>
                <w:numId w:val="1"/>
              </w:numPr>
              <w:spacing w:after="60" w:before="40" w:line="264"/>
            </w:pPr>
            <w:r>
              <w:rPr>
                <w:color w:val="1A1A1A"/>
              </w:rPr>
              <w:t xml:space="preserve">Supervisor records the classification decision and the reason, including the decision not to make a CANRA report.</w:t>
            </w:r>
          </w:p>
          <w:p>
            <w:pPr>
              <w:pStyle w:val="ListParagraph"/>
              <w:numPr>
                <w:ilvl w:val="0"/>
                <w:numId w:val="1"/>
              </w:numPr>
              <w:spacing w:after="60" w:before="40" w:line="264"/>
            </w:pPr>
            <w:r>
              <w:rPr>
                <w:color w:val="1A1A1A"/>
              </w:rPr>
              <w:t xml:space="preserve">Treat as classification information on both youth: risk of abusiveness for the speaker, risk of victimization for the target.</w:t>
            </w:r>
          </w:p>
          <w:p>
            <w:pPr>
              <w:pStyle w:val="ListParagraph"/>
              <w:numPr>
                <w:ilvl w:val="0"/>
                <w:numId w:val="1"/>
              </w:numPr>
              <w:spacing w:after="60" w:before="40" w:line="264"/>
            </w:pPr>
            <w:r>
              <w:rPr>
                <w:color w:val="1A1A1A"/>
              </w:rPr>
              <w:t xml:space="preserve">Check the target's history. If this is the second time toward the same youth, it is tier 2, not tier 1.</w:t>
            </w:r>
          </w:p>
        </w:tc>
      </w:tr>
    </w:tbl>
    <w:p>
      <w:r>
        <w:br w:type="page"/>
      </w:r>
    </w:p>
    <w:p>
      <w:pPr>
        <w:pStyle w:val="Heading1"/>
      </w:pPr>
      <w:r>
        <w:t xml:space="preserve">Tier 2</w:t>
      </w:r>
    </w:p>
    <w:p>
      <w:pPr>
        <w:spacing w:after="120" w:line="276"/>
      </w:pPr>
      <w:r>
        <w:rPr>
          <w:b/>
          <w:bCs/>
          <w:color w:val="1A1A1A"/>
        </w:rPr>
        <w:t xml:space="preserve">The conduct. </w:t>
      </w:r>
      <w:r>
        <w:rPr>
          <w:color w:val="1A1A1A"/>
        </w:rPr>
        <w:t xml:space="preserve">Sexualized comments, gestures, or actions of a derogatory or offensive nature, repeated and unwelcome, directed at the same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19"/>
                <w:szCs w:val="19"/>
              </w:rPr>
              <w:t xml:space="preserve">PREA</w:t>
            </w:r>
          </w:p>
        </w:tc>
        <w:tc>
          <w:tcPr>
            <w:tcW w:type="dxa" w:w="7880"/>
            <w:tcMar>
              <w:top w:type="dxa" w:w="60"/>
              <w:left w:type="dxa" w:w="100"/>
              <w:bottom w:type="dxa" w:w="60"/>
              <w:right w:type="dxa" w:w="100"/>
            </w:tcMar>
          </w:tcPr>
          <w:p>
            <w:pPr>
              <w:spacing w:after="40" w:before="40" w:line="250"/>
            </w:pPr>
            <w:r>
              <w:rPr>
                <w:b/>
                <w:bCs/>
                <w:color w:val="1A1A1A"/>
                <w:sz w:val="19"/>
                <w:szCs w:val="19"/>
              </w:rPr>
              <w:t xml:space="preserve">PREA sexual harassment. </w:t>
            </w:r>
            <w:r>
              <w:rPr>
                <w:color w:val="1A1A1A"/>
                <w:sz w:val="19"/>
                <w:szCs w:val="19"/>
              </w:rPr>
              <w:t xml:space="preserve">Sexual harassment under 115.6, prong one. This is a reportable PREA incident and enters the PREA data set.</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19"/>
                <w:szCs w:val="19"/>
              </w:rPr>
              <w:t xml:space="preserve">CPS report</w:t>
            </w:r>
          </w:p>
        </w:tc>
        <w:tc>
          <w:tcPr>
            <w:tcW w:type="dxa" w:w="7880"/>
            <w:tcMar>
              <w:top w:type="dxa" w:w="60"/>
              <w:left w:type="dxa" w:w="100"/>
              <w:bottom w:type="dxa" w:w="60"/>
              <w:right w:type="dxa" w:w="100"/>
            </w:tcMar>
          </w:tcPr>
          <w:p>
            <w:pPr>
              <w:spacing w:after="40" w:before="40" w:line="250"/>
            </w:pPr>
            <w:r>
              <w:rPr>
                <w:b/>
                <w:bCs/>
                <w:color w:val="1A1A1A"/>
                <w:sz w:val="19"/>
                <w:szCs w:val="19"/>
              </w:rPr>
              <w:t xml:space="preserve">No, absent a flip factor. </w:t>
            </w:r>
            <w:r>
              <w:rPr>
                <w:color w:val="1A1A1A"/>
                <w:sz w:val="19"/>
                <w:szCs w:val="19"/>
              </w:rPr>
              <w:t xml:space="preserve">Still not on these facts alone. Repetition makes it PREA; it does not by itself make it an enumerated Penal Code offense.</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Classify and log as a PREA sexual harassment incident.</w:t>
            </w:r>
          </w:p>
          <w:p>
            <w:pPr>
              <w:pStyle w:val="ListParagraph"/>
              <w:numPr>
                <w:ilvl w:val="0"/>
                <w:numId w:val="1"/>
              </w:numPr>
              <w:spacing w:after="60" w:before="40" w:line="264"/>
            </w:pPr>
            <w:r>
              <w:rPr>
                <w:color w:val="1A1A1A"/>
              </w:rPr>
              <w:t xml:space="preserve">Assess whether the target is at substantial risk of imminent sexual abuse. If yes, 115.362 requires immediate action to protect, and that is a separate duty from the investigation.</w:t>
            </w:r>
          </w:p>
          <w:p>
            <w:pPr>
              <w:pStyle w:val="ListParagraph"/>
              <w:numPr>
                <w:ilvl w:val="0"/>
                <w:numId w:val="1"/>
              </w:numPr>
              <w:spacing w:after="60" w:before="40" w:line="264"/>
            </w:pPr>
            <w:r>
              <w:rPr>
                <w:color w:val="1A1A1A"/>
              </w:rPr>
              <w:t xml:space="preserve">Reassess classification and housing for both youth.</w:t>
            </w:r>
          </w:p>
          <w:p>
            <w:pPr>
              <w:pStyle w:val="ListParagraph"/>
              <w:numPr>
                <w:ilvl w:val="0"/>
                <w:numId w:val="1"/>
              </w:numPr>
              <w:spacing w:after="60" w:before="40" w:line="264"/>
            </w:pPr>
            <w:r>
              <w:rPr>
                <w:color w:val="1A1A1A"/>
              </w:rPr>
              <w:t xml:space="preserve">If the target or any youth reported it, begin retaliation monitoring. 115.367 wants at least 90 days of monitoring of the reporting youth's treatment, including disciplinary reports and housing or program changes, with periodic status checks.</w:t>
            </w:r>
          </w:p>
        </w:tc>
      </w:tr>
    </w:tbl>
    <w:p>
      <w:r>
        <w:br w:type="page"/>
      </w:r>
    </w:p>
    <w:p>
      <w:pPr>
        <w:pStyle w:val="Heading1"/>
      </w:pPr>
      <w:r>
        <w:t xml:space="preserve">Tier 3</w:t>
      </w:r>
    </w:p>
    <w:p>
      <w:pPr>
        <w:spacing w:after="120" w:line="276"/>
      </w:pPr>
      <w:r>
        <w:rPr>
          <w:b/>
          <w:bCs/>
          <w:color w:val="1A1A1A"/>
        </w:rPr>
        <w:t xml:space="preserve">The conduct. </w:t>
      </w:r>
      <w:r>
        <w:rPr>
          <w:color w:val="1A1A1A"/>
        </w:rPr>
        <w:t xml:space="preserve">One youth exposes genitals to another youth, or masturbates in view of another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19"/>
                <w:szCs w:val="19"/>
              </w:rPr>
              <w:t xml:space="preserve">PREA</w:t>
            </w:r>
          </w:p>
        </w:tc>
        <w:tc>
          <w:tcPr>
            <w:tcW w:type="dxa" w:w="7880"/>
            <w:tcMar>
              <w:top w:type="dxa" w:w="60"/>
              <w:left w:type="dxa" w:w="100"/>
              <w:bottom w:type="dxa" w:w="60"/>
              <w:right w:type="dxa" w:w="100"/>
            </w:tcMar>
          </w:tcPr>
          <w:p>
            <w:pPr>
              <w:spacing w:after="40" w:before="40" w:line="250"/>
            </w:pPr>
            <w:r>
              <w:rPr>
                <w:b/>
                <w:bCs/>
                <w:color w:val="1A1A1A"/>
                <w:sz w:val="19"/>
                <w:szCs w:val="19"/>
              </w:rPr>
              <w:t xml:space="preserve">PREA sexual harassment only if repeated. </w:t>
            </w:r>
            <w:r>
              <w:rPr>
                <w:color w:val="1A1A1A"/>
                <w:sz w:val="19"/>
                <w:szCs w:val="19"/>
              </w:rPr>
              <w:t xml:space="preserve">Not sexual abuse, because there is no contact. It is an "action of a derogatory or offensive sexual nature" under the harassment prong, so a single incident still fails the "repeated" element and a repeat does not.</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19"/>
                <w:szCs w:val="19"/>
              </w:rPr>
              <w:t xml:space="preserve">CPS report</w:t>
            </w:r>
          </w:p>
        </w:tc>
        <w:tc>
          <w:tcPr>
            <w:tcW w:type="dxa" w:w="7880"/>
            <w:tcMar>
              <w:top w:type="dxa" w:w="60"/>
              <w:left w:type="dxa" w:w="100"/>
              <w:bottom w:type="dxa" w:w="60"/>
              <w:right w:type="dxa" w:w="100"/>
            </w:tcMar>
          </w:tcPr>
          <w:p>
            <w:pPr>
              <w:spacing w:after="40" w:before="40" w:line="250"/>
            </w:pPr>
            <w:r>
              <w:rPr>
                <w:b/>
                <w:bCs/>
                <w:color w:val="1A1A1A"/>
                <w:sz w:val="19"/>
                <w:szCs w:val="19"/>
              </w:rPr>
              <w:t xml:space="preserve">No, absent a flip factor. </w:t>
            </w:r>
            <w:r>
              <w:rPr>
                <w:color w:val="1A1A1A"/>
                <w:sz w:val="19"/>
                <w:szCs w:val="19"/>
              </w:rPr>
              <w:t xml:space="preserve">Not on these facts. Penal Code 314, indecent exposure, is not among the offenses enumerated at 11165.1. Section 647.6 is the only non-contact offense on that list and it turns on an abnormal sexual interest in children, which is a poor fit between similarly aged detained youth.</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Consider whether the exposure was directed at a specific youth or general. Directed conduct is the stronger indicator for the protection assessment under 115.362.</w:t>
            </w:r>
          </w:p>
          <w:p>
            <w:pPr>
              <w:pStyle w:val="ListParagraph"/>
              <w:numPr>
                <w:ilvl w:val="0"/>
                <w:numId w:val="1"/>
              </w:numPr>
              <w:spacing w:after="60" w:before="40" w:line="264"/>
            </w:pPr>
            <w:r>
              <w:rPr>
                <w:color w:val="1A1A1A"/>
              </w:rPr>
              <w:t xml:space="preserve">Consider a Penal Code 314 referral separately. That is a law enforcement and District Attorney question, not a CANRA question, and the two do not travel together.</w:t>
            </w:r>
          </w:p>
        </w:tc>
      </w:tr>
    </w:tbl>
    <w:p>
      <w:r>
        <w:br w:type="page"/>
      </w:r>
    </w:p>
    <w:p>
      <w:pPr>
        <w:pStyle w:val="Heading1"/>
      </w:pPr>
      <w:r>
        <w:t xml:space="preserve">Tier 4</w:t>
      </w:r>
    </w:p>
    <w:p>
      <w:pPr>
        <w:spacing w:after="120" w:line="276"/>
      </w:pPr>
      <w:r>
        <w:rPr>
          <w:b/>
          <w:bCs/>
          <w:color w:val="1A1A1A"/>
        </w:rPr>
        <w:t xml:space="preserve">The conduct. </w:t>
      </w:r>
      <w:r>
        <w:rPr>
          <w:color w:val="1A1A1A"/>
        </w:rPr>
        <w:t xml:space="preserve">Intentional touching of another youth's genitalia, anus, groin, breast, inner thigh, or buttocks, including through the clothing. The grabbing-at-the-butt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19"/>
                <w:szCs w:val="19"/>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19"/>
                <w:szCs w:val="19"/>
              </w:rPr>
              <w:t xml:space="preserve">PREA SEXUAL ABUSE. </w:t>
            </w:r>
            <w:r>
              <w:rPr>
                <w:color w:val="1A1A1A"/>
                <w:sz w:val="19"/>
                <w:szCs w:val="19"/>
              </w:rPr>
              <w:t xml:space="preserve">This is sexual abuse under 115.6. The body areas are enumerated by name, contact through clothing counts, and the only exclusion is contact incidental to a physical altercation. It is not horseplay and it is not a tier below the comment cases. It is the most commonly waved-off conduct in this entire guide.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19"/>
                <w:szCs w:val="19"/>
              </w:rPr>
              <w:t xml:space="preserve">CPS report</w:t>
            </w:r>
          </w:p>
        </w:tc>
        <w:tc>
          <w:tcPr>
            <w:tcW w:type="dxa" w:w="7880"/>
            <w:tcMar>
              <w:top w:type="dxa" w:w="60"/>
              <w:left w:type="dxa" w:w="100"/>
              <w:bottom w:type="dxa" w:w="60"/>
              <w:right w:type="dxa" w:w="100"/>
            </w:tcMar>
          </w:tcPr>
          <w:p>
            <w:pPr>
              <w:spacing w:after="40" w:before="40" w:line="250"/>
            </w:pPr>
            <w:r>
              <w:rPr>
                <w:b/>
                <w:bCs/>
                <w:color w:val="1A1A1A"/>
                <w:sz w:val="19"/>
                <w:szCs w:val="19"/>
              </w:rPr>
              <w:t xml:space="preserve">ESCALATE. Fact dependent. </w:t>
            </w:r>
            <w:r>
              <w:rPr>
                <w:color w:val="1A1A1A"/>
                <w:sz w:val="19"/>
                <w:szCs w:val="19"/>
              </w:rPr>
              <w:t xml:space="preserve">Depends on the facts and this is the row that needs County Counsel. Penal Code 243.4, sexual battery, is not among the offenses enumerated at 11165.1. Section 288 requires a victim under 14, or 14 or 15 with a perpetrator at least 10 years older, so between similarly aged detained youth it often will not apply. That produces the counterintuitive result that conduct which is unambiguously PREA sexual abuse may not be CANRA reportable on its face. Do not resolve this one from the table. Escalate it.</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immediately and secure the target youth's safety before anything else.</w:t>
            </w:r>
          </w:p>
          <w:p>
            <w:pPr>
              <w:pStyle w:val="ListParagraph"/>
              <w:numPr>
                <w:ilvl w:val="0"/>
                <w:numId w:val="1"/>
              </w:numPr>
              <w:spacing w:after="60" w:before="40" w:line="264"/>
            </w:pPr>
            <w:r>
              <w:rPr>
                <w:color w:val="1A1A1A"/>
              </w:rPr>
              <w:t xml:space="preserve">Staff reports to the Duty Supervisor immediately. Treat as a PREA sexual abuse allegation from the first moment, not after the facts are sorted out.</w:t>
            </w:r>
          </w:p>
          <w:p>
            <w:pPr>
              <w:pStyle w:val="ListParagraph"/>
              <w:numPr>
                <w:ilvl w:val="0"/>
                <w:numId w:val="1"/>
              </w:numPr>
              <w:spacing w:after="60" w:before="40" w:line="264"/>
            </w:pPr>
            <w:r>
              <w:rPr>
                <w:color w:val="1A1A1A"/>
              </w:rPr>
              <w:t xml:space="preserve">Preserve evidence. Do not let either youth shower, change, or clean up, and secure the area, until a determination is made about forensic needs under OO 1453.</w:t>
            </w:r>
          </w:p>
          <w:p>
            <w:pPr>
              <w:pStyle w:val="ListParagraph"/>
              <w:numPr>
                <w:ilvl w:val="0"/>
                <w:numId w:val="1"/>
              </w:numPr>
              <w:spacing w:after="60" w:before="40" w:line="264"/>
            </w:pPr>
            <w:r>
              <w:rPr>
                <w:color w:val="1A1A1A"/>
              </w:rPr>
              <w:t xml:space="preserve">Refer for administrative or criminal investigation. 115.371(a) requires an investigation of all allegations of sexual abuse; there is no discretion to decide investigation is unnecessary.</w:t>
            </w:r>
          </w:p>
          <w:p>
            <w:pPr>
              <w:pStyle w:val="ListParagraph"/>
              <w:numPr>
                <w:ilvl w:val="0"/>
                <w:numId w:val="1"/>
              </w:numPr>
              <w:spacing w:after="60" w:before="40" w:line="264"/>
            </w:pPr>
            <w:r>
              <w:rPr>
                <w:color w:val="1A1A1A"/>
              </w:rPr>
              <w:t xml:space="preserve">Make the CANRA determination deliberately, with the ages of both youth in front of you, and document the reasoning either way.</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w:t>
            </w:r>
          </w:p>
        </w:tc>
      </w:tr>
    </w:tbl>
    <w:p>
      <w:r>
        <w:br w:type="page"/>
      </w:r>
    </w:p>
    <w:p>
      <w:pPr>
        <w:pStyle w:val="Heading1"/>
      </w:pPr>
      <w:r>
        <w:t xml:space="preserve">Tier 5</w:t>
      </w:r>
    </w:p>
    <w:p>
      <w:pPr>
        <w:spacing w:after="120" w:line="276"/>
      </w:pPr>
      <w:r>
        <w:rPr>
          <w:b/>
          <w:bCs/>
          <w:color w:val="1A1A1A"/>
        </w:rPr>
        <w:t xml:space="preserve">The conduct. </w:t>
      </w:r>
      <w:r>
        <w:rPr>
          <w:color w:val="1A1A1A"/>
        </w:rPr>
        <w:t xml:space="preserve">Oral, anal, or penetrative sexual contact, attempted or completed. Or any conduct in any tier above accomplished by force, threat, coercion, or leverage over the 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19"/>
                <w:szCs w:val="19"/>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19"/>
                <w:szCs w:val="19"/>
              </w:rPr>
              <w:t xml:space="preserve">PREA SEXUAL ABUSE. </w:t>
            </w:r>
            <w:r>
              <w:rPr>
                <w:color w:val="1A1A1A"/>
                <w:sz w:val="19"/>
                <w:szCs w:val="19"/>
              </w:rPr>
              <w:t xml:space="preserve">Sexual abuse under 115.6, at the most serious end. Full response.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19"/>
                <w:szCs w:val="19"/>
              </w:rPr>
              <w:t xml:space="preserve">CPS report</w:t>
            </w:r>
          </w:p>
        </w:tc>
        <w:tc>
          <w:tcPr>
            <w:tcW w:type="dxa" w:w="7880"/>
            <w:tcMar>
              <w:top w:type="dxa" w:w="60"/>
              <w:left w:type="dxa" w:w="100"/>
              <w:bottom w:type="dxa" w:w="60"/>
              <w:right w:type="dxa" w:w="100"/>
            </w:tcMar>
          </w:tcPr>
          <w:p>
            <w:pPr>
              <w:spacing w:after="40" w:before="40" w:line="250"/>
            </w:pPr>
            <w:r>
              <w:rPr>
                <w:b/>
                <w:bCs/>
                <w:color w:val="1A1A1A"/>
                <w:sz w:val="19"/>
                <w:szCs w:val="19"/>
              </w:rPr>
              <w:t xml:space="preserve">YES. Report. </w:t>
            </w:r>
            <w:r>
              <w:rPr>
                <w:color w:val="1A1A1A"/>
                <w:sz w:val="19"/>
                <w:szCs w:val="19"/>
              </w:rPr>
              <w:t xml:space="preserve">Report. Penal Code 261, 286, 287, and 289 are all enumerated at 11165.1, and force or coercion removes the voluntary-conduct exception. Telephone report immediately or as soon as is practicably possible, written report on Department of Justice form SS 8572 within 36 hours.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4.</w:t>
            </w:r>
          </w:p>
          <w:p>
            <w:pPr>
              <w:pStyle w:val="ListParagraph"/>
              <w:numPr>
                <w:ilvl w:val="0"/>
                <w:numId w:val="1"/>
              </w:numPr>
              <w:spacing w:after="60" w:before="40" w:line="264"/>
            </w:pPr>
            <w:r>
              <w:rPr>
                <w:color w:val="1A1A1A"/>
              </w:rPr>
              <w:t xml:space="preserve">Mandated report by telephone immediately. Do not wait for the investigation, the shift to end, or a supervisor's approval.</w:t>
            </w:r>
          </w:p>
          <w:p>
            <w:pPr>
              <w:pStyle w:val="ListParagraph"/>
              <w:numPr>
                <w:ilvl w:val="0"/>
                <w:numId w:val="1"/>
              </w:numPr>
              <w:spacing w:after="60" w:before="40" w:line="264"/>
            </w:pPr>
            <w:r>
              <w:rPr>
                <w:color w:val="1A1A1A"/>
              </w:rPr>
              <w:t xml:space="preserve">Law enforcement notification and forensic examination under OO 1453 and 15 CCR 1452 and 1453. The evidentiary examination occurs at a facility separate from the custodial facility.</w:t>
            </w:r>
          </w:p>
          <w:p>
            <w:pPr>
              <w:pStyle w:val="ListParagraph"/>
              <w:numPr>
                <w:ilvl w:val="0"/>
                <w:numId w:val="1"/>
              </w:numPr>
              <w:spacing w:after="60" w:before="40" w:line="264"/>
            </w:pPr>
            <w:r>
              <w:rPr>
                <w:color w:val="1A1A1A"/>
              </w:rPr>
              <w:t xml:space="preserve">Notify the parent or legal guardian and, where applicable, counsel.</w:t>
            </w:r>
          </w:p>
          <w:p>
            <w:pPr>
              <w:pStyle w:val="ListParagraph"/>
              <w:numPr>
                <w:ilvl w:val="0"/>
                <w:numId w:val="1"/>
              </w:numPr>
              <w:spacing w:after="60" w:before="40" w:line="264"/>
            </w:pPr>
            <w:r>
              <w:rPr>
                <w:color w:val="1A1A1A"/>
              </w:rPr>
              <w:t xml:space="preserve">Preserve all records under the sexual abuse retention schedule.</w:t>
            </w:r>
          </w:p>
        </w:tc>
      </w:tr>
    </w:tbl>
    <w:p>
      <w:r>
        <w:br w:type="page"/>
      </w:r>
    </w:p>
    <w:p>
      <w:pPr>
        <w:pStyle w:val="Heading1"/>
      </w:pPr>
      <w:r>
        <w:t xml:space="preserve">Flip factors: any one of these moves the incident up and triggers a deliberate CANRA call regardless of tier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Force, threat, coercion, or leverage of any kind, including debt, protection, or commissary.</w:t>
            </w:r>
          </w:p>
          <w:p>
            <w:pPr>
              <w:pStyle w:val="ListParagraph"/>
              <w:numPr>
                <w:ilvl w:val="0"/>
                <w:numId w:val="1"/>
              </w:numPr>
              <w:spacing w:after="60" w:before="40" w:line="264"/>
            </w:pPr>
            <w:r>
              <w:rPr>
                <w:color w:val="1A1A1A"/>
              </w:rPr>
              <w:t xml:space="preserve">Any indication the conduct already happened before, whether or not it was reported.</w:t>
            </w:r>
          </w:p>
          <w:p>
            <w:pPr>
              <w:pStyle w:val="ListParagraph"/>
              <w:numPr>
                <w:ilvl w:val="0"/>
                <w:numId w:val="1"/>
              </w:numPr>
              <w:spacing w:after="60" w:before="40" w:line="264"/>
            </w:pPr>
            <w:r>
              <w:rPr>
                <w:color w:val="1A1A1A"/>
              </w:rPr>
              <w:t xml:space="preserve">The target youth is under 14.</w:t>
            </w:r>
          </w:p>
          <w:p>
            <w:pPr>
              <w:pStyle w:val="ListParagraph"/>
              <w:numPr>
                <w:ilvl w:val="0"/>
                <w:numId w:val="1"/>
              </w:numPr>
              <w:spacing w:after="60" w:before="40" w:line="264"/>
            </w:pPr>
            <w:r>
              <w:rPr>
                <w:color w:val="1A1A1A"/>
              </w:rPr>
              <w:t xml:space="preserve">A significant age, size, developmental, or cognitive disparity between the two youth.</w:t>
            </w:r>
          </w:p>
          <w:p>
            <w:pPr>
              <w:pStyle w:val="ListParagraph"/>
              <w:numPr>
                <w:ilvl w:val="0"/>
                <w:numId w:val="1"/>
              </w:numPr>
              <w:spacing w:after="60" w:before="40" w:line="264"/>
            </w:pPr>
            <w:r>
              <w:rPr>
                <w:color w:val="1A1A1A"/>
              </w:rPr>
              <w:t xml:space="preserve">The target discloses prior sexual abuse, in the facility or outside it.</w:t>
            </w:r>
          </w:p>
          <w:p>
            <w:pPr>
              <w:pStyle w:val="ListParagraph"/>
              <w:numPr>
                <w:ilvl w:val="0"/>
                <w:numId w:val="1"/>
              </w:numPr>
              <w:spacing w:after="60" w:before="40" w:line="264"/>
            </w:pPr>
            <w:r>
              <w:rPr>
                <w:color w:val="1A1A1A"/>
              </w:rPr>
              <w:t xml:space="preserve">Reason to suspect the youth who made the comment has himself been sexually abused. Markedly sexualized behavior can be an indicator. That is a separate reporting question about a different child.</w:t>
            </w:r>
          </w:p>
          <w:p>
            <w:pPr>
              <w:pStyle w:val="ListParagraph"/>
              <w:numPr>
                <w:ilvl w:val="0"/>
                <w:numId w:val="1"/>
              </w:numPr>
              <w:spacing w:after="60" w:before="40" w:line="264"/>
            </w:pPr>
            <w:r>
              <w:rPr>
                <w:color w:val="1A1A1A"/>
              </w:rPr>
              <w:t xml:space="preserve">The conduct is part of a pattern by the same youth toward multiple targets.</w:t>
            </w:r>
          </w:p>
        </w:tc>
      </w:tr>
    </w:tbl>
    <w:p>
      <w:pPr>
        <w:pStyle w:val="Heading1"/>
      </w:pPr>
      <w:r>
        <w:t xml:space="preserve">When it is genuinely unclear, report</w:t>
      </w:r>
    </w:p>
    <w:p>
      <w:pPr>
        <w:spacing w:after="120" w:line="276"/>
      </w:pPr>
      <w:r>
        <w:rPr>
          <w:color w:val="1A1A1A"/>
        </w:rPr>
        <w:t xml:space="preserve">The CANRA threshold is reasonable suspicion, which is deliberately low: facts that would cause a reasonable person in a like position, drawing on training and experience, to suspect child abuse. Penal Code 11172(a) gives immunity to mandated reporters who report. Penal Code 11166(c) penalizes the failure to report. The risk is asymmetric by design, and this guide exists to make the easy calls faster, not to give anyone a reason to sit on a hard one.</w:t>
      </w:r>
    </w:p>
    <w:p>
      <w:pPr>
        <w:pStyle w:val="Heading1"/>
      </w:pPr>
      <w:r>
        <w:t xml:space="preserve">Five things in current departmental documents that will mislead a supervisor</w:t>
      </w:r>
    </w:p>
    <w:p>
      <w:pPr>
        <w:spacing w:after="120" w:line="276"/>
      </w:pPr>
      <w:r>
        <w:rPr>
          <w:color w:val="1A1A1A"/>
        </w:rPr>
        <w:t xml:space="preserve">These are open findings in the gap register. A supervisor following current policy will get the first one wrong.</w:t>
      </w:r>
    </w:p>
    <w:p>
      <w:pPr>
        <w:pStyle w:val="Heading2"/>
      </w:pPr>
      <w:r>
        <w:t xml:space="preserve">The CPS timeline in policy is wrong. Register row 48, Critical.</w:t>
      </w:r>
    </w:p>
    <w:p>
      <w:pPr>
        <w:spacing w:after="120" w:line="276"/>
      </w:pPr>
      <w:r>
        <w:rPr>
          <w:color w:val="1A1A1A"/>
        </w:rPr>
        <w:t xml:space="preserve">PREA Policy V.A.4 and OO 1453 I.A.9 both state a 24-hour verbal report to Child Protective Services. Penal Code 11166(a) requires the telephone report immediately or as soon as is practicably possible. A supervisor who follows the order as written is instructing an employee to miss a statutory deadline, and the exposure for that falls on the employee. The Code of Conduct at VII.A.1 states it correctly.</w:t>
      </w:r>
    </w:p>
    <w:p>
      <w:pPr>
        <w:pStyle w:val="Heading2"/>
      </w:pPr>
      <w:r>
        <w:t xml:space="preserve">"Sexual misconduct" is a major rule violation and is nowhere defined. Register row 64.</w:t>
      </w:r>
    </w:p>
    <w:p>
      <w:pPr>
        <w:spacing w:after="120" w:line="276"/>
      </w:pPr>
      <w:r>
        <w:rPr>
          <w:color w:val="1A1A1A"/>
        </w:rPr>
        <w:t xml:space="preserve">OO 1390/1391 II.B.4 lists it. Nothing in the order says whether it covers a comment, exposure, or touching, and nothing distinguishes coerced from non-coerced conduct. Two supervisors will charge the same incident differently, and neither will be wrong on the face of the order.</w:t>
      </w:r>
    </w:p>
    <w:p>
      <w:pPr>
        <w:pStyle w:val="Heading2"/>
      </w:pPr>
      <w:r>
        <w:t xml:space="preserve">The disciplinary hearing may not attach. Register row 64.</w:t>
      </w:r>
    </w:p>
    <w:p>
      <w:pPr>
        <w:spacing w:after="120" w:line="276"/>
      </w:pPr>
      <w:r>
        <w:rPr>
          <w:color w:val="1A1A1A"/>
        </w:rPr>
        <w:t xml:space="preserve">OO 1390/1391 IV.A requires the due process hearing only where the recommended discipline is Program Separation. 15 CCR 1391(f) requires those protections for major rule violations as a class. Charge sexual misconduct and give point loss or a level demotion, and the youth receives none of the state-required process. Citation note: 1391(f) is the numbering in the edition effective 01/01/2019. The 04/01/2014 edition had these elements at 1391(e). Revision 6 corrected the register to match, so the two now agree.</w:t>
      </w:r>
    </w:p>
    <w:p>
      <w:pPr>
        <w:pStyle w:val="Heading2"/>
      </w:pPr>
      <w:r>
        <w:t xml:space="preserve">There is no emergency grievance track. Register row 42.</w:t>
      </w:r>
    </w:p>
    <w:p>
      <w:pPr>
        <w:spacing w:after="120" w:line="276"/>
      </w:pPr>
      <w:r>
        <w:rPr>
          <w:color w:val="1A1A1A"/>
        </w:rPr>
        <w:t xml:space="preserve">115.352 requires an emergency grievance route for an allegation of substantial risk of imminent sexual abuse, with a 48-hour initial response and a 5-calendar-day final decision. OO 1361 has no such track. A frightened youth has no expedited route.</w:t>
      </w:r>
    </w:p>
    <w:p>
      <w:pPr>
        <w:pStyle w:val="Heading2"/>
      </w:pPr>
      <w:r>
        <w:t xml:space="preserve">There is no retaliation monitoring. Register row 56, Critical.</w:t>
      </w:r>
    </w:p>
    <w:p>
      <w:pPr>
        <w:spacing w:after="120" w:line="276"/>
      </w:pPr>
      <w:r>
        <w:rPr>
          <w:color w:val="1A1A1A"/>
        </w:rPr>
        <w:t xml:space="preserve">115.367 requires a designated monitor and at least 90 days of monitoring for youth and staff who report. The department has a referral route through Internal Complaints for grievance-related retaliation and nothing on the monitoring side. Tiers 2 through 5 above all assume monitoring that does not currently exist.</w:t>
      </w:r>
    </w:p>
    <w:p>
      <w:pPr>
        <w:pStyle w:val="Heading1"/>
      </w:pPr>
      <w:r>
        <w:t xml:space="preserve">What County Counsel needs to confirm before this issues</w:t>
      </w:r>
    </w:p>
    <w:p>
      <w:pPr>
        <w:pStyle w:val="ListParagraph"/>
        <w:numPr>
          <w:ilvl w:val="0"/>
          <w:numId w:val="1"/>
        </w:numPr>
        <w:spacing w:after="80" w:line="264"/>
      </w:pPr>
      <w:r>
        <w:rPr>
          <w:color w:val="1A1A1A"/>
        </w:rPr>
        <w:t xml:space="preserve">The CANRA column in tiers 3, 4, and 5, and in particular whether peer-on-peer touching between similarly aged detained youth is reportable where no enumerated offense clearly applies. That is the question staff actually face and it is the one this guide cannot answer on its own.</w:t>
      </w:r>
    </w:p>
    <w:p>
      <w:pPr>
        <w:pStyle w:val="ListParagraph"/>
        <w:numPr>
          <w:ilvl w:val="0"/>
          <w:numId w:val="1"/>
        </w:numPr>
        <w:spacing w:after="80" w:line="264"/>
      </w:pPr>
      <w:r>
        <w:rPr>
          <w:color w:val="1A1A1A"/>
        </w:rPr>
        <w:t xml:space="preserve">Whether Penal Code 647.6 can reach directed sexualized conduct between detained minors, which determines tier 3.</w:t>
      </w:r>
    </w:p>
    <w:p>
      <w:pPr>
        <w:pStyle w:val="ListParagraph"/>
        <w:numPr>
          <w:ilvl w:val="0"/>
          <w:numId w:val="1"/>
        </w:numPr>
        <w:spacing w:after="80" w:line="264"/>
      </w:pPr>
      <w:r>
        <w:rPr>
          <w:color w:val="1A1A1A"/>
        </w:rPr>
        <w:t xml:space="preserve">Whether the department is designated under Penal Code 11165.9 to receive mandated reports, which determines whether the Penal Code 11166(j) cross-reporting duty applies to the department itself.</w:t>
      </w:r>
    </w:p>
    <w:p>
      <w:pPr>
        <w:pStyle w:val="ListParagraph"/>
        <w:numPr>
          <w:ilvl w:val="0"/>
          <w:numId w:val="1"/>
        </w:numPr>
        <w:spacing w:after="80" w:line="264"/>
      </w:pPr>
      <w:r>
        <w:rPr>
          <w:color w:val="1A1A1A"/>
        </w:rPr>
        <w:t xml:space="preserve">Whether any of this should be stated in a department-wide General Order on child abuse reporting rather than in a facility job aid. That order is already recommended as change 3.</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6"/>
        <w:szCs w:val="16"/>
      </w:rPr>
      <w:t xml:space="preserve">Supervisor decision guide. YDF. DRAFT, not for issuance.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2"/>
      <w:szCs w:val="32"/>
    </w:rPr>
  </w:style>
  <w:style w:type="paragraph" w:styleId="Heading2">
    <w:name w:val="Heading 2"/>
    <w:basedOn w:val="Normal"/>
    <w:next w:val="Normal"/>
    <w:qFormat/>
    <w:pPr>
      <w:spacing w:after="140" w:before="300"/>
    </w:pPr>
    <w:rPr>
      <w:rFonts w:ascii="Calibri" w:cs="Calibri" w:eastAsia="Calibri" w:hAnsi="Calibri"/>
      <w:b/>
      <w:bCs/>
      <w:color w:val="1A1A1A"/>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2026-09-29T19:37:38.508Z</dcterms:created>
  <dcterms:modified xsi:type="dcterms:W3CDTF">2026-09-29T19:37:38.508Z</dcterms:modified>
</cp:coreProperties>
</file>

<file path=docProps/custom.xml><?xml version="1.0" encoding="utf-8"?>
<Properties xmlns="http://schemas.openxmlformats.org/officeDocument/2006/custom-properties" xmlns:vt="http://schemas.openxmlformats.org/officeDocument/2006/docPropsVTypes"/>
</file>