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4"/>
          <w:szCs w:val="44"/>
        </w:rPr>
        <w:t xml:space="preserve">PREA versus Policy</w:t>
      </w:r>
    </w:p>
    <w:p>
      <w:pPr>
        <w:spacing w:after="500"/>
        <w:jc w:val="center"/>
      </w:pPr>
      <w:r>
        <w:rPr>
          <w:color w:val="5A5A5A"/>
          <w:sz w:val="28"/>
          <w:szCs w:val="28"/>
        </w:rPr>
        <w:t xml:space="preserve">A standard-by-standard crosswalk</w:t>
      </w:r>
    </w:p>
    <w:p>
      <w:pPr>
        <w:spacing w:after="60"/>
        <w:jc w:val="center"/>
      </w:pPr>
      <w:r>
        <w:rPr>
          <w:color w:val="1A1A1A"/>
          <w:sz w:val="24"/>
          <w:szCs w:val="24"/>
        </w:rPr>
        <w:t xml:space="preserve">Sacramento County Probation Department</w:t>
      </w:r>
    </w:p>
    <w:p>
      <w:pPr>
        <w:spacing w:after="400"/>
        <w:jc w:val="center"/>
      </w:pPr>
      <w:r>
        <w:rPr>
          <w:color w:val="1A1A1A"/>
          <w:sz w:val="24"/>
          <w:szCs w:val="24"/>
        </w:rPr>
        <w:t xml:space="preserve">Youth Detention Facility</w:t>
      </w:r>
    </w:p>
    <w:p>
      <w:pPr>
        <w:spacing w:after="900"/>
        <w:jc w:val="center"/>
      </w:pPr>
      <w:r>
        <w:rPr>
          <w:color w:val="5A5A5A"/>
          <w:sz w:val="22"/>
          <w:szCs w:val="22"/>
        </w:rPr>
        <w:t xml:space="preserve">Gap register Revision 6. 83 requirements assessed against 17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0"/>
                <w:szCs w:val="20"/>
              </w:rPr>
              <w:t xml:space="preserve">This is not legal advice. </w:t>
            </w:r>
            <w:r>
              <w:rPr>
                <w:color w:val="1A1A1A"/>
                <w:sz w:val="20"/>
                <w:szCs w:val="20"/>
              </w:rPr>
              <w:t xml:space="preserve">It is a policy-to-standard comparison prepared for internal remediation planning. Findings state what the documents reviewed contain. Where a requirement is recorded as not addressed, that means no provision appeared in the 17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17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Twelve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Sixteen requirements sit here. Ten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Forty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12</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14%</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16</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19%</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40</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48%</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17%</w:t>
            </w:r>
          </w:p>
        </w:tc>
      </w:tr>
      <w:tr>
        <w:tc>
          <w:tcPr>
            <w:tcW w:type="dxa" w:w="6480"/>
            <w:tcMar>
              <w:top w:type="dxa" w:w="60"/>
              <w:left w:type="dxa" w:w="100"/>
              <w:bottom w:type="dxa" w:w="60"/>
              <w:right w:type="dxa" w:w="100"/>
            </w:tcMar>
          </w:tcPr>
          <w:p>
            <w:pPr>
              <w:spacing w:after="40" w:before="40" w:line="240"/>
            </w:pPr>
            <w:r>
              <w:rPr>
                <w:b/>
                <w:bCs/>
                <w:color w:val="1A1A1A"/>
                <w:sz w:val="19"/>
                <w:szCs w:val="19"/>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19"/>
                <w:szCs w:val="19"/>
              </w:rPr>
              <w:t xml:space="preserve">83</w:t>
            </w:r>
          </w:p>
        </w:tc>
        <w:tc>
          <w:tcPr>
            <w:tcW w:type="dxa" w:w="1800"/>
            <w:tcMar>
              <w:top w:type="dxa" w:w="60"/>
              <w:left w:type="dxa" w:w="100"/>
              <w:bottom w:type="dxa" w:w="60"/>
              <w:right w:type="dxa" w:w="100"/>
            </w:tcMar>
          </w:tcPr>
          <w:p>
            <w:pPr>
              <w:spacing w:after="40" w:before="40" w:line="240"/>
              <w:jc w:val="right"/>
            </w:pPr>
            <w:r>
              <w:rPr>
                <w:b/>
                <w:bCs/>
                <w:color w:val="1A1A1A"/>
                <w:sz w:val="19"/>
                <w:szCs w:val="19"/>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19</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33</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17</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19"/>
                <w:szCs w:val="19"/>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Twelve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19"/>
          <w:szCs w:val="19"/>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115.342(c). LGBTI residents shall not be placed in particular housing, bed, or other assignments solely on the basis of that identification or status. 15 CCR 1352(e), verified against the edition effective 04/01/2014, says the same: staff shall not separate a youth from the general population or assign a single occupancy room based solely on sexual orientation, gender identity, or gender expression. 15 CCR 1324(h) separately requires the policy manual to bar restrictive housing or classification decisions made solely on those bases.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1352 II.M creates classification S-8 for any LGBTQI youth, and III.I requires single-room housing at all times for S-8.</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The chronology is worse than earlier revisions recorded. 15 CCR 1352(e) was not added by the 2019 Title 15 rewrite; it is in the edition effective 04/01/2014. S-8 was created 12/09/2019 and retained on the 02/27/2020 revision, five and a half years after the state rule was already in force. 1352(e) also states the lawful alternative on its face: individualized placement, or a single room at the youth's specific request. The 1324(h) route is the cleaner BSCC inspection finding, because it does not depend on whether PREA binds a county facility.</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19"/>
          <w:szCs w:val="19"/>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1352.5 III.I gives all transgender and intersex youth a single room.</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there is a privacy rationale and program access is preserved at III.K. It still contradicts III.B, III.F, and III.H of the same order.</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19"/>
          <w:szCs w:val="19"/>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V.A.4 and OO 1453 I.A.9 both state that sexual assault is reported to Child Protective Services verbally within 24 hours.</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19"/>
          <w:szCs w:val="19"/>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19"/>
          <w:szCs w:val="19"/>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 Separately, and now verified against source, 15 CCR 1391(e) attaches the due process elements to major rule violations as a class, while OO 1390/1391 IV.A attaches the hearing only where the recommended discipline is Program Separation. That narrowing is a confirmed Title 15 defect in its own right, actionable on BSCC inspection independent of PREA.</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19"/>
          <w:szCs w:val="19"/>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The note at OO 1352 II.F.2 states that a history of being a victim of molest, arson, or cruelty to animals should alert the Classification Officer to possible sexually inappropriate tendencies.</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19"/>
          <w:szCs w:val="19"/>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19"/>
          <w:szCs w:val="19"/>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19"/>
          <w:szCs w:val="19"/>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1453 I.A.15 directs the sexual abuse incident review report to the PREA Coordinator, a position the department does not have.</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19"/>
          <w:szCs w:val="19"/>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19"/>
          <w:szCs w:val="19"/>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I.I.1 still cites PC 288a. OO 1352 II.G.1 omits 287 from the S-4 High criteria entirely, so a 287 adjudication does not meet the enumerated criteria. OO 1352 II.C.3 references DJJ, which closed 06/30/2023.</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12. Intake policy substantively obsolete</w:t>
      </w:r>
    </w:p>
    <w:p>
      <w:pPr>
        <w:keepNext/>
        <w:spacing w:after="120"/>
      </w:pPr>
      <w:r>
        <w:rPr>
          <w:i/>
          <w:iCs/>
          <w:color w:val="5A5A5A"/>
          <w:sz w:val="19"/>
          <w:szCs w:val="19"/>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prea-register.csv.</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w:t>
      </w:r>
    </w:p>
    <w:p>
      <w:pPr>
        <w:spacing w:after="240" w:line="260"/>
      </w:pPr>
      <w:r>
        <w:rPr>
          <w:i/>
          <w:iCs/>
          <w:color w:val="5A5A5A"/>
          <w:sz w:val="19"/>
          <w:szCs w:val="19"/>
        </w:rPr>
        <w:t xml:space="preserve">Change log: MATERIALLY REVISED in 3: OO 1453 I.A.15 directs reports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 VERIFIED in Revision 5 against Title 15 rev. 04/01/2014, the only edition produced: 1321(h)(1)(A) sets one wide-awake youth supervision staff member for each 10 youth during waking hours and (B) one for each 30 during sleeping hours, for juvenile halls. The conflict with the federal 1:8 and 1:16 is confirmed on both sides. Two further points from source. 1321(h)(1)(E) excludes personnel whose primary responsibility is administration, supervision of personnel, academic or trade instruction, clerical, kitchen, or maintenance from counting as youth supervision staff, which is the state analogue of the federal security-staff-only rule and means the 1:10 count is already required to be a clean count. And 1301 provides that county standards may 'meet or exceed and do not conflict with' the state minimums, confirming that adopting 1:8 and 1:16 is open to the department without a variance.</w:t>
      </w:r>
    </w:p>
    <w:p>
      <w:pPr>
        <w:spacing w:after="240" w:line="260"/>
      </w:pPr>
      <w:r>
        <w:rPr>
          <w:i/>
          <w:iCs/>
          <w:color w:val="5A5A5A"/>
          <w:sz w:val="19"/>
          <w:szCs w:val="19"/>
        </w:rPr>
        <w:t xml:space="preserve">Change log: VERIFIED in 5: 15 CCR 1321(h)(1)(A)-(B) and 1301 confirmed against source; 1321(h)(1)(E) staff-exclusion rule added.</w:t>
      </w: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w:t>
      </w:r>
    </w:p>
    <w:p>
      <w:pPr>
        <w:spacing w:after="160"/>
      </w:pP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 VERIFIED in Revision 5 against Title 15 rev. 04/01/2014, the only edition produced: 1321(a) requires 'an adequate number of personnel sufficient to carry out its program,' and 1321(h) requires assignment of sufficient youth supervision staff for continuous wide awake supervision. Both read as cited. Neither supplies the written staffing plan this requirement concerns, so the finding stands. The eleven factors are enumerated here so the staffing plan can be drafted from this row rather than from the standard. 28 CFR 115.313(a) requires the agency to take into consideration: (1) generally accepted juvenile detention, correctional, or secure residential practices; (2) any judicial findings of inadequacy; (3) any findings of inadequacy from Federal investigative agencies; (4) any findings of inadequacy from internal or external oversight bodies; (5) all components of the facility's physical plant, including blind spots or areas where staff or residents may be isolated; (6) the composition of the resident population; (7) the number and placement of supervisory staff; (8) institution programs occurring on a particular shift; (9) any applicable State or local laws, regulations, or standards; (10) the prevalence of substantiated and unsubstantiated incidents of sexual abuse; and (11) any other relevant factors. Three are harder for this department than they look. Factor 10 cannot currently be computed at all, because the Internal Affairs six-category disposition taxonomy does not map to the three PREA findings; see row 81. Factor 4 now takes in this register itself, which is a finding of inadequacy from an internal review. Factor 5 has no supporting document, because the Institutional Policy on Video Recording and Photograph System has never been produced. CORROBORATION NOTE: the eleven factors are corroborated from search, including exact-phrase matches against the Cornell, eCFR, and PREA Resource Center listings, and have not been read from the Code of Federal Regulations itself, because network access to those sources is blocked from the drafting environment. Confirm the wording against 28 CFR 115.313(a) before it is adopted into a staffing plan.</w:t>
      </w:r>
    </w:p>
    <w:p>
      <w:pPr>
        <w:spacing w:after="240" w:line="260"/>
      </w:pPr>
      <w:r>
        <w:rPr>
          <w:i/>
          <w:iCs/>
          <w:color w:val="5A5A5A"/>
          <w:sz w:val="19"/>
          <w:szCs w:val="19"/>
        </w:rPr>
        <w:t xml:space="preserve">Change log: VERIFIED in 5: 15 CCR 1321(a) and (h) confirmed against source. REVISED in 6: the eleven 115.313(a) factors enumerated, with the factor 10, 4, and 5 problems named.</w:t>
      </w: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19"/>
          <w:szCs w:val="19"/>
        </w:rPr>
        <w:t xml:space="preserve">Change log: REVISED: gap text updated to credit the Attachment A medical screen. FLAGGED in 5: 15 CCR 1352.5 not confirmed; absent from the produced edition. REVISED in 6: 1352.5 confirmed against the 2019 edition and quoted.</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w:t>
      </w:r>
    </w:p>
    <w:p>
      <w:pPr>
        <w:spacing w:after="240" w:line="260"/>
      </w:pPr>
      <w:r>
        <w:rPr>
          <w:i/>
          <w:iCs/>
          <w:color w:val="5A5A5A"/>
          <w:sz w:val="19"/>
          <w:szCs w:val="19"/>
        </w:rPr>
        <w:t xml:space="preserve">Change log: NEW in revision 2. Split out from the main 115.317 row.</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19"/>
          <w:szCs w:val="19"/>
        </w:rPr>
        <w:t xml:space="preserve">Change log: FLAGGED in 5: 15 CCR 1324(n) not confirmed; produced edition ends 1324 at (j). REVISED in 6: 1324(n) confirmed against the 2019 edition and quoted.</w:t>
      </w: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 VERIFIED in Revision 6 against Title 15 effective 01/01/2019, the post-rewrite edition: 1360(g) exists and reads 'Cross-gender pat-down searches and strip searches are prohibited except in exigent circumstances or when conducted by a medical professional. Such searches must be justified and documented in writing.' The citation is sound as used in this row.</w:t>
      </w:r>
    </w:p>
    <w:p>
      <w:pPr>
        <w:spacing w:after="240" w:line="260"/>
      </w:pPr>
      <w:r>
        <w:rPr>
          <w:i/>
          <w:iCs/>
          <w:color w:val="5A5A5A"/>
          <w:sz w:val="19"/>
          <w:szCs w:val="19"/>
        </w:rPr>
        <w:t xml:space="preserve">Change log: REVISED: was Partial / High. OO 1360 reviewed; most elements met or exceeded. Remaining gap narrowed to cross-gender pat-down documentation. FLAGGED in 5: 15 CCR 1360(g) not confirmed; produced edition ends 1360 at (f). REVISED in 6: 1360(g) confirmed against the 2019 edition and quoted.</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 VERIFIED in Revision 5 against Title 15 rev. 04/01/2014, the only edition produced: 1353 requires orientation before placement in a living area, in both written and verbal form, with provision for youth with disabilities, limited English proficiency, or limited literacy, across sixteen listed topics at (a) to (p), including (p) non-discrimination policy. The accessibility duty this requirement concerns is confirmed.</w:t>
      </w:r>
    </w:p>
    <w:p>
      <w:pPr>
        <w:spacing w:after="240" w:line="260"/>
      </w:pPr>
      <w:r>
        <w:rPr>
          <w:i/>
          <w:iCs/>
          <w:color w:val="5A5A5A"/>
          <w:sz w:val="19"/>
          <w:szCs w:val="19"/>
        </w:rPr>
        <w:t xml:space="preserve">Change log: VERIFIED in 5: 15 CCR 1353 confirmed against source.</w:t>
      </w: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19"/>
          <w:szCs w:val="19"/>
        </w:rPr>
        <w:t xml:space="preserve">Change log: REVISED in 2.1: the continuing affirmative duty to disclose exists. Remaining work is producing the writing and confirming its scope reaches non-criminal conduct.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19"/>
          <w:szCs w:val="19"/>
        </w:rPr>
        <w:t xml:space="preserve">Change log: MATERIALLY REVISED in 3: was Not Evidenced. OO 1352.5 closes this and resolves the OO 1360 conflict. FLAGGED in 5: 15 CCR 1352.5 not confirmed; absent from the produced edition. REVISED in 6: 1352.5 confirmed against the 2019 edition and quoted.</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 VERIFIED in Revision 5 against Title 15 rev. 04/01/2014, the only edition produced: 1453 requires the health administrator, with the facility administrator, to develop policy for treating victims of sexual assault and for reporting such incidents to local law enforcement, and requires that 'the evidentiary examination and initial treatment of victims of sexual assault shall be conducted at a health facility that is separate from the custodial facility and is properly equipped and staffed with personnel trained and experienced in such procedures.' The off-site examination duty is a state requirement, not merely a PREA preference. 1452 requires forensic evidence to be collected by appropriately trained medical personnel who are not responsible for the youth's ongoing health care.</w:t>
      </w:r>
    </w:p>
    <w:p>
      <w:pPr>
        <w:spacing w:after="240" w:line="260"/>
      </w:pPr>
      <w:r>
        <w:rPr>
          <w:i/>
          <w:iCs/>
          <w:color w:val="5A5A5A"/>
          <w:sz w:val="19"/>
          <w:szCs w:val="19"/>
        </w:rPr>
        <w:t xml:space="preserve">Change log: REVISED in 3: OO 1453 evidence procedure credited; training prerequisite and protocol derivation identified as the residual gaps. VERIFIED in 5: 15 CCR 1452 and 1453 confirmed against source, including the off-site evidentiary examination requirement.</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 VERIFIED in Revision 5 against Title 15 rev. 04/01/2014, the only edition produced: 1453 requires the evidentiary examination and initial treatment to occur at a health facility separate from the custodial facility, properly equipped and staffed with trained and experienced personnel. 1452 requires collection by trained medical personnel who are not the youth's ongoing care providers.</w:t>
      </w:r>
    </w:p>
    <w:p>
      <w:pPr>
        <w:spacing w:after="240" w:line="260"/>
      </w:pPr>
      <w:r>
        <w:rPr>
          <w:i/>
          <w:iCs/>
          <w:color w:val="5A5A5A"/>
          <w:sz w:val="19"/>
          <w:szCs w:val="19"/>
        </w:rPr>
        <w:t xml:space="preserve">Change log: VERIFIED in 5: 15 CCR 1452 and 1453 confirmed against source.</w:t>
      </w: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w:t>
      </w:r>
    </w:p>
    <w:p>
      <w:pPr>
        <w:spacing w:after="240" w:line="260"/>
      </w:pPr>
      <w:r>
        <w:rPr>
          <w:i/>
          <w:iCs/>
          <w:color w:val="5A5A5A"/>
          <w:sz w:val="19"/>
          <w:szCs w:val="19"/>
        </w:rPr>
        <w:t xml:space="preserve">Change log: REVISED in 3: OO 1453 I.A.13 credited.</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w:t>
      </w:r>
    </w:p>
    <w:p>
      <w:pPr>
        <w:spacing w:after="240" w:line="260"/>
      </w:pPr>
      <w:r>
        <w:rPr>
          <w:i/>
          <w:iCs/>
          <w:color w:val="5A5A5A"/>
          <w:sz w:val="19"/>
          <w:szCs w:val="19"/>
        </w:rPr>
        <w:t xml:space="preserve">Change log: REVISED in 3: OO 1453 referral provisions credited.</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19"/>
          <w:szCs w:val="19"/>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 VERIFIED in Revision 5 against Title 15 rev. 04/01/2014, the only edition produced: 1324(d) requires an initial orientation and training program for employees, and 1324(e) requires initial orientation including safety, security, and anti-discrimination policies for support staff, contract employees, school and medical staff, program providers, and volunteers. Both subsections read as cited.</w:t>
      </w:r>
    </w:p>
    <w:p>
      <w:pPr>
        <w:spacing w:after="240" w:line="260"/>
      </w:pPr>
      <w:r>
        <w:rPr>
          <w:i/>
          <w:iCs/>
          <w:color w:val="5A5A5A"/>
          <w:sz w:val="19"/>
          <w:szCs w:val="19"/>
        </w:rPr>
        <w:t xml:space="preserve">Change log: VERIFIED in 5: 15 CCR 1324(d) and (e) confirmed against source.</w:t>
      </w: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 VERIFIED in Revision 5 against Title 15 rev. 04/01/2014, the only edition produced: 1324(e) reaches support staff, contract employees, school and medical staff, program providers, and volunteers, which is the population this requirement concerns.</w:t>
      </w:r>
    </w:p>
    <w:p>
      <w:pPr>
        <w:spacing w:after="240" w:line="260"/>
      </w:pPr>
      <w:r>
        <w:rPr>
          <w:i/>
          <w:iCs/>
          <w:color w:val="5A5A5A"/>
          <w:sz w:val="19"/>
          <w:szCs w:val="19"/>
        </w:rPr>
        <w:t xml:space="preserve">Change log: VERIFIED in 5: 15 CCR 1324(e) confirmed against source.</w:t>
      </w: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 CITATION FLAGGED in Revision 5. In the produced edition, 15 CCR 1353(c) is 'access to legal services,' which is not the resident education content this row scores. Either the subsection lettering changed in the January 2019 rewrite or the citation is to the wrong subsection. The substance of the finding is unaffected, because 1353 plainly requires orientation on the listed topics, but the pinpoint must be corrected against the current edition before it is quoted. RESOLVED in Revision 6. The lettering did change in the January 2019 rewrite. In the edition effective 01/01/2019, 1353(c) reads 'age appropriate information that explains the facility's policy prohibiting sexual abuse and sexual harassment and how to report incidents or suspicions of sexual abuse or sexual harassment,' which is exactly the content this row scores. The citation is correct for the current text and was correct all along; it was the 2014 edition that did not match.</w:t>
      </w:r>
    </w:p>
    <w:p>
      <w:pPr>
        <w:spacing w:after="240" w:line="260"/>
      </w:pPr>
      <w:r>
        <w:rPr>
          <w:i/>
          <w:iCs/>
          <w:color w:val="5A5A5A"/>
          <w:sz w:val="19"/>
          <w:szCs w:val="19"/>
        </w:rPr>
        <w:t xml:space="preserve">Change log: FLAGGED in 5: 15 CCR 1353(c) reads 'access to legal services' in the produced edition; pinpoint needs correction against the current text. RESOLVED in 6: the 1353(c) flag is cleared. The 2019 rewrite moved it; the citation is correct for current text.</w:t>
      </w: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 VERIFIED in Revision 5 against Title 15 rev. 04/01/2014, the only edition produced: 1353 is confirmed, including the requirement that orientation occur prior to placement in a living area and be given in both written and verbal form.</w:t>
      </w:r>
    </w:p>
    <w:p>
      <w:pPr>
        <w:spacing w:after="240" w:line="260"/>
      </w:pPr>
      <w:r>
        <w:rPr>
          <w:i/>
          <w:iCs/>
          <w:color w:val="5A5A5A"/>
          <w:sz w:val="19"/>
          <w:szCs w:val="19"/>
        </w:rPr>
        <w:t xml:space="preserve">Change log: VERIFIED in 5: 15 CCR 1353 confirmed against source.</w:t>
      </w: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 MATERIALLY STRENGTHENED in Revision 5 by verification against source. 15 CCR 1352(e) reads, in the edition effective April 1, 2014: 'provide that facility staff shall not separate youth from the general population or assign youth to a single occupancy room based solely on the youth's actual or perceived race, ethnic group identification, ancestry, national origin, color, religion, gender, sexual orientation, gender identity, gender expression, mental or physical disability, or HIV status.' The section then supplies its own carve-out: 'This section does not prohibit staff from placing youth in a single occupancy room at the youth's specific request or in accordance with Title 15 regulations regarding separation.' Two consequences. First, the chronology is far worse than Revision 4 recorded. This rule was not added by the 2019 Title 15 rewrite. It has been California law since at least April 1, 2014, five and a half years before OO 1352 created S-8 on December 9, 2019 and retained it on the February 27, 2020 revision. Second, the carve-out states the lawful alternative on the face of the regulation: individualized placement, or single-room housing at the youth's own request. S-8 is neither. A second and independent state hook is now confirmed: 1324(k) requires the policy and procedure manual itself to contain a non-discrimination provision barring discrimination on the same listed bases 'including restrictive housing or classification decisions based solely on any of the above mentioned categories.' S-8 is a classification decision based solely on a listed category, so it is both an operational violation of 1352(e) and a defect in the required contents of the manual under 1324(k). The 1324(k) route is the cleaner BSCC inspection finding because it does not depend on whether PREA binds a county facility. VERIFIED in Revision 6 against Title 15 effective 01/01/2019, the post-rewrite edition: 1352(f) exists and is a third and independent hook on S-8: 'facility staff shall not consider lesbian, gay, bisexual, transgender, questioning or intersex identification or status as an indicator of likelihood of being sexually abusive.' If the S-series is a sexual-risk taxonomy, which the S-4 High and S-4 Low criteria indicate, then placing LGBTQI youth into that series at all is what 1352(f) forbids, independent of the housing consequence. Confirming that requires OO 1352, which has never been produced, so it is recorded as a hook to test rather than as a scored finding. CITATION CORRECTED in Revision 6, and this one was load-bearing. Revision 5 recorded the non-discrimination hook as 1324(h) from the 04/01/2014 edition. In the edition effective 01/01/2019, 1324(h) is 'trauma-informed approaches' and the non-discrimination provision is 1324(k). The 2019 text is also broader than the 2014 text, adding immigration status to the listed bases. Anything citing 1324(h) for this proposition, including redline change 1 as originally drafted, is wrong for the current edition.</w:t>
      </w:r>
    </w:p>
    <w:p>
      <w:pPr>
        <w:spacing w:after="240" w:line="260"/>
      </w:pPr>
      <w:r>
        <w:rPr>
          <w:i/>
          <w:iCs/>
          <w:color w:val="5A5A5A"/>
          <w:sz w:val="19"/>
          <w:szCs w:val="19"/>
        </w:rPr>
        <w:t xml:space="preserve">Change log: REVISED in 3: OO 1352.5 III.H adds a fourth internal contradiction and a damaging chronology. MATERIALLY REVISED in 5: 15 CCR 1352(e) verified against source and dated to 04/01/2014, not 2019, so S-8 postdates the rule by five and a half years. 15 CCR 1324(h) added as an independent hook. 1352(f) not confirmed. CORRECTED in 6: 1324(h) is 1324(k) in the 2019 edition. 1352(f) confirmed and added as a third hook.</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19"/>
          <w:szCs w:val="19"/>
        </w:rPr>
        <w:t xml:space="preserve">Change log: MATERIALLY REVISED in 3: was Not Evidenced. OO 1352.5 largely closes the standard; III.I is a discrete conflict. FLAGGED in 5: 15 CCR 1352.5 not confirmed; absent from the produced edition. REVISED in 6: 1352.5 confirmed and quoted. 1352.5(c) is the individualized standard the III.I categorical rule conflicts with.</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6 against Title 15 effective 01/01/2019, the post-rewrite edition: 1350.5(a) lists 'Prior sexual victimization or abusiveness' as a single screening factor and 1350.5(b) treats LGBTQI identification as bearing on whether a youth 'may, therefore, be vulnerable to sexual abuse.' The state text therefore uses victimization to assess vulnerability, never abusiveness, which is the same separation 115.341(c) draws. A further and independent hook now confirmed: 1352(f) provides that 'facility staff shall not consider lesbian, gay, bisexual, transgender, questioning or intersex identification or status as an indicator of likelihood of being sexually abusive.' That provision does not reach the II.F.2 molest-victim note directly, because that note turns on victimization history rather than LGBTQI status, but it establishes that California has legislated against precisely this species of inference inside the classification section.</w:t>
      </w:r>
    </w:p>
    <w:p>
      <w:pPr>
        <w:spacing w:after="240" w:line="260"/>
      </w:pPr>
      <w:r>
        <w:rPr>
          <w:i/>
          <w:iCs/>
          <w:color w:val="5A5A5A"/>
          <w:sz w:val="19"/>
          <w:szCs w:val="19"/>
        </w:rPr>
        <w:t xml:space="preserve">Change log: NEW in revision 2, from OO 1352. FLAGGED in 5: 15 CCR 1350.5 not confirmed; absent from the produced edition. REVISED in 6: 1350.5 confirmed and quoted. 1352(f) added as adjacent state authority against status-based abusiveness inference.</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w:t>
      </w:r>
    </w:p>
    <w:p>
      <w:pPr>
        <w:spacing w:after="240" w:line="260"/>
      </w:pPr>
      <w:r>
        <w:rPr>
          <w:i/>
          <w:iCs/>
          <w:color w:val="5A5A5A"/>
          <w:sz w:val="19"/>
          <w:szCs w:val="19"/>
        </w:rPr>
        <w:t xml:space="preserve">Change log: REVISED: gap text updated to credit MAYSI-2, CATS, ATV, and the S-4 criteria while explaining why none satisfies the standard.</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19"/>
          <w:szCs w:val="19"/>
        </w:rPr>
        <w:t xml:space="preserve">Change log: REVISED: OO 1352 V classification review cycle credited; gap narrowed and sharpened. FLAGGED in 5: 15 CCR 1350.5 not confirmed; absent from the produced edition. REVISED in 6: 1350.5 confirmed against the 2019 edition and quoted.</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III.D; OO 1352 III.E.1.a (S-4 High single room), III.I (S-8 single room); OO 1354.5 (Room Confinement, eff. 04/05/2023) I.A-E, II.A-K, III.A</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Materially improved by OO 1354.5, effective April 5, 2023, which was not available for revisions 1 through 3. What that order supplies: room confinement only on enumerated criteria, with less restrictive options attempted and exhausted (I.A), which is the last resort standard; an express prohibition on confinement for punishment, coercion, convenience, or retaliation by staff, and on confinement that compromises the youth's mental or physical health (I.C), tracking WIC 208.3; thorough documentation in an Institutional Incident Report including the time placed and the time removed, imposed only by a supervisor or Watch Commander (I.B); and for extended room confinement beyond four hours, documented justification (II.E), imposition only by a YDF manager (II.G), documented manager authorization for the initial extension and again every four hours thereafter carrying the justification, the basis for the extension, and the date and time the youth is authorized to return to full programming (II.K), an individualized reintegration plan with goals and objectives (II.H.4, II.K.3), and immediate discontinuance once the youth can safely return (II.H.5). III.A guarantees one hour of large muscle exercise, education including individual instruction in the unit day space or the youth's room where classroom attendance is unsafe, and access to medical services and mental health counseling. The four-hour review cycle and the documented supervisor authorization that revision 3 recorded as missing are therefore present, and the WIC 208.3 interaction that revision 3 said the PREA policy did not address is now addressed in a current order. Two defects persist and one is new. First, III.A guarantees access to medical services and mental health counseling, where the standard requires daily visits from a medical or mental health clinician. Access is a weaker duty than an affirmative daily visit, and on its face weaker than the regular visits language in PREA Policy III.D that revision 3 already scored as insufficient. Second, no provision expressly requires documentation of why no alternative separation could be arranged, which 115.342(h) requires, although I.A.4 makes exhaustion of less restrictive options a criterion and I.B requires thorough IIR documentation, so this is close. Third and most significant for PREA: OO 1354.5 defines Separation in its definitions section, expressly including protective custody, and then regulates only Room Confinement and Extended Room Confinement. None of the safeguards above attach to a protective separation, which is the placement this standard actually governs. OO 1352's categorical single-room rules for S-4 High and S-8 remain in place and remain the other half of this finding. OO 1354, still outstanding, is the document that would close the scope hole. VERIFIED in Revision 5 against Title 15 rev. 04/01/2014, the only edition produced: 1354 requires written policies and procedures addressing separation 'for reasons that include, but are not be limited to, medical and mental health conditions, assaultive behavior, disciplinary consequences and protective custody,' provides that 'Separated youth shall not be denied normal privileges available at the facility, except when necessary to accomplish the objective of separation,' and requires that policies 'ensure a daily review of separated youth to determine if separation remains necessary.' This confirms and sharpens the Revision 4 finding. OO 1354.5's definition of Separation tracks the 1354 list almost verbatim, so the department took the scope from 1354 and then wrote safeguards for only one branch of it. The daily review obligation attaches to all separated youth, including protective custody, and is the specific provision OO 1354 must be shown to implement.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w:t>
      </w:r>
    </w:p>
    <w:p>
      <w:pPr>
        <w:spacing w:after="240" w:line="260"/>
      </w:pPr>
      <w:r>
        <w:rPr>
          <w:i/>
          <w:iCs/>
          <w:color w:val="5A5A5A"/>
          <w:sz w:val="19"/>
          <w:szCs w:val="19"/>
        </w:rPr>
        <w:t xml:space="preserve">Change log: REVISED: OO 1352 categorical single-room rules added to the gap. REVISED in 4: OO 1354.5 reviewed. Four-hour cycle, supervisor authorization, exercise, education, and the punitive-use prohibition are now documented. Daily clinician visits still missing, and OO 1354.5 excludes protective separation from its own scope. VERIFIED in 5: 15 CCR 1354 confirmed against source, including the daily review duty covering protective custody. 1354.5 not confirmed. REVISED in 6: 1354.5 confirmed against the 2019 edition and quoted.</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19"/>
          <w:szCs w:val="19"/>
        </w:rPr>
        <w:t xml:space="preserve">Change log: FLAGGED in 5: 15 CCR 1350.5 not confirmed; absent from the produced edition. REVISED in 6: 1350.5 confirmed against the 2019 edition and quoted.</w:t>
      </w: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w:t>
      </w:r>
    </w:p>
    <w:p>
      <w:pPr>
        <w:spacing w:after="240" w:line="260"/>
      </w:pPr>
      <w:r>
        <w:rPr>
          <w:i/>
          <w:iCs/>
          <w:color w:val="5A5A5A"/>
          <w:sz w:val="19"/>
          <w:szCs w:val="19"/>
        </w:rPr>
        <w:t xml:space="preserve">Change log: MATERIALLY REVISED: was Partial / High. OO 1352 states the standard nearly verbatim.</w:t>
      </w:r>
    </w:p>
    <w:p>
      <w:pPr>
        <w:pStyle w:val="Heading2"/>
      </w:pPr>
      <w:r>
        <w:t xml:space="preserve">Reporting</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19"/>
          <w:szCs w:val="19"/>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19"/>
          <w:szCs w:val="19"/>
        </w:rPr>
        <w:t xml:space="preserve">Change log: REVISED: was Critical. OYCR Ombudsperson provides a partial external route; agency-side method and publication still required. FLAGGED in 5: 15 CCR 1324(n) not confirmed; produced edition ends 1324 at (j). REVISED in 6: 1324(n) confirmed against the 2019 edition and quoted.</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(Grievances) I.C, I.D, II.A, II.B; PREA Policy II.B.2; Internal Complaints (Administrative P&amp;P Manual, rev. 10/30/2013), Resident Grievances or Complaints; Non-Discretionary Referral to Internal Affairs</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 Internal Complaints narrows the retaliation element. It makes retaliation for filing a grievance a non-discretionary referral to the Assistant Division Chief of Internal Affairs, which gives a resident complaint about retaliation a mandatory destination once it is made. It does not make retaliation a separately reportable category within the resident-facing reporting routes, which is what this standard requires, and it does not name staff neglect or violation of responsibilities as reportable. Its resident grievance section also inserts a review gate: a grievance alleging staff misconduct is forwarded to an institutional manager for review, and only if that manager determines misconduct is alleged or present does the matter become a personnel complaint. For a sexual abuse allegation that gate should not exist, and removing it belongs in the same amendment as the OO 1361 rebuild.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19"/>
          <w:szCs w:val="19"/>
        </w:rPr>
        <w:t xml:space="preserve">Change log: REVISED: was Partial / High. OO 1361 supplies multiple internal private routes; gap narrowed to retaliation and staff-neglect reporting. REVISED in 4: Internal Complaints reviewed. Retaliation now has a mandatory destination once reported. New observation: an institutional manager review gate sits ahead of the personnel complaint route. FLAGGED in 5: 15 CCR 1361(h) not confirmed; produced edition ends 1361 at (f). REVISED in 6: 1361(h) confirmed against the 2019 edition and quoted.</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19"/>
          <w:szCs w:val="19"/>
        </w:rPr>
        <w:t xml:space="preserve">Change log: REVISED in 3: youth advocates eliminated; OYCR Ombudsperson identified as the operative channel. Path to closure is now specific. FLAGGED in 5: 15 CCR 1361(h) not confirmed; produced edition ends 1361 at (f). REVISED in 6: 1361(h) confirmed against the 2019 edition and quoted.</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19"/>
          <w:szCs w:val="19"/>
        </w:rPr>
        <w:t xml:space="preserve">Change log: REVISED: was Partial / High. OO 1361 closes the tools-and-access half; gap narrowed to anonymous, third-party, and documentation of verbal reports.</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Complaints (Administrative P&amp;P Manual, rev. 10/30/2013), Non-Discretionary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Upgraded from Not Addressed. Revision 3 recorded that staff had no private channel and named the cheap fix as a confidential line, a named recipient outside the chain, or an express route to Internal Affairs stated in policy. The Internal Complaints policy supplies the third of those. Any internally generated complaint where staff misconduct is alleged or present shall be referred to the Assistant Division Chief of Internal Affairs where the matter involves unreasonable use of force, threats of violence toward a resident, retaliation for filing a grievance, or criminal conduct, documented on a Personnel Complaint Intake Form and forwarded to the Internal Affairs Manager. Staff sexual abuse of a resident is criminal conduct, so the route is mandatory and the recipient is named and sits outside the living unit chain. That is a method within the meaning of the standard. What is still missing is the privacy the standard exists to provide. The policy nowhere states that the route is confidential, does not say who makes the referral or that any employee may make it directly, and does not address the case the standard is written for, where the suspected abuser is the reporting employee's supervisor or the institutional manager to whom resident grievances are routed for review. The residual fix is narrow: state in policy that any employee may report directly and confidentially to Internal Affairs without going through the chain of command and that no supervisor may impede or inhibit the report, which also aligns the department with PC 11166(i)(1). Priority is held at High notwithstanding the narrowing, because the part that remains open is precisely the scenario the standard protects. VERIFIED in Revision 6 against Title 15 effective 01/01/2019, the post-rewrite edition: 1361(h) requires the policy to 'provide multiple internal and external methods to report sexual abuse and sexual harassment' and requires that concerns of 'parents, guardians, staff or other parties' be addressed and documented within a specified timeframe. Staff are named in the state text, so a staff reporting route is a Title 15 requirement and not only a PREA one. 1324(n) independently requires a provision for reporting 'by youth, staff or a third party.'</w:t>
      </w:r>
    </w:p>
    <w:p>
      <w:pPr>
        <w:spacing w:after="240" w:line="260"/>
      </w:pPr>
      <w:r>
        <w:rPr>
          <w:i/>
          <w:iCs/>
          <w:color w:val="5A5A5A"/>
          <w:sz w:val="19"/>
          <w:szCs w:val="19"/>
        </w:rPr>
        <w:t xml:space="preserve">Change log: REVISED in 3: downgraded from Partial. The advocates credited in revision 2.1 no longer exist. REVISED in 4: upgraded from Not Addressed to Partial. Internal Complaints supplies the express, mandatory route to Internal Affairs that revision 3 identified as a sufficient fix. Privacy is still not stated. Priority held at High. REVISED in 6: 1361(h) and 1324(n) added as confirmed state hooks. Staff reporting is named in both, so this is a Title 15 defect too.</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(Grievances), I.A, II.B, II.D, II.F, IV; Internal Complaints (Administrative P&amp;P Manual, rev. 10/30/2013), Resident Grievances or Complaints</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 Internal Complaints, now reviewed, closes none of the five gaps above. It directs that resident grievances be handled first under the Juvenile Institutions Grievance Policy, and adds one provision worth keeping in the rebuild: every attempt shall be made to interview the grievant and identified resident witnesses regardless of whether they have been released. It also inserts the institutional manager review gate described at row 38, which sits awkwardly against the duty to accept and process a sexual abuse grievance and should be expressly excepted for those allegations. VERIFIED in Revision 5 against Title 15 rev. 04/01/2014, the only edition produced: 1361 is confirmed as cited, running (a) to (f). 1361(b) is directly relevant and was not previously drawn out: it requires that 'the youth shall have the option to confidentially file the grievance.' The confidential filing option is therefore already a state requirement, which narrows what OO 1361 has to add. VERIFIED in Revision 6 against Title 15 effective 01/01/2019, the post-rewrite edition: 1361(h) supplies state authority for two of the five open gaps in this row. It requires 'multiple internal and external methods to report sexual abuse and sexual harassment,' which reaches the external reporting gap, and it requires that concerns of 'parents, guardians, staff or other parties' be addressed and documented within a specified timeframe 'whether or not associated with a grievance,' which reaches the third-party filing gap. It does not supply the emergency grievance track, the outer bound on the extension, or the bad-faith-only discipline rule; those remain federal-only.</w:t>
      </w:r>
    </w:p>
    <w:p>
      <w:pPr>
        <w:spacing w:after="240" w:line="260"/>
      </w:pPr>
      <w:r>
        <w:rPr>
          <w:i/>
          <w:iCs/>
          <w:color w:val="5A5A5A"/>
          <w:sz w:val="19"/>
          <w:szCs w:val="19"/>
        </w:rPr>
        <w:t xml:space="preserve">Change log: MATERIALLY REVISED: was Not Evidenced / Critical. OO 1361 reviewed; four of the standard's elements are met and five discrete gaps remain. REVISED in 4: Internal Complaints reviewed. None of the five gaps close. VERIFIED in 5: 15 CCR 1361 confirmed against source; 1361(b) confidential filing option added. REVISED in 6: 1361(h) added as a confirmed state hook reaching the external reporting and third-party filing gaps.</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19"/>
          <w:szCs w:val="19"/>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19"/>
          <w:szCs w:val="19"/>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w:t>
      </w:r>
    </w:p>
    <w:p>
      <w:pPr>
        <w:spacing w:after="240" w:line="260"/>
      </w:pPr>
      <w:r>
        <w:rPr>
          <w:i/>
          <w:iCs/>
          <w:color w:val="5A5A5A"/>
          <w:sz w:val="19"/>
          <w:szCs w:val="19"/>
        </w:rPr>
        <w:t xml:space="preserve">Change log: REVISED in 3: the same 24-hour error appears again in OO 1453, revised December 2019.</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IV.A; V.A.7; Internal Complaints (Administrative P&amp;P Manual, rev. 10/30/2013), Non-Discretionary Referral to Internal Affairs</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 Internal Complaints partially reaches the retaliation element, but at the routing level rather than the duty level: retaliation for filing a grievance is a mandatory Internal Affairs referral once a complaint exists. It imposes no duty on staff to report retaliation they observe, and it does not touch sexual harassment as a separately reportable category or staff neglect or violation of responsibilities contributing to an incident. The reporting duty and the routing rule need to be stated together, in the same amendment.</w:t>
      </w:r>
    </w:p>
    <w:p>
      <w:pPr>
        <w:spacing w:after="240" w:line="260"/>
      </w:pPr>
      <w:r>
        <w:rPr>
          <w:i/>
          <w:iCs/>
          <w:color w:val="5A5A5A"/>
          <w:sz w:val="19"/>
          <w:szCs w:val="19"/>
        </w:rPr>
        <w:t xml:space="preserve">Change log: REVISED in 4: Internal Complaints reviewed. Retaliation routing exists; the staff reporting duty still does not reach it.</w:t>
      </w: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w:t>
      </w:r>
    </w:p>
    <w:p>
      <w:pPr>
        <w:spacing w:after="240" w:line="260"/>
      </w:pPr>
      <w:r>
        <w:rPr>
          <w:i/>
          <w:iCs/>
          <w:color w:val="5A5A5A"/>
          <w:sz w:val="19"/>
          <w:szCs w:val="19"/>
        </w:rPr>
        <w:t xml:space="preserve">Change log: MATERIALLY REVISED in 3: OO 1453 closes 115.364(a). Only the non-security responder duty remains.</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w:t>
      </w:r>
    </w:p>
    <w:p>
      <w:pPr>
        <w:spacing w:after="240" w:line="260"/>
      </w:pPr>
      <w:r>
        <w:rPr>
          <w:i/>
          <w:iCs/>
          <w:color w:val="5A5A5A"/>
          <w:sz w:val="19"/>
          <w:szCs w:val="19"/>
        </w:rPr>
        <w:t xml:space="preserve">Change log: MATERIALLY REVISED in 3: was Not Addressed. OO 1453 is functionally the plan.</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Guidelines (retaliation paragraph); Internal Complaints (Administrative P&amp;P Manual, rev. 10/30/2013), Non-Discretionary Referral to Internal Affairs; Notification and Tracking</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 Internal Complaints supplies the first operational retaliation element the department has on paper. Retaliation for filing a grievance is a non-discretionary referral to the Assistant Division Chief of Internal Affairs, all such matters are tracked and their documentation retained by Internal Affairs, and a Case Dispositional Notice goes to the complainant. That is a named recipient and a tracking mechanism, and it partially answers the designation element. It does not reach retaliation for reporting sexual abuse by any route other than a grievance, and it does not reach retaliation against staff who report or cooperate. Everything on the monitoring side remains absent: no 90-day monitoring period, no enumerated indicators, no periodic status checks with the youth, and no protection measures list. Priority stays Critical. VERIFIED in Revision 6 against Title 15 effective 01/01/2019, the post-rewrite edition: 1324(n) requires the policy and procedure manual to establish a policy prohibiting all forms of sexual abuse, sexual assault and sexual harassment, including 'an approach to preventing, detecting and responding to such conduct and any retaliation for reporting such conduct.' Retaliation is named in the state requirement, so the absence of a retaliation response in the manual is a Title 15 defect and not only a PREA gap. That makes this row actionable on BSCC inspection independent of PREA. 1361(h) adds that concerns of 'parents, guardians, staff or other parties' shall be addressed and documented within a specified timeframe.</w:t>
      </w:r>
    </w:p>
    <w:p>
      <w:pPr>
        <w:spacing w:after="240" w:line="260"/>
      </w:pPr>
      <w:r>
        <w:rPr>
          <w:i/>
          <w:iCs/>
          <w:color w:val="5A5A5A"/>
          <w:sz w:val="19"/>
          <w:szCs w:val="19"/>
        </w:rPr>
        <w:t xml:space="preserve">Change log: REVISED in 4: Internal Complaints reviewed. A designated recipient and tracking now exist for grievance retaliation; all monitoring elements still missing. REVISED in 6: 1324(n) added as a confirmed state hook. Retaliation is named in the required contents of the manual, so this is now a Title 15 defect too.</w:t>
      </w: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III.D; OO 1354.5 (Room Confinement, eff. 04/05/2023) Definitions, I.A-E, II.A-K, III.A</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Sharpened by OO 1354.5. That order builds a detailed safeguard structure for room confinement: enumerated criteria, imposition only by a supervisor or Watch Commander, YDF manager authorization for any extension and again every four hours, documented justification and reintegration planning, and an enumerated list of provisions that may not be withdrawn. It then places protective separation outside its own scope. The Definitions section defines Separation as limiting a youth's participation in regular programming for a specific purpose including protective custody, and the operative sections govern only Room Confinement and Extended Room Confinement. The practical result is that the placement 115.368 governs, segregated housing used to protect a resident alleged to have suffered sexual abuse, carries fewer written safeguards than a placement used for a youth who is a behavior problem. That is the wrong way round and it is the kind of asymmetry an auditor and a plaintiff both notice. The remedy is less new drafting than extension: apply the OO 1354.5 authorization, documentation, review, and non-deprivable provisions to protective separation, and produce OO 1354 so the two can be reconciled. The daily clinician visit defect recorded at row 35 carries over here, since 115.368 incorporates the 115.342 isolation requirements by reference. VERIFIED in Revision 5 against Title 15 rev. 04/01/2014, the only edition produced: 1354 expressly includes protective custody within separation and requires a daily review of all separated youth, together with retention of normal privileges except as necessary to accomplish the objective of the separation. The protective placement this requirement concerns is therefore already regulated by state law at a level OO 1354.5 does not reach, which raises the value of producing OO 1354.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w:t>
      </w:r>
    </w:p>
    <w:p>
      <w:pPr>
        <w:spacing w:after="240" w:line="260"/>
      </w:pPr>
      <w:r>
        <w:rPr>
          <w:i/>
          <w:iCs/>
          <w:color w:val="5A5A5A"/>
          <w:sz w:val="19"/>
          <w:szCs w:val="19"/>
        </w:rPr>
        <w:t xml:space="preserve">Change log: REVISED in 4: OO 1354.5 reviewed. It defines Separation to include protective custody and then regulates only room confinement, leaving the placement this standard governs with fewer safeguards than a behavioral placement. VERIFIED in 5: 15 CCR 1354 confirmed against source. 1354.5 not confirmed. REVISED in 6: 1354.5 confirmed against the 2019 edition and quoted.</w:t>
      </w: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XVIII.B (10 years); Internal Affairs XI.C.1 (5 years); 115.371(j) (tenure plus 5 years); Internal Complaints (Administrative P&amp;P Manual, rev. 10/30/2013), Notification and Tracking; Resident Grievances or Complaints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 Internal Complaints adds a fourth departmental document pointing at Internal Affairs retention, stating that all discretionary and non-discretionary investigative documentation and evidence shall be retained by Internal Affairs. It states no period, so it neither resolves nor worsens the three-way conflict, but it does mean the reconciled schedule has to be reflected in four documents rather than three. It supplies part of the rule that a departure does not terminate an investigation: every attempt shall be made to interview the grievant and identified resident witnesses regardless of whether they have been released, which is the resident half. The staff half, that an alleged abuser's resignation or separation does not terminate the investigation, still does not appear in the documents reviewed, and it interacts directly with the unmet reporting duty at row 62.</w:t>
      </w:r>
    </w:p>
    <w:p>
      <w:pPr>
        <w:spacing w:after="240" w:line="260"/>
      </w:pPr>
      <w:r>
        <w:rPr>
          <w:i/>
          <w:iCs/>
          <w:color w:val="5A5A5A"/>
          <w:sz w:val="19"/>
          <w:szCs w:val="19"/>
        </w:rPr>
        <w:t xml:space="preserve">Change log: MATERIALLY REVISED: was Partial / High. IA five-year retention conflicts with the PREA policy's ten years and with the federal formula. REVISED in 4: Internal Complaints reviewed. A fourth document now bears on retention. The resident half of the no-termination-on-departure rule is supplied; the staff half is not.</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XII.A-C; Internal Affairs Administrative Investigations, General D-F, VII, VIII, X; Internal Complaints (Administrative P&amp;P Manual, rev. 10/30/2013), Non-Discretionary Referral to Internal Affairs; 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 Internal Complaints, now reviewed, cuts both ways. It adds intake quality that the earlier documents did not supply: the Personnel Complaint Intake Form must carry the complainant's name and contact information, identifying information for the employee suspected of misconduct, the specific date, time, and nature of each allegation, witness information, and any investigative leads and items of evidentiary value. It also requires that every attempt be made to interview the grievant and identified resident witnesses regardless of whether they have been released. Against that, it states that the Internal Affairs Manager will determine whether or not a formal investigation is necessary, with no exception for allegations of sexual abuse or sexual harassment, where 115.371(a) requires that an administrative or criminal investigation be completed for all such allegations. The policy nowhere says that a sexual abuse allegation may go uninvestigated, so this is recorded as a defect rather than scored as a thirteenth conflict, but it is the closest thing in the documents reviewed to one. Correct it with an express carve-out: allegations of sexual abuse or sexual harassment are referred and investigated, and the discretion not to investigate does not reach them.</w:t>
      </w:r>
    </w:p>
    <w:p>
      <w:pPr>
        <w:spacing w:after="240" w:line="260"/>
      </w:pPr>
      <w:r>
        <w:rPr>
          <w:i/>
          <w:iCs/>
          <w:color w:val="5A5A5A"/>
          <w:sz w:val="19"/>
          <w:szCs w:val="19"/>
        </w:rPr>
        <w:t xml:space="preserve">Change log: REVISED: IA policy elements credited; remaining gaps itemized against it. REVISED in 4: Internal Complaints reviewed. Intake and evidence-preservation elements credited. New defect: unqualified Internal Affairs Manager discretion over whether to investigate, with no sexual abuse carve-out. Recorded as a defect, not scored as a conflict.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XI.B.1-2; Internal Complaints (Administrative P&amp;P Manual, rev. 10/30/2013), Notification and Tracking</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 Internal Complaints extends the notification duty beyond Internal Affairs XI.B.1. Internal Affairs sends Case Dispositional Notices to complainants in all cases resulting in a formal investigation completed by either Internal Affairs or the Division, and the affected Division provides notice of the outcome to the complaining party for matters resolved without a formal investigation. That widens coverage without changing the character of the gap: notification remains contingent on the youth being treated as the complainant, it uses Internal Affairs disposition language rather than substantiated, unsubstantiated, or unfounded, and none of the four ongoing notifications following a staff abuse allegation or the two following a youth-on-youth allegation appear. The duty is also qualified as owed to the extent it can be given by law and policy, which needs to be reconciled with 115.373 rather than left standing as a general reservation.</w:t>
      </w:r>
    </w:p>
    <w:p>
      <w:pPr>
        <w:spacing w:after="240" w:line="260"/>
      </w:pPr>
      <w:r>
        <w:rPr>
          <w:i/>
          <w:iCs/>
          <w:color w:val="5A5A5A"/>
          <w:sz w:val="19"/>
          <w:szCs w:val="19"/>
        </w:rPr>
        <w:t xml:space="preserve">Change log: REVISED: was Not Addressed. IA complainant notification credited as a partial answer. REVISED in 4: Internal Complaints reviewed. Notification now reaches Division-resolved matters as well as Internal Affairs investigations; the character of the gap is unchanged.</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19"/>
          <w:szCs w:val="19"/>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19"/>
          <w:szCs w:val="19"/>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XIV.A; XIII.B; OO 1362 III.G; OO 1390/1391 (Discipline and Discipline Process, eff. 10/01/2013, rev. 05/01/2020) Purpose, I.A, II.B.4, III, IV, V</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conflict is unchanged. PREA Policy XIV.A still permits discipline where an investigation determines allegations were false. 115.378(f) protects a good-faith report based on a reasonable belief even where the investigation does not substantiate it, and 115.352(g) permits discipline only where the agency demonstrates bad faith. As written the policy chills reporting and it will be read to a jury that way. Rewrite to a bad-faith standard with the burden on the department. OO 1390/1391 contains no false reporting provision, so it neither cures nor compounds that defect; worth preserving in the rewrite is that neither its minor nor its major rule violation list includes false reporting or lying. What OO 1390/1391 does supply, and what revisions 1 through 3 could not credit, is the formal disciplinary process the standard requires. Section IV builds a due process hearing with written notice of the violation before the hearing, a hearing officer who is not a party to the incident, an opportunity to be heard and to present evidence and testimony, staff assistance on request, an interpreter where needed, accommodations for youth with disabilities, limited literacy, and English language learners, a documented finding, administrative review by the Assistant Division Chief, and an appeal under section V that may not increase the sanction. Two strengths beyond the standard should be recorded: section III lists the available consequences and isolation is not among them, and OO 1354.5 I.C.1 independently prohibits room confinement for punishment, so the department has effectively excluded the isolation sanction whose conditions this standard otherwise regulates. That element of the requirement is satisfied by exclusion rather than by compliance, which is a stronger position, and it should be stated that way rather than left to inference. Four defects remain. First, the due process hearing attaches only where the recommended discipline is Program Separation (IV.A, IV.D.2). Sexual misconduct is a major rule violation at II.B.4, but where the recommended consequence is point loss, loss of commissary privilege, early bed, loss of bank points, or demotion to a lower level, no hearing is required by the order's own terms, whereas the standard requires the formal process for any discipline imposed for resident-on-resident sexual abuse. Second, sexual misconduct is listed as a major rule violation and is nowhere defined, so nothing distinguishes coerced from non-coerced sexual activity between residents, and nothing carves out sexual contact with a staff member, which the standard permits to be disciplined only on a finding that the staff member did not consent. That omission is serious in California, where PC 289.6 makes sexual activity between staff and a confined person criminal irrespective of purported consent, so a youth disciplined for sexual misconduct arising from staff contact would be punished for being the victim of a crime. Third, no provision requires consideration of whether a mental disability or mental illness contributed to the behavior when determining sanctions. IV.B.2 provides procedural accommodations at the hearing, which is a different thing, and the Purpose paragraph's trauma-informed language is permissive, using should rather than shall. Fourth, the standard requires sanctions commensurate with the resident's disciplinary history and consistent with those imposed for comparable offenses by residents with similar histories. The Purpose paragraph's least restrictive level language and the appeal ground at V.A.3 for discipline different from that received by others for the same offense reach part of this, but neither states the history-informed comparison. Confirm subsection lettering within 115.378 against the CFR before any of this is quoted in a deliverable; only (f) is verified here. NEW STATE-LAW DEFECT identified in Revision 5 by verification against source. 15 CCR 1391(f) attaches the due process elements to major rule violations as a class, defining them as violations 'which may include withdrawal from group activities for 24 hours or more or extension of time in custody,' and requires written notice before hearing, hearing by a person not a party to the incident, opportunity to be heard and present evidence and testimony, staff assistance, and administrative review. OO 1390/1391 IV.A attaches the hearing only where the recommended discipline is Program Separation. The department has therefore narrowed the trigger from the regulatory class of major rule violations to a single sanction within that class, so a youth found to have committed a major rule violation and given any lesser consequence receives none of the 1391(f) protections. This was recorded in Revision 4 as a PREA observation; it is now a confirmed Title 15 defect, which makes it actionable on BSCC inspection independent of PREA. 1390 is confirmed as cited: least restrictive level, no corporal or group punishment or degradation, and a ten-item deprivation floor at (a) to (j). OO 1390/1391 I.A exceeds that floor by adding rehabilitative programming as an eleventh item, which is worth preserving in any amendment. CITATION CORRECTED in Revision 6. Revision 5 recorded this provision as 1391(e) from the 04/01/2014 edition. In the edition effective 01/01/2019, 1391(e) is minor rule violations handled informally and the due process elements for major rule violations moved to 1391(f). The finding is unchanged; the subsection letter is not. VERIFIED in Revision 6 against Title 15 effective 01/01/2019, the post-rewrite edition: 1391(f) requires, for major rule violations, (1) written notice of violation prior to a hearing, (2) accommodations for youth with disabilities, limited literacy, and English language learners, (3) hearing by a person who is not a party to the incident, (4) opportunity for the youth to be heard and to present evidence and testimony, and (5) provision for the youth to be assisted by staff in the hearing.</w:t>
      </w:r>
    </w:p>
    <w:p>
      <w:pPr>
        <w:spacing w:after="240" w:line="260"/>
      </w:pPr>
      <w:r>
        <w:rPr>
          <w:i/>
          <w:iCs/>
          <w:color w:val="5A5A5A"/>
          <w:sz w:val="19"/>
          <w:szCs w:val="19"/>
        </w:rPr>
        <w:t xml:space="preserve">Change log: MATERIALLY REVISED in 4: OO 1390/1391 reviewed. The formal disciplinary process the standard requires now largely exists, so remediation shifts from drafting a process to extending one. The XIV.A conflict is unchanged. Two new defects: the due process trigger is limited to Program Separation, and sexual misconduct is undefined with no staff-consent carve-out. MATERIALLY REVISED in 5: 15 CCR 1391(e) verified against source. The due process trigger defect is now a confirmed Title 15 violation, not only a PREA observation. CORRECTED in 6: 1391(e) is 1391(f) in the 2019 edition. Elements quoted.</w:t>
      </w: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XIII.A, VII.A.1-2; Internal Affairs XIII (Disciplinary Process), X (Timelines); Internal Complaints (Administrative P&amp;P Manual, rev. 10/30/2013), full document</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 Internal Complaints adds the intake and tracking layer around the Internal Affairs disciplinary machinery: a Personnel Complaint Intake Form, a Complaint Action Report returned to the referring division, tracking and retention of all discretionary and non-discretionary matters by Internal Affairs, and dispositional notices to both the complainant and the subject staff member. Neither of the two PREA-specific additions is supplied: the presumptive termination rule and the duty to report terminations, and resignations by staff who would have been terminated, to law enforcement and to relevant licensing bodies. One further observation for the rewrite: the non-discretionary referral list names unreasonable use of force, discrimination, sexual harassment or workplace violence, threats of violence toward a resident, and criminal conduct, but does not name staff sexual abuse or sexual harassment of a resident as a category of its own. It is caught as criminal conduct, but an auditor scores the named category, and the employment-context reading of the sexual harassment entry makes the omission worth curing.</w:t>
      </w:r>
    </w:p>
    <w:p>
      <w:pPr>
        <w:spacing w:after="240" w:line="260"/>
      </w:pPr>
      <w:r>
        <w:rPr>
          <w:i/>
          <w:iCs/>
          <w:color w:val="5A5A5A"/>
          <w:sz w:val="19"/>
          <w:szCs w:val="19"/>
        </w:rPr>
        <w:t xml:space="preserve">Change log: REVISED: IA disciplinary process credited; the two PREA-specific additions isolated. REVISED in 4: Internal Complaints reviewed. Intake and tracking credited; neither PREA-specific element closes. Staff sexual abuse of a resident is not a named mandatory-referral category.</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 VERIFIED in Revision 5 against Title 15 rev. 04/01/2014, the only edition produced: 1453 requires policy and procedures both for treating victims of sexual assault and for reporting such incidents to local law enforcement when they occur in the facility.</w:t>
      </w:r>
    </w:p>
    <w:p>
      <w:pPr>
        <w:spacing w:after="240" w:line="260"/>
      </w:pPr>
      <w:r>
        <w:rPr>
          <w:i/>
          <w:iCs/>
          <w:color w:val="5A5A5A"/>
          <w:sz w:val="19"/>
          <w:szCs w:val="19"/>
        </w:rPr>
        <w:t xml:space="preserve">Change log: VERIFIED in 5: 15 CCR 1453 confirmed against source.</w:t>
      </w: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w:t>
      </w:r>
    </w:p>
    <w:p>
      <w:pPr>
        <w:spacing w:after="240" w:line="260"/>
      </w:pPr>
      <w:r>
        <w:rPr>
          <w:i/>
          <w:iCs/>
          <w:color w:val="5A5A5A"/>
          <w:sz w:val="19"/>
          <w:szCs w:val="19"/>
        </w:rPr>
        <w:t xml:space="preserve">Change log: MATERIALLY REVISED in 3: OO 1453 I.A.15 supplies team, report, and routing. Remaining gap narrowed to timeframe, the five elements, and implementation.</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19"/>
          <w:szCs w:val="19"/>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 VERIFIED in Revision 6 against Title 15 effective 01/01/2019, the post-rewrite edition: Related, from the statute rather than Title 15: PREA section 4(c)(2)(C) directs the Attorney General to publish 'a listing of any prisons in the representative sample that did not cooperate with the survey,' and section 8(c)(4) attaches a funding consequence to a State whose political subdivisions appear on it. Survey cooperation is therefore a distinct obligation from standards compliance, and it reaches local facilities expressly. Whether YDF has ever been in the sample is unknown and is worth asking, because row 81's disposition taxonomy problem means the department could not currently populate the data set if it were.</w:t>
      </w:r>
    </w:p>
    <w:p>
      <w:pPr>
        <w:spacing w:after="240" w:line="260"/>
      </w:pPr>
      <w:r>
        <w:rPr>
          <w:i/>
          <w:iCs/>
          <w:color w:val="5A5A5A"/>
          <w:sz w:val="19"/>
          <w:szCs w:val="19"/>
        </w:rPr>
        <w:t xml:space="preserve">Change log: REVISED in 6: added the PREA section 4(c)(2)(C) and 8(c)(4) survey cooperation interaction.</w:t>
      </w: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 VERIFIED in Revision 6 against Title 15 effective 01/01/2019, the post-rewrite edition: Neither Title 15 edition contains any PREA reference or any facility audit requirement. Searched in full: the strings PREA, Prison Rape, 28 CFR, and Part 115 return zero hits in the 2019 edition, and the only matches for 'audit' are section 1403, Health Care Monitoring and Audits, which concerns health services statistics. This confirms rather than softens the finding. The department's stated reliance on Title 15 inspection in place of a PREA audit leaves the audit standard wholly unaddressed by any state requirement, because the state has not adopted one. A second point, from the statute rather than the regulation: PREA section 8(c)(4), 34 U.S.C. 30307(c)(4), conditions grant funds on the chief executive certifying that neither the State 'nor any political subdivision or unit of local government within the State' appears in the Attorney General's report of facilities that did not cooperate with the survey under section 4(c)(2)(C). Unlike the compliance certification, which the Attorney General's overview says does not encompass county facilities, that provision names units of local government expressly. It turns on survey cooperation rather than standards compliance and bites only if the facility is drawn into the representative sample, but it is a federal lever that does reach a county facility.</w:t>
      </w:r>
    </w:p>
    <w:p>
      <w:pPr>
        <w:spacing w:after="240" w:line="260"/>
      </w:pPr>
      <w:r>
        <w:rPr>
          <w:i/>
          <w:iCs/>
          <w:color w:val="5A5A5A"/>
          <w:sz w:val="19"/>
          <w:szCs w:val="19"/>
        </w:rPr>
        <w:t xml:space="preserve">Change log: REVISED in 3: department confirms no PREA audits; Title 15 inspection relied on as substitute. REVISED in 6: confirmed that neither Title 15 edition contains a PREA or audit requirement. Added the section 8(c)(4) survey cooperation hook, which expressly reaches units of local government.</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 VERIFIED in Revision 5 against Title 15 rev. 04/01/2014, the only edition produced: 1324 requires the manual to be 'administratively reviewed at a minimum every two years, and updated, as necessary.' The biennial review obligation is confirmed, and it has been in force since at least April 2014, so the age of the PREA Policy (2013) and the Internal Affairs policy (2011) has been a standing defect for over a decade rather than a recent lapse. VERIFIED in Revision 6 against Title 15 effective 01/01/2019, the post-rewrite edition: the edition effective 01/01/2019 runs 1324(a) to (n), so the range in this row's citation is correct for current text. The biennial administrative review requirement is unchanged between the two editions. Two subsections in the 2019 text bear directly on this register and did not exist in 2014: (k), the non-discrimination provision covering restrictive housing and classification, and (n), which requires the manual to carry a policy prohibiting all forms of sexual abuse, sexual assault and sexual harassment together with an approach to prevention, detection, response, and retaliation. A manual that omits (n) fails the required contents of 1324 on its face, independent of any PREA standard.</w:t>
      </w:r>
    </w:p>
    <w:p>
      <w:pPr>
        <w:spacing w:after="240" w:line="260"/>
      </w:pPr>
      <w:r>
        <w:rPr>
          <w:i/>
          <w:iCs/>
          <w:color w:val="5A5A5A"/>
          <w:sz w:val="19"/>
          <w:szCs w:val="19"/>
        </w:rPr>
        <w:t xml:space="preserve">Change log: REVISED: Internal Affairs policy age added. VERIFIED in 5: biennial administrative review confirmed against source, in force since at least 04/2014. Subsection range (a)-(n) not confirmed. REVISED in 6: 1324 confirmed to run (a) to (n) in the 2019 edition; (k) and (n) identified.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w:t>
      </w:r>
    </w:p>
    <w:p>
      <w:pPr>
        <w:spacing w:after="240" w:line="260"/>
      </w:pPr>
      <w:r>
        <w:rPr>
          <w:i/>
          <w:iCs/>
          <w:color w:val="5A5A5A"/>
          <w:sz w:val="19"/>
          <w:szCs w:val="19"/>
        </w:rPr>
        <w:t xml:space="preserve">Change log: REVISED: was Medium. OO 1352 S-4 High omits PC 287 from the enumerated offenses, which is an operational gap, not just a citation error. DJJ reference also noted.</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w:t>
      </w:r>
    </w:p>
    <w:p>
      <w:pPr>
        <w:spacing w:after="160"/>
      </w:pP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19"/>
          <w:szCs w:val="19"/>
        </w:rPr>
        <w:t xml:space="preserve">Change log: MATERIALLY REVISED in 3: policy produced and substantially compliant. Corrects revisions 1 and 2. FLAGGED in 5: 15 CCR 1352.5 not confirmed; absent from the produced edition. REVISED in 6: 1352.5 confirmed against the 2019 edition and quoted.</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83.</w:t>
      </w:r>
    </w:p>
    <w:p>
      <w:pPr>
        <w:pStyle w:val="Heading2"/>
        <w:keepNext/>
      </w:pPr>
      <w:r>
        <w:t xml:space="preserve">PREA Policy and Procedure, Juvenile Institutions</w:t>
      </w:r>
    </w:p>
    <w:p>
      <w:pPr>
        <w:keepNext/>
        <w:spacing w:after="120"/>
      </w:pPr>
      <w:r>
        <w:rPr>
          <w:i/>
          <w:iCs/>
          <w:color w:val="5A5A5A"/>
          <w:sz w:val="19"/>
          <w:szCs w:val="19"/>
        </w:rPr>
        <w:t xml:space="preserve">eff/rev 04/25/2013. Cited by 46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7</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260" w:line="260"/>
      </w:pPr>
      <w:r>
        <w:rPr>
          <w:color w:val="5A5A5A"/>
          <w:sz w:val="19"/>
          <w:szCs w:val="19"/>
        </w:rPr>
        <w:t xml:space="preserve">All rows: 1, 4, 8, 9, 13, 16, 17, 18, 19, 20, 22, 23, 24, 25, 26, 28, 30, 35, 36, 38, 40, 43, 47, 48, 49, 51, 52, 53, 55, 56, 57, 58, 59, 62, 64, 65, 66, 67, 68, 69, 70, 72, 74, 78, 81, 82.</w:t>
      </w:r>
    </w:p>
    <w:p>
      <w:pPr>
        <w:pStyle w:val="Heading2"/>
        <w:keepNext/>
      </w:pPr>
      <w:r>
        <w:t xml:space="preserve">OO 1321 Staffing</w:t>
      </w:r>
    </w:p>
    <w:p>
      <w:pPr>
        <w:keepNext/>
        <w:spacing w:after="120"/>
      </w:pPr>
      <w:r>
        <w:rPr>
          <w:i/>
          <w:iCs/>
          <w:color w:val="5A5A5A"/>
          <w:sz w:val="19"/>
          <w:szCs w:val="19"/>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19"/>
          <w:szCs w:val="19"/>
        </w:rPr>
        <w:t xml:space="preserve">All rows: 5, 6.</w:t>
      </w:r>
    </w:p>
    <w:p>
      <w:pPr>
        <w:pStyle w:val="Heading2"/>
        <w:keepNext/>
      </w:pPr>
      <w:r>
        <w:t xml:space="preserve">OO 1322 Training and Staff Development</w:t>
      </w:r>
    </w:p>
    <w:p>
      <w:pPr>
        <w:keepNext/>
        <w:spacing w:after="120"/>
      </w:pPr>
      <w:r>
        <w:rPr>
          <w:i/>
          <w:iCs/>
          <w:color w:val="5A5A5A"/>
          <w:sz w:val="19"/>
          <w:szCs w:val="19"/>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260" w:line="260"/>
      </w:pPr>
      <w:r>
        <w:rPr>
          <w:color w:val="5A5A5A"/>
          <w:sz w:val="19"/>
          <w:szCs w:val="19"/>
        </w:rPr>
        <w:t xml:space="preserve">All rows: 20, 22.</w:t>
      </w:r>
    </w:p>
    <w:p>
      <w:pPr>
        <w:pStyle w:val="Heading2"/>
        <w:keepNext/>
      </w:pPr>
      <w:r>
        <w:t xml:space="preserve">OO 1350.5 Screening for the Risk of Sexual Abuse</w:t>
      </w:r>
    </w:p>
    <w:p>
      <w:pPr>
        <w:keepNext/>
        <w:spacing w:after="120"/>
      </w:pPr>
      <w:r>
        <w:rPr>
          <w:i/>
          <w:iCs/>
          <w:color w:val="5A5A5A"/>
          <w:sz w:val="19"/>
          <w:szCs w:val="19"/>
        </w:rPr>
        <w:t xml:space="preserve">eff 11/10/2019.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260" w:line="260"/>
      </w:pPr>
      <w:r>
        <w:rPr>
          <w:color w:val="5A5A5A"/>
          <w:sz w:val="19"/>
          <w:szCs w:val="19"/>
        </w:rPr>
        <w:t xml:space="preserve">All rows: 31, 33, 66.</w:t>
      </w:r>
    </w:p>
    <w:p>
      <w:pPr>
        <w:pStyle w:val="Heading2"/>
        <w:keepNext/>
      </w:pPr>
      <w:r>
        <w:t xml:space="preserve">OO 1352 Classification</w:t>
      </w:r>
    </w:p>
    <w:p>
      <w:pPr>
        <w:keepNext/>
        <w:spacing w:after="120"/>
      </w:pPr>
      <w:r>
        <w:rPr>
          <w:i/>
          <w:iCs/>
          <w:color w:val="5A5A5A"/>
          <w:sz w:val="19"/>
          <w:szCs w:val="19"/>
        </w:rPr>
        <w:t xml:space="preserve">eff 12/09/2019, rev 02/27/2020.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w:t>
      </w:r>
    </w:p>
    <w:p>
      <w:pPr>
        <w:spacing w:after="260" w:line="260"/>
      </w:pPr>
      <w:r>
        <w:rPr>
          <w:color w:val="5A5A5A"/>
          <w:sz w:val="19"/>
          <w:szCs w:val="19"/>
        </w:rPr>
        <w:t xml:space="preserve">All rows: 31, 32, 34, 35, 36, 78, 80, 82, 83.</w:t>
      </w:r>
    </w:p>
    <w:p>
      <w:pPr>
        <w:pStyle w:val="Heading2"/>
        <w:keepNext/>
      </w:pPr>
      <w:r>
        <w:t xml:space="preserve">OO 1352.5 Transgender and Intersex Youth</w:t>
      </w:r>
    </w:p>
    <w:p>
      <w:pPr>
        <w:keepNext/>
        <w:spacing w:after="120"/>
      </w:pPr>
      <w:r>
        <w:rPr>
          <w:i/>
          <w:iCs/>
          <w:color w:val="5A5A5A"/>
          <w:sz w:val="19"/>
          <w:szCs w:val="19"/>
        </w:rPr>
        <w:t xml:space="preserve">eff 03/01/2019.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19"/>
          <w:szCs w:val="19"/>
        </w:rPr>
        <w:t xml:space="preserve">All rows: 11, 36, 37, 75.</w:t>
      </w:r>
    </w:p>
    <w:p>
      <w:pPr>
        <w:pStyle w:val="Heading2"/>
        <w:keepNext/>
      </w:pPr>
      <w:r>
        <w:t xml:space="preserve">OO 1360 Searches</w:t>
      </w:r>
    </w:p>
    <w:p>
      <w:pPr>
        <w:keepNext/>
        <w:spacing w:after="120"/>
      </w:pPr>
      <w:r>
        <w:rPr>
          <w:i/>
          <w:iCs/>
          <w:color w:val="5A5A5A"/>
          <w:sz w:val="19"/>
          <w:szCs w:val="19"/>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19"/>
          <w:szCs w:val="19"/>
        </w:rPr>
        <w:t xml:space="preserve">All rows: 9, 10.</w:t>
      </w:r>
    </w:p>
    <w:p>
      <w:pPr>
        <w:pStyle w:val="Heading2"/>
        <w:keepNext/>
      </w:pPr>
      <w:r>
        <w:t xml:space="preserve">OO 1361 Grievances</w:t>
      </w:r>
    </w:p>
    <w:p>
      <w:pPr>
        <w:keepNext/>
        <w:spacing w:after="120"/>
      </w:pPr>
      <w:r>
        <w:rPr>
          <w:i/>
          <w:iCs/>
          <w:color w:val="5A5A5A"/>
          <w:sz w:val="19"/>
          <w:szCs w:val="19"/>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19"/>
          <w:szCs w:val="19"/>
        </w:rPr>
        <w:t xml:space="preserve">All rows: 38, 39, 40, 42, 43, 44, 70, 74.</w:t>
      </w:r>
    </w:p>
    <w:p>
      <w:pPr>
        <w:pStyle w:val="Heading2"/>
        <w:keepNext/>
      </w:pPr>
      <w:r>
        <w:t xml:space="preserve">OO 1362 Reporting of Incidents</w:t>
      </w:r>
    </w:p>
    <w:p>
      <w:pPr>
        <w:keepNext/>
        <w:spacing w:after="120"/>
      </w:pPr>
      <w:r>
        <w:rPr>
          <w:i/>
          <w:iCs/>
          <w:color w:val="5A5A5A"/>
          <w:sz w:val="19"/>
          <w:szCs w:val="19"/>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19"/>
          <w:szCs w:val="19"/>
        </w:rPr>
        <w:t xml:space="preserve">All rows: 64, 70, 76.</w:t>
      </w:r>
    </w:p>
    <w:p>
      <w:pPr>
        <w:pStyle w:val="Heading2"/>
        <w:keepNext/>
      </w:pPr>
      <w:r>
        <w:t xml:space="preserve">OO 1453 Sexual Assault</w:t>
      </w:r>
    </w:p>
    <w:p>
      <w:pPr>
        <w:keepNext/>
        <w:spacing w:after="120"/>
      </w:pPr>
      <w:r>
        <w:rPr>
          <w:i/>
          <w:iCs/>
          <w:color w:val="5A5A5A"/>
          <w:sz w:val="19"/>
          <w:szCs w:val="19"/>
        </w:rPr>
        <w:t xml:space="preserve">eff 04/25/2013, rev 12/09/2019.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w:t>
      </w:r>
    </w:p>
    <w:p>
      <w:pPr>
        <w:spacing w:after="260" w:line="260"/>
      </w:pPr>
      <w:r>
        <w:rPr>
          <w:color w:val="5A5A5A"/>
          <w:sz w:val="19"/>
          <w:szCs w:val="19"/>
        </w:rPr>
        <w:t xml:space="preserve">All rows: 2, 16, 18, 19, 48, 53, 54, 69.</w:t>
      </w:r>
    </w:p>
    <w:p>
      <w:pPr>
        <w:pStyle w:val="Heading2"/>
        <w:keepNext/>
      </w:pPr>
      <w:r>
        <w:t xml:space="preserve">Internal Affairs Administrative Investigations</w:t>
      </w:r>
    </w:p>
    <w:p>
      <w:pPr>
        <w:keepNext/>
        <w:spacing w:after="120"/>
      </w:pPr>
      <w:r>
        <w:rPr>
          <w:i/>
          <w:iCs/>
          <w:color w:val="5A5A5A"/>
          <w:sz w:val="19"/>
          <w:szCs w:val="19"/>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19"/>
          <w:szCs w:val="19"/>
        </w:rPr>
        <w:t xml:space="preserve">All rows: 29, 58, 59, 60, 61, 62, 74, 81.</w:t>
      </w:r>
    </w:p>
    <w:p>
      <w:pPr>
        <w:pStyle w:val="Heading2"/>
        <w:keepNext/>
      </w:pPr>
      <w:r>
        <w:t xml:space="preserve">Code of Conduct, Non-Sworn and Non-County Personnel</w:t>
      </w:r>
    </w:p>
    <w:p>
      <w:pPr>
        <w:keepNext/>
        <w:spacing w:after="120"/>
      </w:pPr>
      <w:r>
        <w:rPr>
          <w:i/>
          <w:iCs/>
          <w:color w:val="5A5A5A"/>
          <w:sz w:val="19"/>
          <w:szCs w:val="19"/>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19"/>
          <w:szCs w:val="19"/>
        </w:rPr>
        <w:t xml:space="preserve">All rows: 24, 48, 63.</w:t>
      </w:r>
    </w:p>
    <w:p>
      <w:pPr>
        <w:pStyle w:val="Heading2"/>
        <w:keepNext/>
      </w:pPr>
      <w:r>
        <w:t xml:space="preserve">Detention and Intake Responsibility (J-3.4)</w:t>
      </w:r>
    </w:p>
    <w:p>
      <w:pPr>
        <w:keepNext/>
        <w:spacing w:after="120"/>
      </w:pPr>
      <w:r>
        <w:rPr>
          <w:i/>
          <w:iCs/>
          <w:color w:val="5A5A5A"/>
          <w:sz w:val="19"/>
          <w:szCs w:val="19"/>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19"/>
          <w:szCs w:val="19"/>
        </w:rPr>
        <w:t xml:space="preserve">All rows: 79.</w:t>
      </w:r>
    </w:p>
    <w:p>
      <w:pPr>
        <w:pStyle w:val="Heading2"/>
        <w:keepNext/>
      </w:pPr>
      <w:r>
        <w:t xml:space="preserve">General Order, Mandatory Reporting: Dependent Adult and Elder Abuse</w:t>
      </w:r>
    </w:p>
    <w:p>
      <w:pPr>
        <w:keepNext/>
        <w:spacing w:after="120"/>
      </w:pPr>
      <w:r>
        <w:rPr>
          <w:i/>
          <w:iCs/>
          <w:color w:val="5A5A5A"/>
          <w:sz w:val="19"/>
          <w:szCs w:val="19"/>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260" w:line="260"/>
      </w:pPr>
      <w:r>
        <w:rPr>
          <w:color w:val="5A5A5A"/>
          <w:sz w:val="19"/>
          <w:szCs w:val="19"/>
        </w:rPr>
        <w:t xml:space="preserve">All rows: 77.</w:t>
      </w:r>
    </w:p>
    <w:p>
      <w:pPr>
        <w:pStyle w:val="Heading2"/>
        <w:keepNext/>
      </w:pPr>
      <w:r>
        <w:t xml:space="preserve">OO 1354.5 Room Confinement</w:t>
      </w:r>
    </w:p>
    <w:p>
      <w:pPr>
        <w:keepNext/>
        <w:spacing w:after="120"/>
      </w:pPr>
      <w:r>
        <w:rPr>
          <w:i/>
          <w:iCs/>
          <w:color w:val="5A5A5A"/>
          <w:sz w:val="19"/>
          <w:szCs w:val="19"/>
        </w:rPr>
        <w:t xml:space="preserve">eff 04/05/2023.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260" w:line="260"/>
      </w:pPr>
      <w:r>
        <w:rPr>
          <w:color w:val="5A5A5A"/>
          <w:sz w:val="19"/>
          <w:szCs w:val="19"/>
        </w:rPr>
        <w:t xml:space="preserve">All rows: 35, 57.</w:t>
      </w:r>
    </w:p>
    <w:p>
      <w:pPr>
        <w:pStyle w:val="Heading2"/>
        <w:keepNext/>
      </w:pPr>
      <w:r>
        <w:t xml:space="preserve">OO 1390/1391 Discipline and Discipline Process</w:t>
      </w:r>
    </w:p>
    <w:p>
      <w:pPr>
        <w:keepNext/>
        <w:spacing w:after="120"/>
      </w:pPr>
      <w:r>
        <w:rPr>
          <w:i/>
          <w:iCs/>
          <w:color w:val="5A5A5A"/>
          <w:sz w:val="19"/>
          <w:szCs w:val="19"/>
        </w:rPr>
        <w:t xml:space="preserve">eff 10/01/2013, rev 05/01/2020.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19"/>
          <w:szCs w:val="19"/>
        </w:rPr>
        <w:t xml:space="preserve">All rows: 64.</w:t>
      </w:r>
    </w:p>
    <w:p>
      <w:pPr>
        <w:pStyle w:val="Heading2"/>
        <w:keepNext/>
      </w:pPr>
      <w:r>
        <w:t xml:space="preserve">Internal Complaints (Administrative P&amp;P Manual)</w:t>
      </w:r>
    </w:p>
    <w:p>
      <w:pPr>
        <w:keepNext/>
        <w:spacing w:after="120"/>
      </w:pPr>
      <w:r>
        <w:rPr>
          <w:i/>
          <w:iCs/>
          <w:color w:val="5A5A5A"/>
          <w:sz w:val="19"/>
          <w:szCs w:val="19"/>
        </w:rPr>
        <w:t xml:space="preserve">rev 10/30/2013.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8</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59 (28 CFR 115.371(g)-(h), (j)-(k)).</w:t>
      </w:r>
    </w:p>
    <w:p>
      <w:pPr>
        <w:spacing w:after="260" w:line="260"/>
      </w:pPr>
      <w:r>
        <w:rPr>
          <w:color w:val="5A5A5A"/>
          <w:sz w:val="19"/>
          <w:szCs w:val="19"/>
        </w:rPr>
        <w:t xml:space="preserve">All rows: 38, 41, 42, 47, 56, 58, 59, 61, 62.</w:t>
      </w:r>
    </w:p>
    <w:p>
      <w:pPr>
        <w:pStyle w:val="Heading2"/>
      </w:pPr>
      <w:r>
        <w:t xml:space="preserve">No departmental document identified</w:t>
      </w:r>
    </w:p>
    <w:p>
      <w:pPr>
        <w:spacing w:after="120" w:line="276"/>
      </w:pPr>
      <w:r>
        <w:rPr>
          <w:color w:val="1A1A1A"/>
        </w:rPr>
        <w:t xml:space="preserve">12 requirements cite none of the 17 documents reviewed. Ten record no departmental provision at all and cannot be remediated by amendment: they need drafting or an administrative decision. Two turn on documents that exist but were not produced, rows 14,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19"/>
                <w:szCs w:val="19"/>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19"/>
                <w:szCs w:val="19"/>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19"/>
                <w:szCs w:val="19"/>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19"/>
                <w:szCs w:val="19"/>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Provide residents reasonable and confidential access to attorneys or other legal representation and reasonable access to parents or legal guardians.</w:t>
            </w:r>
          </w:p>
        </w:tc>
      </w:tr>
    </w:tbl>
    <w:p>
      <w:r>
        <w:br w:type="page"/>
      </w:r>
    </w:p>
    <w:p>
      <w:pPr>
        <w:pStyle w:val="Heading1"/>
      </w:pPr>
      <w:r>
        <w:t xml:space="preserve">6. How to use this against the register</w:t>
      </w:r>
    </w:p>
    <w:p>
      <w:pPr>
        <w:spacing w:after="120" w:line="276"/>
      </w:pPr>
      <w:r>
        <w:rPr>
          <w:color w:val="1A1A1A"/>
        </w:rPr>
        <w:t xml:space="preserve">prea-register.csv remains the working record. This document is generated from it by tools/build_crosswalk.py and tools/build_crosswalk_docx.js, so it is a view, not a second source of truth. When a finding changes, edit the CSV, record what changed in the change_log column using the convention already in the file, then regenerate.</w:t>
      </w:r>
    </w:p>
    <w:p>
      <w:pPr>
        <w:spacing w:after="120" w:line="276"/>
      </w:pPr>
      <w:r>
        <w:rPr>
          <w:color w:val="1A1A1A"/>
        </w:rPr>
        <w:t xml:space="preserve">The owner, target_date, and disposition columns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twelve conflicts at part 3 first, because seven of them are correctable by amendment and all twelve are provisions the department can be shown to have published. Then the eleven requirements with no departmental provision at part 5, because those need drafting lead time. The 39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6"/>
        <w:szCs w:val="16"/>
      </w:rPr>
      <w:t xml:space="preserve">PREA versus Policy crosswalk. YDF, register Revision 6.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2"/>
      <w:szCs w:val="32"/>
    </w:rPr>
  </w:style>
  <w:style w:type="paragraph" w:styleId="Heading2">
    <w:name w:val="Heading 2"/>
    <w:basedOn w:val="Normal"/>
    <w:next w:val="Normal"/>
    <w:qFormat/>
    <w:pPr>
      <w:spacing w:after="140" w:before="300"/>
    </w:pPr>
    <w:rPr>
      <w:rFonts w:ascii="Calibri" w:cs="Calibri" w:eastAsia="Calibri" w:hAnsi="Calibri"/>
      <w:b/>
      <w:bCs/>
      <w:color w:val="1A1A1A"/>
      <w:sz w:val="25"/>
      <w:szCs w:val="25"/>
    </w:rPr>
  </w:style>
  <w:style w:type="paragraph" w:styleId="Heading3">
    <w:name w:val="Heading 3"/>
    <w:basedOn w:val="Normal"/>
    <w:next w:val="Normal"/>
    <w:qFormat/>
    <w:pPr>
      <w:spacing w:after="100" w:before="260"/>
    </w:pPr>
    <w:rPr>
      <w:rFonts w:ascii="Calibri" w:cs="Calibri" w:eastAsia="Calibri" w:hAnsi="Calibri"/>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6</dc:description>
  <cp:lastModifiedBy>Un-named</cp:lastModifiedBy>
  <cp:revision>1</cp:revision>
  <dcterms:created xsi:type="dcterms:W3CDTF">2026-09-29T19:37:37.362Z</dcterms:created>
  <dcterms:modified xsi:type="dcterms:W3CDTF">2026-09-29T19:37:37.362Z</dcterms:modified>
</cp:coreProperties>
</file>

<file path=docProps/custom.xml><?xml version="1.0" encoding="utf-8"?>
<Properties xmlns="http://schemas.openxmlformats.org/officeDocument/2006/custom-properties" xmlns:vt="http://schemas.openxmlformats.org/officeDocument/2006/docPropsVTypes"/>
</file>