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4"/>
          <w:szCs w:val="44"/>
        </w:rPr>
        <w:t xml:space="preserve">PREA versus Policy</w:t>
      </w:r>
    </w:p>
    <w:p>
      <w:pPr>
        <w:spacing w:after="500"/>
        <w:jc w:val="center"/>
      </w:pPr>
      <w:r>
        <w:rPr>
          <w:color w:val="5A5A5A"/>
          <w:sz w:val="28"/>
          <w:szCs w:val="28"/>
        </w:rPr>
        <w:t xml:space="preserve">A standard-by-standard crosswalk</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p>
      <w:pPr>
        <w:spacing w:after="900"/>
        <w:jc w:val="center"/>
      </w:pPr>
      <w:r>
        <w:rPr>
          <w:color w:val="5A5A5A"/>
          <w:sz w:val="22"/>
          <w:szCs w:val="22"/>
        </w:rPr>
        <w:t xml:space="preserve">Gap register Revision 3. 83 requirements assessed against 14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a policy-to-standard comparison prepared for internal remediation planning. Findings state what the documents reviewed contain. Where a requirement is recorded as not addressed, that means no provision appeared in the 14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14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Seventeen requirements sit here. Eleven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Thirty-nine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20%</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39</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47%</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bCs/>
                <w:color w:val="1A1A1A"/>
                <w:sz w:val="19"/>
                <w:szCs w:val="19"/>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83</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33</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19"/>
                <w:szCs w:val="19"/>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19"/>
          <w:szCs w:val="19"/>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115.342(c); 15 CCR 1352(e). LGBTI residents shall not be placed in particular housing, bed, or other assignments solely on the basis of that identification or status.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 II.M creates classification S-8 for any LGBTQI youth, and III.I requires single-room housing at all times for S-8.</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damaging: OO 1352.5 stated the correct rule effective 03/2019, and S-8 was created 12/2019 and revised 02/2020.</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19"/>
          <w:szCs w:val="19"/>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19"/>
          <w:szCs w:val="19"/>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19"/>
          <w:szCs w:val="19"/>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19"/>
          <w:szCs w:val="19"/>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19"/>
          <w:szCs w:val="19"/>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note at OO 1352 II.F.2 states that a history of being a victim of molest, arson, or cruelty to animals should alert the Classification Officer to possible sexually inappropriate tendencies.</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19"/>
          <w:szCs w:val="19"/>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19"/>
          <w:szCs w:val="19"/>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19"/>
          <w:szCs w:val="19"/>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19"/>
          <w:szCs w:val="19"/>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19"/>
          <w:szCs w:val="19"/>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I.I.1 still cites PC 288a. OO 1352 II.G.1 omits 287 from the S-4 High criteria entirely, so a 287 adjudication does not meet the enumerated criteria. OO 1352 II.C.3 references DJJ, which closed 06/30/2023.</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19"/>
          <w:szCs w:val="19"/>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19"/>
          <w:szCs w:val="19"/>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w:t>
      </w:r>
    </w:p>
    <w:p>
      <w:pPr>
        <w:spacing w:after="160"/>
      </w:pP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w:t>
      </w:r>
    </w:p>
    <w:p>
      <w:pPr>
        <w:spacing w:after="160"/>
      </w:pP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w:t>
      </w:r>
    </w:p>
    <w:p>
      <w:pPr>
        <w:spacing w:after="160"/>
      </w:pP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w:t>
      </w:r>
    </w:p>
    <w:p>
      <w:pPr>
        <w:spacing w:after="240" w:line="260"/>
      </w:pPr>
      <w:r>
        <w:rPr>
          <w:i/>
          <w:iCs/>
          <w:color w:val="5A5A5A"/>
          <w:sz w:val="19"/>
          <w:szCs w:val="19"/>
        </w:rPr>
        <w:t xml:space="preserve">Change log: REVISED: gap text updated to credit the Attachment A medical screen.</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w:t>
      </w:r>
    </w:p>
    <w:p>
      <w:pPr>
        <w:spacing w:after="240" w:line="260"/>
      </w:pPr>
      <w:r>
        <w:rPr>
          <w:i/>
          <w:iCs/>
          <w:color w:val="5A5A5A"/>
          <w:sz w:val="19"/>
          <w:szCs w:val="19"/>
        </w:rPr>
        <w:t xml:space="preserve">Change log: NEW in revision 2. Split out from the main 115.317 row.</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w:t>
      </w:r>
    </w:p>
    <w:p>
      <w:pPr>
        <w:spacing w:after="160"/>
      </w:pP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w:t>
      </w:r>
    </w:p>
    <w:p>
      <w:pPr>
        <w:spacing w:after="240" w:line="260"/>
      </w:pPr>
      <w:r>
        <w:rPr>
          <w:i/>
          <w:iCs/>
          <w:color w:val="5A5A5A"/>
          <w:sz w:val="19"/>
          <w:szCs w:val="19"/>
        </w:rPr>
        <w:t xml:space="preserve">Change log: REVISED: was Partial / High. OO 1360 reviewed; most elements met or exceeded. Remaining gap narrowed to cross-gender pat-down documentation.</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w:t>
      </w:r>
    </w:p>
    <w:p>
      <w:pPr>
        <w:spacing w:after="160"/>
      </w:pP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19"/>
          <w:szCs w:val="19"/>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w:t>
      </w:r>
    </w:p>
    <w:p>
      <w:pPr>
        <w:spacing w:after="240" w:line="260"/>
      </w:pPr>
      <w:r>
        <w:rPr>
          <w:i/>
          <w:iCs/>
          <w:color w:val="5A5A5A"/>
          <w:sz w:val="19"/>
          <w:szCs w:val="19"/>
        </w:rPr>
        <w:t xml:space="preserve">Change log: MATERIALLY REVISED in 3: was Not Evidenced. OO 1352.5 closes this and resolves the OO 1360 conflict.</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w:t>
      </w:r>
    </w:p>
    <w:p>
      <w:pPr>
        <w:spacing w:after="240" w:line="260"/>
      </w:pPr>
      <w:r>
        <w:rPr>
          <w:i/>
          <w:iCs/>
          <w:color w:val="5A5A5A"/>
          <w:sz w:val="19"/>
          <w:szCs w:val="19"/>
        </w:rPr>
        <w:t xml:space="preserve">Change log: REVISED in 3: OO 1453 evidence procedure credited; training prerequisite and protocol derivation identified as the residual gaps.</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w:t>
      </w:r>
    </w:p>
    <w:p>
      <w:pPr>
        <w:spacing w:after="160"/>
      </w:pP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19"/>
          <w:szCs w:val="19"/>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19"/>
          <w:szCs w:val="19"/>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19"/>
          <w:szCs w:val="19"/>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w:t>
      </w:r>
    </w:p>
    <w:p>
      <w:pPr>
        <w:spacing w:after="160"/>
      </w:pP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w:t>
      </w:r>
    </w:p>
    <w:p>
      <w:pPr>
        <w:spacing w:after="160"/>
      </w:pP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w:t>
      </w:r>
    </w:p>
    <w:p>
      <w:pPr>
        <w:spacing w:after="160"/>
      </w:pP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w:t>
      </w:r>
    </w:p>
    <w:p>
      <w:pPr>
        <w:spacing w:after="160"/>
      </w:pP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w:t>
      </w:r>
    </w:p>
    <w:p>
      <w:pPr>
        <w:spacing w:after="240" w:line="260"/>
      </w:pPr>
      <w:r>
        <w:rPr>
          <w:i/>
          <w:iCs/>
          <w:color w:val="5A5A5A"/>
          <w:sz w:val="19"/>
          <w:szCs w:val="19"/>
        </w:rPr>
        <w:t xml:space="preserve">Change log: REVISED in 3: OO 1352.5 III.H adds a fourth internal contradiction and a damaging chronology.</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w:t>
      </w:r>
    </w:p>
    <w:p>
      <w:pPr>
        <w:spacing w:after="240" w:line="260"/>
      </w:pPr>
      <w:r>
        <w:rPr>
          <w:i/>
          <w:iCs/>
          <w:color w:val="5A5A5A"/>
          <w:sz w:val="19"/>
          <w:szCs w:val="19"/>
        </w:rPr>
        <w:t xml:space="preserve">Change log: MATERIALLY REVISED in 3: was Not Evidenced. OO 1352.5 largely closes the standard; III.I is a discrete conflict.</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w:t>
      </w:r>
    </w:p>
    <w:p>
      <w:pPr>
        <w:spacing w:after="240" w:line="260"/>
      </w:pPr>
      <w:r>
        <w:rPr>
          <w:i/>
          <w:iCs/>
          <w:color w:val="5A5A5A"/>
          <w:sz w:val="19"/>
          <w:szCs w:val="19"/>
        </w:rPr>
        <w:t xml:space="preserve">Change log: NEW in revision 2, from OO 1352.</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w:t>
      </w:r>
    </w:p>
    <w:p>
      <w:pPr>
        <w:spacing w:after="240" w:line="260"/>
      </w:pPr>
      <w:r>
        <w:rPr>
          <w:i/>
          <w:iCs/>
          <w:color w:val="5A5A5A"/>
          <w:sz w:val="19"/>
          <w:szCs w:val="19"/>
        </w:rPr>
        <w:t xml:space="preserve">Change log: REVISED: gap text updated to credit MAYSI-2, CATS, ATV, and the S-4 criteria while explaining why none satisfies the standard.</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w:t>
      </w:r>
    </w:p>
    <w:p>
      <w:pPr>
        <w:spacing w:after="240" w:line="260"/>
      </w:pPr>
      <w:r>
        <w:rPr>
          <w:i/>
          <w:iCs/>
          <w:color w:val="5A5A5A"/>
          <w:sz w:val="19"/>
          <w:szCs w:val="19"/>
        </w:rPr>
        <w:t xml:space="preserve">Change log: REVISED: OO 1352 V classification review cycle credited; gap narrowed and sharpened.</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1352 III.E.1.a (S-4 High single room), III.I (S-8 single room)</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Last resort standard, daily large-muscle exercise, legally required education, and the 30-day review are present in PREA Policy III.D. Defects: the policy says 'regular visits from medical or mental health staff' where the standard requires daily visits from a clinician, and it does not require documentation of the basis for the safety concern or of why no alternative separation could be arranged. OO 1352 adds a further problem by mandating single-room housing at all times for S-4 High and for S-8 by category, without the individualized documentation 115.342(h) requires. All protective separation must also be reconciled with WIC 208.3 and 15 CCR 1354.5, which impose a four-hour review cycle and documented supervisor authorization. The PREA policy predates 208.3 and does not address the interaction.</w:t>
      </w:r>
    </w:p>
    <w:p>
      <w:pPr>
        <w:spacing w:after="240" w:line="260"/>
      </w:pPr>
      <w:r>
        <w:rPr>
          <w:i/>
          <w:iCs/>
          <w:color w:val="5A5A5A"/>
          <w:sz w:val="19"/>
          <w:szCs w:val="19"/>
        </w:rPr>
        <w:t xml:space="preserve">Change log: REVISED: OO 1352 categorical single-room rules added to the gap.</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w:t>
      </w:r>
    </w:p>
    <w:p>
      <w:pPr>
        <w:spacing w:after="160"/>
      </w:pP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w:t>
      </w:r>
    </w:p>
    <w:p>
      <w:pPr>
        <w:spacing w:after="240" w:line="260"/>
      </w:pPr>
      <w:r>
        <w:rPr>
          <w:i/>
          <w:iCs/>
          <w:color w:val="5A5A5A"/>
          <w:sz w:val="19"/>
          <w:szCs w:val="19"/>
        </w:rPr>
        <w:t xml:space="preserve">Change log: MATERIALLY REVISED: was Partial / High. OO 1352 states the standard nearly verbatim.</w:t>
      </w:r>
    </w:p>
    <w:p>
      <w:pPr>
        <w:pStyle w:val="Heading2"/>
      </w:pPr>
      <w:r>
        <w:t xml:space="preserve">Reporting</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Reverts to Not Addressed. Revision 2.1 credited non-agency staff advocates as a possible private staff reporting route; the department confirms those advocates no longer exist. Staff therefore have no private channel for reporting sexual abuse or sexual harassment of a resident. The PREA policy and OO 1453 both route staff reports to the Duty Supervisor, which is not private where the suspected abuser is a supervisor or sits in the reporting staff member's chain of command. This is a discrete gap with a cheap fix: a confidential line, a named recipient outside the chain, or an express route to Internal Affairs stated in policy.</w:t>
      </w:r>
    </w:p>
    <w:p>
      <w:pPr>
        <w:spacing w:after="240" w:line="260"/>
      </w:pPr>
      <w:r>
        <w:rPr>
          <w:i/>
          <w:iCs/>
          <w:color w:val="5A5A5A"/>
          <w:sz w:val="19"/>
          <w:szCs w:val="19"/>
        </w:rPr>
        <w:t xml:space="preserve">Change log: REVISED in 3: downgraded from Partial. The advocates credited in revision 2.1 no longer exist.</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19"/>
          <w:szCs w:val="19"/>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w:t>
      </w:r>
    </w:p>
    <w:p>
      <w:pPr>
        <w:spacing w:after="240" w:line="260"/>
      </w:pPr>
      <w:r>
        <w:rPr>
          <w:i/>
          <w:iCs/>
          <w:color w:val="5A5A5A"/>
          <w:sz w:val="19"/>
          <w:szCs w:val="19"/>
        </w:rPr>
        <w:t xml:space="preserve">Change log: REVISED: was Critical. OYCR Ombudsperson provides a partial external route; agency-side method and publication still required.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I.C, I.D, II.A, II.B; PREA Policy II.B.2</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w:t>
      </w:r>
    </w:p>
    <w:p>
      <w:pPr>
        <w:spacing w:after="240" w:line="260"/>
      </w:pPr>
      <w:r>
        <w:rPr>
          <w:i/>
          <w:iCs/>
          <w:color w:val="5A5A5A"/>
          <w:sz w:val="19"/>
          <w:szCs w:val="19"/>
        </w:rPr>
        <w:t xml:space="preserve">Change log: REVISED: was Partial / High. OO 1361 supplies multiple internal private routes; gap narrowed to retaliation and staff-neglect reporting.</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w:t>
      </w:r>
    </w:p>
    <w:p>
      <w:pPr>
        <w:spacing w:after="240" w:line="260"/>
      </w:pPr>
      <w:r>
        <w:rPr>
          <w:i/>
          <w:iCs/>
          <w:color w:val="5A5A5A"/>
          <w:sz w:val="19"/>
          <w:szCs w:val="19"/>
        </w:rPr>
        <w:t xml:space="preserve">Change log: REVISED in 3: youth advocates eliminated; OYCR Ombudsperson identified as the operative channel. Path to closure is now specific.</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19"/>
          <w:szCs w:val="19"/>
        </w:rPr>
        <w:t xml:space="preserve">Change log: REVISED: was Partial / High. OO 1361 closes the tools-and-access half; gap narrowed to anonymous, third-party, and documentation of verbal reports.</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I.A, II.B, II.D, II.F, IV</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w:t>
      </w:r>
    </w:p>
    <w:p>
      <w:pPr>
        <w:spacing w:after="240" w:line="260"/>
      </w:pPr>
      <w:r>
        <w:rPr>
          <w:i/>
          <w:iCs/>
          <w:color w:val="5A5A5A"/>
          <w:sz w:val="19"/>
          <w:szCs w:val="19"/>
        </w:rPr>
        <w:t xml:space="preserve">Change log: MATERIALLY REVISED: was Not Evidenced / Critical. OO 1361 reviewed; four of the standard's elements are met and five discrete gaps remain.</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19"/>
          <w:szCs w:val="19"/>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19"/>
          <w:szCs w:val="19"/>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19"/>
          <w:szCs w:val="19"/>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IV.A; V.A.7</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w:t>
      </w:r>
    </w:p>
    <w:p>
      <w:pPr>
        <w:spacing w:after="160"/>
      </w:pP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19"/>
          <w:szCs w:val="19"/>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19"/>
          <w:szCs w:val="19"/>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(retaliation paragraph)</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w:t>
      </w:r>
    </w:p>
    <w:p>
      <w:pPr>
        <w:spacing w:after="160"/>
      </w:pP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Follows the 115.342(b) gaps above: daily clinician visits and documentation of the basis for isolation and the unavailability of alternatives. Must also be reconciled with WIC 208.3 room confinement limits.</w:t>
      </w:r>
    </w:p>
    <w:p>
      <w:pPr>
        <w:spacing w:after="160"/>
      </w:pP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 (10 years); Internal Affairs XI.C.1 (5 years); 115.371(j) (tenure plus 5 years)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w:t>
      </w:r>
    </w:p>
    <w:p>
      <w:pPr>
        <w:spacing w:after="240" w:line="260"/>
      </w:pPr>
      <w:r>
        <w:rPr>
          <w:i/>
          <w:iCs/>
          <w:color w:val="5A5A5A"/>
          <w:sz w:val="19"/>
          <w:szCs w:val="19"/>
        </w:rPr>
        <w:t xml:space="preserve">Change log: MATERIALLY REVISED: was Partial / High. IA five-year retention conflicts with the PREA policy's ten years and with the federal formula.</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XII.A-C; Internal Affairs Administrative Investigations, General D-F, VII, VIII, X</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w:t>
      </w:r>
    </w:p>
    <w:p>
      <w:pPr>
        <w:spacing w:after="240" w:line="260"/>
      </w:pPr>
      <w:r>
        <w:rPr>
          <w:i/>
          <w:iCs/>
          <w:color w:val="5A5A5A"/>
          <w:sz w:val="19"/>
          <w:szCs w:val="19"/>
        </w:rPr>
        <w:t xml:space="preserve">Change log: REVISED: IA policy elements credited; remaining gaps itemized against it.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XI.B.1-2</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w:t>
      </w:r>
    </w:p>
    <w:p>
      <w:pPr>
        <w:spacing w:after="240" w:line="260"/>
      </w:pPr>
      <w:r>
        <w:rPr>
          <w:i/>
          <w:iCs/>
          <w:color w:val="5A5A5A"/>
          <w:sz w:val="19"/>
          <w:szCs w:val="19"/>
        </w:rPr>
        <w:t xml:space="preserve">Change log: REVISED: was Not Addressed. IA complainant notification credited as a partial answer.</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19"/>
          <w:szCs w:val="19"/>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19"/>
          <w:szCs w:val="19"/>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XIV.A; XIII.B; OO 1362 III.G</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False Allegations section states that if an investigation determines the allegations 'were false,' the resident making them may be disciplined. That is broader than PREA permits. Under 115.378(f) a good-faith report based on a reasonable belief cannot be treated as false reporting even where the investigation does not substantiate it, and 115.352(g) permits discipline only where the agency demonstrates bad faith. As written, the policy chills reporting, and it will be read to a jury that way. Rewrite to a bad-faith standard with the burden on the department. Also missing: the requirement that discipline for sexual contact with staff issue only on a finding the staff member did not consent, and the mental-disability consideration.</w:t>
      </w:r>
    </w:p>
    <w:p>
      <w:pPr>
        <w:spacing w:after="160"/>
      </w:pP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XIII.A, VII.A.1-2; Internal Affairs XIII (Disciplinary Process), X (Timelines)</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w:t>
      </w:r>
    </w:p>
    <w:p>
      <w:pPr>
        <w:spacing w:after="240" w:line="260"/>
      </w:pPr>
      <w:r>
        <w:rPr>
          <w:i/>
          <w:iCs/>
          <w:color w:val="5A5A5A"/>
          <w:sz w:val="19"/>
          <w:szCs w:val="19"/>
        </w:rPr>
        <w:t xml:space="preserve">Change log: REVISED: IA disciplinary process credited; the two PREA-specific additions isolated.</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w:t>
      </w:r>
    </w:p>
    <w:p>
      <w:pPr>
        <w:spacing w:after="160"/>
      </w:pP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19"/>
          <w:szCs w:val="19"/>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19"/>
          <w:szCs w:val="19"/>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w:t>
      </w:r>
    </w:p>
    <w:p>
      <w:pPr>
        <w:spacing w:after="160"/>
      </w:pP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w:t>
      </w:r>
    </w:p>
    <w:p>
      <w:pPr>
        <w:spacing w:after="240" w:line="260"/>
      </w:pPr>
      <w:r>
        <w:rPr>
          <w:i/>
          <w:iCs/>
          <w:color w:val="5A5A5A"/>
          <w:sz w:val="19"/>
          <w:szCs w:val="19"/>
        </w:rPr>
        <w:t xml:space="preserve">Change log: REVISED in 3: department confirms no PREA audits; Title 15 inspection relied on as substitute.</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w:t>
      </w:r>
    </w:p>
    <w:p>
      <w:pPr>
        <w:spacing w:after="240" w:line="260"/>
      </w:pPr>
      <w:r>
        <w:rPr>
          <w:i/>
          <w:iCs/>
          <w:color w:val="5A5A5A"/>
          <w:sz w:val="19"/>
          <w:szCs w:val="19"/>
        </w:rPr>
        <w:t xml:space="preserve">Change log: REVISED: Internal Affairs policy age added.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w:t>
      </w:r>
    </w:p>
    <w:p>
      <w:pPr>
        <w:spacing w:after="240" w:line="260"/>
      </w:pPr>
      <w:r>
        <w:rPr>
          <w:i/>
          <w:iCs/>
          <w:color w:val="5A5A5A"/>
          <w:sz w:val="19"/>
          <w:szCs w:val="19"/>
        </w:rPr>
        <w:t xml:space="preserve">Change log: REVISED: was Medium. OO 1352 S-4 High omits PC 287 from the enumerated offenses, which is an operational gap, not just a citation error. DJJ reference also noted.</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w:t>
      </w:r>
    </w:p>
    <w:p>
      <w:pPr>
        <w:spacing w:after="160"/>
      </w:pP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w:t>
      </w:r>
    </w:p>
    <w:p>
      <w:pPr>
        <w:spacing w:after="240" w:line="260"/>
      </w:pPr>
      <w:r>
        <w:rPr>
          <w:i/>
          <w:iCs/>
          <w:color w:val="5A5A5A"/>
          <w:sz w:val="19"/>
          <w:szCs w:val="19"/>
        </w:rPr>
        <w:t xml:space="preserve">Change log: MATERIALLY REVISED in 3: policy produced and substantially compliant. Corrects revisions 1 and 2.</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83.</w:t>
      </w:r>
    </w:p>
    <w:p>
      <w:pPr>
        <w:pStyle w:val="Heading2"/>
        <w:keepNext/>
      </w:pPr>
      <w:r>
        <w:t xml:space="preserve">PREA Policy and Procedure, Juvenile Institutions</w:t>
      </w:r>
    </w:p>
    <w:p>
      <w:pPr>
        <w:keepNext/>
        <w:spacing w:after="120"/>
      </w:pPr>
      <w:r>
        <w:rPr>
          <w:i/>
          <w:iCs/>
          <w:color w:val="5A5A5A"/>
          <w:sz w:val="19"/>
          <w:szCs w:val="19"/>
        </w:rPr>
        <w:t xml:space="preserve">eff/rev 04/25/2013. Cited by 46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7</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260" w:line="260"/>
      </w:pPr>
      <w:r>
        <w:rPr>
          <w:color w:val="5A5A5A"/>
          <w:sz w:val="19"/>
          <w:szCs w:val="19"/>
        </w:rPr>
        <w:t xml:space="preserve">All rows: 1, 4, 8, 9, 13, 16, 17, 18, 19, 20, 22, 23, 24, 25, 26, 28, 30, 35, 36, 38, 40, 43, 47, 48, 49, 51, 52, 53, 55, 56, 57, 58, 59, 62, 64, 65, 66, 67, 68, 69, 70, 72, 74, 78, 81, 82.</w:t>
      </w:r>
    </w:p>
    <w:p>
      <w:pPr>
        <w:pStyle w:val="Heading2"/>
        <w:keepNext/>
      </w:pPr>
      <w:r>
        <w:t xml:space="preserve">OO 1321 Staffing</w:t>
      </w:r>
    </w:p>
    <w:p>
      <w:pPr>
        <w:keepNext/>
        <w:spacing w:after="120"/>
      </w:pPr>
      <w:r>
        <w:rPr>
          <w:i/>
          <w:iCs/>
          <w:color w:val="5A5A5A"/>
          <w:sz w:val="19"/>
          <w:szCs w:val="19"/>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19"/>
          <w:szCs w:val="19"/>
        </w:rPr>
        <w:t xml:space="preserve">All rows: 5, 6.</w:t>
      </w:r>
    </w:p>
    <w:p>
      <w:pPr>
        <w:pStyle w:val="Heading2"/>
        <w:keepNext/>
      </w:pPr>
      <w:r>
        <w:t xml:space="preserve">OO 1322 Training and Staff Development</w:t>
      </w:r>
    </w:p>
    <w:p>
      <w:pPr>
        <w:keepNext/>
        <w:spacing w:after="120"/>
      </w:pPr>
      <w:r>
        <w:rPr>
          <w:i/>
          <w:iCs/>
          <w:color w:val="5A5A5A"/>
          <w:sz w:val="19"/>
          <w:szCs w:val="19"/>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20, 22.</w:t>
      </w:r>
    </w:p>
    <w:p>
      <w:pPr>
        <w:pStyle w:val="Heading2"/>
        <w:keepNext/>
      </w:pPr>
      <w:r>
        <w:t xml:space="preserve">OO 1350.5 Screening for the Risk of Sexual Abuse</w:t>
      </w:r>
    </w:p>
    <w:p>
      <w:pPr>
        <w:keepNext/>
        <w:spacing w:after="120"/>
      </w:pPr>
      <w:r>
        <w:rPr>
          <w:i/>
          <w:iCs/>
          <w:color w:val="5A5A5A"/>
          <w:sz w:val="19"/>
          <w:szCs w:val="19"/>
        </w:rPr>
        <w:t xml:space="preserve">eff 11/10/2019.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31, 33, 66.</w:t>
      </w:r>
    </w:p>
    <w:p>
      <w:pPr>
        <w:pStyle w:val="Heading2"/>
        <w:keepNext/>
      </w:pPr>
      <w:r>
        <w:t xml:space="preserve">OO 1352 Classification</w:t>
      </w:r>
    </w:p>
    <w:p>
      <w:pPr>
        <w:keepNext/>
        <w:spacing w:after="120"/>
      </w:pPr>
      <w:r>
        <w:rPr>
          <w:i/>
          <w:iCs/>
          <w:color w:val="5A5A5A"/>
          <w:sz w:val="19"/>
          <w:szCs w:val="19"/>
        </w:rPr>
        <w:t xml:space="preserve">eff 12/09/2019, rev 02/27/2020.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w:t>
      </w:r>
    </w:p>
    <w:p>
      <w:pPr>
        <w:spacing w:after="260" w:line="260"/>
      </w:pPr>
      <w:r>
        <w:rPr>
          <w:color w:val="5A5A5A"/>
          <w:sz w:val="19"/>
          <w:szCs w:val="19"/>
        </w:rPr>
        <w:t xml:space="preserve">All rows: 31, 32, 34, 35, 36, 78, 80, 82, 83.</w:t>
      </w:r>
    </w:p>
    <w:p>
      <w:pPr>
        <w:pStyle w:val="Heading2"/>
        <w:keepNext/>
      </w:pPr>
      <w:r>
        <w:t xml:space="preserve">OO 1352.5 Transgender and Intersex Youth</w:t>
      </w:r>
    </w:p>
    <w:p>
      <w:pPr>
        <w:keepNext/>
        <w:spacing w:after="120"/>
      </w:pPr>
      <w:r>
        <w:rPr>
          <w:i/>
          <w:iCs/>
          <w:color w:val="5A5A5A"/>
          <w:sz w:val="19"/>
          <w:szCs w:val="19"/>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19"/>
          <w:szCs w:val="19"/>
        </w:rPr>
        <w:t xml:space="preserve">All rows: 11, 36, 37, 75.</w:t>
      </w:r>
    </w:p>
    <w:p>
      <w:pPr>
        <w:pStyle w:val="Heading2"/>
        <w:keepNext/>
      </w:pPr>
      <w:r>
        <w:t xml:space="preserve">OO 1360 Searches</w:t>
      </w:r>
    </w:p>
    <w:p>
      <w:pPr>
        <w:keepNext/>
        <w:spacing w:after="120"/>
      </w:pPr>
      <w:r>
        <w:rPr>
          <w:i/>
          <w:iCs/>
          <w:color w:val="5A5A5A"/>
          <w:sz w:val="19"/>
          <w:szCs w:val="19"/>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19"/>
          <w:szCs w:val="19"/>
        </w:rPr>
        <w:t xml:space="preserve">All rows: 9, 10.</w:t>
      </w:r>
    </w:p>
    <w:p>
      <w:pPr>
        <w:pStyle w:val="Heading2"/>
        <w:keepNext/>
      </w:pPr>
      <w:r>
        <w:t xml:space="preserve">OO 1361 Grievances</w:t>
      </w:r>
    </w:p>
    <w:p>
      <w:pPr>
        <w:keepNext/>
        <w:spacing w:after="120"/>
      </w:pPr>
      <w:r>
        <w:rPr>
          <w:i/>
          <w:iCs/>
          <w:color w:val="5A5A5A"/>
          <w:sz w:val="19"/>
          <w:szCs w:val="19"/>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19"/>
          <w:szCs w:val="19"/>
        </w:rPr>
        <w:t xml:space="preserve">All rows: 38, 39, 40, 42, 43, 44, 70, 74.</w:t>
      </w:r>
    </w:p>
    <w:p>
      <w:pPr>
        <w:pStyle w:val="Heading2"/>
        <w:keepNext/>
      </w:pPr>
      <w:r>
        <w:t xml:space="preserve">OO 1362 Reporting of Incidents</w:t>
      </w:r>
    </w:p>
    <w:p>
      <w:pPr>
        <w:keepNext/>
        <w:spacing w:after="120"/>
      </w:pPr>
      <w:r>
        <w:rPr>
          <w:i/>
          <w:iCs/>
          <w:color w:val="5A5A5A"/>
          <w:sz w:val="19"/>
          <w:szCs w:val="19"/>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 70, 76.</w:t>
      </w:r>
    </w:p>
    <w:p>
      <w:pPr>
        <w:pStyle w:val="Heading2"/>
        <w:keepNext/>
      </w:pPr>
      <w:r>
        <w:t xml:space="preserve">OO 1453 Sexual Assault</w:t>
      </w:r>
    </w:p>
    <w:p>
      <w:pPr>
        <w:keepNext/>
        <w:spacing w:after="120"/>
      </w:pPr>
      <w:r>
        <w:rPr>
          <w:i/>
          <w:iCs/>
          <w:color w:val="5A5A5A"/>
          <w:sz w:val="19"/>
          <w:szCs w:val="19"/>
        </w:rPr>
        <w:t xml:space="preserve">eff 04/25/2013, rev 12/09/2019.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260" w:line="260"/>
      </w:pPr>
      <w:r>
        <w:rPr>
          <w:color w:val="5A5A5A"/>
          <w:sz w:val="19"/>
          <w:szCs w:val="19"/>
        </w:rPr>
        <w:t xml:space="preserve">All rows: 2, 16, 18, 19, 48, 53, 54, 69.</w:t>
      </w:r>
    </w:p>
    <w:p>
      <w:pPr>
        <w:pStyle w:val="Heading2"/>
        <w:keepNext/>
      </w:pPr>
      <w:r>
        <w:t xml:space="preserve">Internal Affairs Administrative Investigations</w:t>
      </w:r>
    </w:p>
    <w:p>
      <w:pPr>
        <w:keepNext/>
        <w:spacing w:after="120"/>
      </w:pPr>
      <w:r>
        <w:rPr>
          <w:i/>
          <w:iCs/>
          <w:color w:val="5A5A5A"/>
          <w:sz w:val="19"/>
          <w:szCs w:val="19"/>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19"/>
          <w:szCs w:val="19"/>
        </w:rPr>
        <w:t xml:space="preserve">All rows: 29, 58, 59, 60, 61, 62, 74, 81.</w:t>
      </w:r>
    </w:p>
    <w:p>
      <w:pPr>
        <w:pStyle w:val="Heading2"/>
        <w:keepNext/>
      </w:pPr>
      <w:r>
        <w:t xml:space="preserve">Code of Conduct, Non-Sworn and Non-County Personnel</w:t>
      </w:r>
    </w:p>
    <w:p>
      <w:pPr>
        <w:keepNext/>
        <w:spacing w:after="120"/>
      </w:pPr>
      <w:r>
        <w:rPr>
          <w:i/>
          <w:iCs/>
          <w:color w:val="5A5A5A"/>
          <w:sz w:val="19"/>
          <w:szCs w:val="19"/>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19"/>
          <w:szCs w:val="19"/>
        </w:rPr>
        <w:t xml:space="preserve">All rows: 24, 48, 63.</w:t>
      </w:r>
    </w:p>
    <w:p>
      <w:pPr>
        <w:pStyle w:val="Heading2"/>
        <w:keepNext/>
      </w:pPr>
      <w:r>
        <w:t xml:space="preserve">Detention and Intake Responsibility (J-3.4)</w:t>
      </w:r>
    </w:p>
    <w:p>
      <w:pPr>
        <w:keepNext/>
        <w:spacing w:after="120"/>
      </w:pPr>
      <w:r>
        <w:rPr>
          <w:i/>
          <w:iCs/>
          <w:color w:val="5A5A5A"/>
          <w:sz w:val="19"/>
          <w:szCs w:val="19"/>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19"/>
          <w:szCs w:val="19"/>
        </w:rPr>
        <w:t xml:space="preserve">All rows: 79.</w:t>
      </w:r>
    </w:p>
    <w:p>
      <w:pPr>
        <w:pStyle w:val="Heading2"/>
        <w:keepNext/>
      </w:pPr>
      <w:r>
        <w:t xml:space="preserve">General Order, Mandatory Reporting: Dependent Adult and Elder Abuse</w:t>
      </w:r>
    </w:p>
    <w:p>
      <w:pPr>
        <w:keepNext/>
        <w:spacing w:after="120"/>
      </w:pPr>
      <w:r>
        <w:rPr>
          <w:i/>
          <w:iCs/>
          <w:color w:val="5A5A5A"/>
          <w:sz w:val="19"/>
          <w:szCs w:val="19"/>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77.</w:t>
      </w:r>
    </w:p>
    <w:p>
      <w:pPr>
        <w:pStyle w:val="Heading2"/>
      </w:pPr>
      <w:r>
        <w:t xml:space="preserve">No departmental document identified</w:t>
      </w:r>
    </w:p>
    <w:p>
      <w:pPr>
        <w:spacing w:after="120" w:line="276"/>
      </w:pPr>
      <w:r>
        <w:rPr>
          <w:color w:val="1A1A1A"/>
        </w:rPr>
        <w:t xml:space="preserve">13 requirements cite none of the 14 documents reviewed. Eleven record no departmental provision at all and cannot be remediated by amendment: they need drafting or an administrative decision. Two turn on documents that exist but were not produced, rows 14 and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19"/>
                <w:szCs w:val="19"/>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19"/>
                <w:szCs w:val="19"/>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Provide a method for staff to privately report sexual abuse and sexual harassment of residents.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Provide residents reasonable and confidential access to attorneys or other legal representation and reasonable access to parents or legal guardians.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PREA versus Policy crosswalk. YDF, register Revision 3.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pPr>
      <w:spacing w:after="100" w:before="26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3</dc:description>
  <cp:lastModifiedBy>Un-named</cp:lastModifiedBy>
  <cp:revision>1</cp:revision>
  <dcterms:created xsi:type="dcterms:W3CDTF">2026-08-20T19:28:21.772Z</dcterms:created>
  <dcterms:modified xsi:type="dcterms:W3CDTF">2026-08-20T19:28:21.772Z</dcterms:modified>
</cp:coreProperties>
</file>

<file path=docProps/custom.xml><?xml version="1.0" encoding="utf-8"?>
<Properties xmlns="http://schemas.openxmlformats.org/officeDocument/2006/custom-properties" xmlns:vt="http://schemas.openxmlformats.org/officeDocument/2006/docPropsVTypes"/>
</file>